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23B85">
      <w:pPr>
        <w:keepNext/>
        <w:spacing w:after="80" w:line="240" w:lineRule="auto"/>
        <w:jc w:val="center"/>
        <w:rPr>
          <w:rFonts w:ascii="Times New Roman" w:hAnsi="Times New Roman" w:cs="Times New Roman"/>
          <w:b/>
          <w:bCs/>
          <w:sz w:val="36"/>
          <w:szCs w:val="40"/>
        </w:rPr>
      </w:pPr>
      <w:r>
        <w:rPr>
          <w:rFonts w:ascii="Times New Roman" w:hAnsi="Times New Roman" w:cs="Times New Roman"/>
          <w:b/>
          <w:bCs/>
          <w:sz w:val="36"/>
          <w:szCs w:val="36"/>
        </w:rPr>
        <w:t>Supplementary Material</w:t>
      </w:r>
      <w:r>
        <w:rPr>
          <w:rFonts w:hint="eastAsia" w:ascii="Times New Roman" w:hAnsi="Times New Roman" w:eastAsia="宋体" w:cs="Times New Roman"/>
          <w:b/>
          <w:bCs/>
          <w:sz w:val="36"/>
          <w:szCs w:val="36"/>
          <w:lang w:val="en-US" w:eastAsia="zh-CN"/>
        </w:rPr>
        <w:t xml:space="preserve"> 3</w:t>
      </w:r>
      <w:r>
        <w:rPr>
          <w:rFonts w:ascii="Times New Roman" w:hAnsi="Times New Roman" w:cs="Times New Roman"/>
          <w:b/>
          <w:bCs/>
          <w:sz w:val="36"/>
          <w:szCs w:val="36"/>
        </w:rPr>
        <w:t>: Reaction-time cutoff sensitivity analysis</w:t>
      </w:r>
    </w:p>
    <w:p w14:paraId="6CC20A7F">
      <w:pPr>
        <w:keepNext/>
        <w:spacing w:before="80" w:after="40"/>
        <w:jc w:val="both"/>
        <w:rPr>
          <w:rFonts w:ascii="Times New Roman" w:hAnsi="Times New Roman" w:cs="Times New Roman"/>
          <w:b/>
          <w:bCs/>
          <w:sz w:val="22"/>
          <w:szCs w:val="24"/>
        </w:rPr>
      </w:pPr>
      <w:r>
        <w:rPr>
          <w:rFonts w:ascii="Times New Roman" w:hAnsi="Times New Roman" w:cs="Times New Roman"/>
          <w:b/>
          <w:bCs/>
          <w:sz w:val="22"/>
        </w:rPr>
        <w:t>Supplementary Methods</w:t>
      </w:r>
    </w:p>
    <w:p w14:paraId="6B199847">
      <w:pPr>
        <w:spacing w:after="80"/>
        <w:jc w:val="both"/>
        <w:rPr>
          <w:rFonts w:ascii="Times New Roman" w:hAnsi="Times New Roman" w:cs="Times New Roman"/>
        </w:rPr>
      </w:pPr>
      <w:r>
        <w:rPr>
          <w:rFonts w:ascii="Times New Roman" w:hAnsi="Times New Roman" w:cs="Times New Roman"/>
          <w:szCs w:val="21"/>
        </w:rPr>
        <w:t>To examine whether the upper reaction-time cutoff affected the trial-level dot-probe results, the primary linear mixed-effects model (LMM) was additionally fitted using the full 200–1500-ms response window. As in the primary analysis, only correct emotional–neutral trials were included, reaction time (RT) was natural-log transformed, and fixed effects comprised exercise-volume group, emotional valence, probe congruency, and all interactions. The random-effects structure was unchanged and included participant random intercepts, participant-specific random slopes for probe congruency, and stimulus-pair random intercepts.</w:t>
      </w:r>
    </w:p>
    <w:p w14:paraId="4FF3DC98">
      <w:pPr>
        <w:spacing w:after="80"/>
        <w:ind w:firstLine="420" w:firstLineChars="200"/>
        <w:jc w:val="both"/>
        <w:rPr>
          <w:rFonts w:ascii="Times New Roman" w:hAnsi="Times New Roman" w:cs="Times New Roman"/>
        </w:rPr>
      </w:pPr>
      <w:r>
        <w:rPr>
          <w:rFonts w:ascii="Times New Roman" w:hAnsi="Times New Roman" w:cs="Times New Roman"/>
          <w:szCs w:val="21"/>
        </w:rPr>
        <w:t>The primary 200–1000-ms analysis included 4725 emotional–neutral trials. Extending the upper cutoff to 1500 ms added 11 emotional–neutral trials, resulting in 4736 trials in the sensitivity model. No other aspect of the model specification was changed.</w:t>
      </w:r>
      <w:bookmarkStart w:id="0" w:name="_GoBack"/>
      <w:bookmarkEnd w:id="0"/>
    </w:p>
    <w:p w14:paraId="59629659">
      <w:pPr>
        <w:keepNext/>
        <w:spacing w:before="80" w:after="40"/>
        <w:jc w:val="both"/>
        <w:rPr>
          <w:rFonts w:ascii="Times New Roman" w:hAnsi="Times New Roman" w:cs="Times New Roman"/>
          <w:b/>
          <w:bCs/>
          <w:sz w:val="22"/>
          <w:szCs w:val="24"/>
        </w:rPr>
      </w:pPr>
      <w:r>
        <w:rPr>
          <w:rFonts w:ascii="Times New Roman" w:hAnsi="Times New Roman" w:cs="Times New Roman"/>
          <w:b/>
          <w:bCs/>
          <w:sz w:val="22"/>
        </w:rPr>
        <w:t>Supplementary Results</w:t>
      </w:r>
    </w:p>
    <w:p w14:paraId="362EBA16">
      <w:pPr>
        <w:spacing w:after="80"/>
        <w:jc w:val="both"/>
        <w:rPr>
          <w:rFonts w:ascii="Times New Roman" w:hAnsi="Times New Roman" w:cs="Times New Roman"/>
        </w:rPr>
      </w:pPr>
      <w:r>
        <w:rPr>
          <w:rFonts w:ascii="Times New Roman" w:hAnsi="Times New Roman" w:cs="Times New Roman"/>
          <w:szCs w:val="21"/>
        </w:rPr>
        <w:t>The expanded-window model converged numerically but produced a boundary singular fit, with the correlation between the participant random intercept and probe-congruency random slope estimated at 1.00; the corresponding correlation in the primary model was .483 and the primary model was nonsingular.</w:t>
      </w:r>
    </w:p>
    <w:p w14:paraId="39A5AB18">
      <w:pPr>
        <w:spacing w:after="80"/>
        <w:ind w:firstLine="420" w:firstLineChars="200"/>
        <w:jc w:val="both"/>
        <w:rPr>
          <w:rFonts w:ascii="Times New Roman" w:hAnsi="Times New Roman" w:cs="Times New Roman"/>
        </w:rPr>
      </w:pPr>
      <w:r>
        <w:rPr>
          <w:rFonts w:ascii="Times New Roman" w:hAnsi="Times New Roman" w:cs="Times New Roman"/>
          <w:szCs w:val="21"/>
        </w:rPr>
        <w:t xml:space="preserve">The two interactions central to the trial-level interpretation retained the same significance pattern. The Group × Valence interaction remained significant, </w:t>
      </w:r>
      <w:r>
        <w:rPr>
          <w:rFonts w:ascii="Times New Roman" w:hAnsi="Times New Roman" w:cs="Times New Roman"/>
          <w:i/>
          <w:szCs w:val="21"/>
        </w:rPr>
        <w:t>F</w:t>
      </w:r>
      <w:r>
        <w:rPr>
          <w:rFonts w:ascii="Times New Roman" w:hAnsi="Times New Roman" w:cs="Times New Roman"/>
          <w:szCs w:val="21"/>
        </w:rPr>
        <w:t xml:space="preserve">(1, 4637.86) = 5.379, </w:t>
      </w:r>
      <w:r>
        <w:rPr>
          <w:rFonts w:ascii="Times New Roman" w:hAnsi="Times New Roman" w:cs="Times New Roman"/>
          <w:i/>
          <w:szCs w:val="21"/>
        </w:rPr>
        <w:t>p</w:t>
      </w:r>
      <w:r>
        <w:rPr>
          <w:rFonts w:ascii="Times New Roman" w:hAnsi="Times New Roman" w:cs="Times New Roman"/>
          <w:szCs w:val="21"/>
        </w:rPr>
        <w:t xml:space="preserve"> = .020, whereas the Group × Valence × Probe Congruency interaction remained nonsignificant, </w:t>
      </w:r>
      <w:r>
        <w:rPr>
          <w:rFonts w:ascii="Times New Roman" w:hAnsi="Times New Roman" w:cs="Times New Roman"/>
          <w:i/>
          <w:szCs w:val="21"/>
        </w:rPr>
        <w:t>F</w:t>
      </w:r>
      <w:r>
        <w:rPr>
          <w:rFonts w:ascii="Times New Roman" w:hAnsi="Times New Roman" w:cs="Times New Roman"/>
          <w:szCs w:val="21"/>
        </w:rPr>
        <w:t xml:space="preserve">(1, 4637.60) = 3.091, </w:t>
      </w:r>
      <w:r>
        <w:rPr>
          <w:rFonts w:ascii="Times New Roman" w:hAnsi="Times New Roman" w:cs="Times New Roman"/>
          <w:i/>
          <w:szCs w:val="21"/>
        </w:rPr>
        <w:t>p</w:t>
      </w:r>
      <w:r>
        <w:rPr>
          <w:rFonts w:ascii="Times New Roman" w:hAnsi="Times New Roman" w:cs="Times New Roman"/>
          <w:szCs w:val="21"/>
        </w:rPr>
        <w:t xml:space="preserve"> = .079. One lower-order effect differed in significance status: the Group × Probe Congruency interaction was nonsignificant in the primary analysis, </w:t>
      </w:r>
      <w:r>
        <w:rPr>
          <w:rFonts w:ascii="Times New Roman" w:hAnsi="Times New Roman" w:cs="Times New Roman"/>
          <w:i/>
          <w:szCs w:val="21"/>
        </w:rPr>
        <w:t>F</w:t>
      </w:r>
      <w:r>
        <w:rPr>
          <w:rFonts w:ascii="Times New Roman" w:hAnsi="Times New Roman" w:cs="Times New Roman"/>
          <w:szCs w:val="21"/>
        </w:rPr>
        <w:t xml:space="preserve">(1, 59.86) = 2.653, </w:t>
      </w:r>
      <w:r>
        <w:rPr>
          <w:rFonts w:ascii="Times New Roman" w:hAnsi="Times New Roman" w:cs="Times New Roman"/>
          <w:i/>
          <w:szCs w:val="21"/>
        </w:rPr>
        <w:t>p</w:t>
      </w:r>
      <w:r>
        <w:rPr>
          <w:rFonts w:ascii="Times New Roman" w:hAnsi="Times New Roman" w:cs="Times New Roman"/>
          <w:szCs w:val="21"/>
        </w:rPr>
        <w:t xml:space="preserve"> = .109, but reached </w:t>
      </w:r>
      <w:r>
        <w:rPr>
          <w:rFonts w:ascii="Times New Roman" w:hAnsi="Times New Roman" w:cs="Times New Roman"/>
          <w:i/>
          <w:szCs w:val="21"/>
        </w:rPr>
        <w:t>p</w:t>
      </w:r>
      <w:r>
        <w:rPr>
          <w:rFonts w:ascii="Times New Roman" w:hAnsi="Times New Roman" w:cs="Times New Roman"/>
          <w:szCs w:val="21"/>
        </w:rPr>
        <w:t xml:space="preserve"> = .044 in the expanded-window model, </w:t>
      </w:r>
      <w:r>
        <w:rPr>
          <w:rFonts w:ascii="Times New Roman" w:hAnsi="Times New Roman" w:cs="Times New Roman"/>
          <w:i/>
          <w:szCs w:val="21"/>
        </w:rPr>
        <w:t>F</w:t>
      </w:r>
      <w:r>
        <w:rPr>
          <w:rFonts w:ascii="Times New Roman" w:hAnsi="Times New Roman" w:cs="Times New Roman"/>
          <w:szCs w:val="21"/>
        </w:rPr>
        <w:t>(1, 954.82) = 4.082. Given the singular random-effects fit, the expanded-window fixed-effect tests are reported as a sensitivity check. Full omnibus results are shown in Table S3.</w:t>
      </w:r>
    </w:p>
    <w:p w14:paraId="07D2D2B4">
      <w:pPr>
        <w:keepNext/>
        <w:spacing w:before="80" w:after="40"/>
        <w:jc w:val="both"/>
        <w:rPr>
          <w:rFonts w:ascii="Times New Roman" w:hAnsi="Times New Roman" w:cs="Times New Roman"/>
          <w:b/>
          <w:bCs w:val="0"/>
        </w:rPr>
      </w:pPr>
      <w:r>
        <w:rPr>
          <w:rFonts w:ascii="Times New Roman" w:hAnsi="Times New Roman" w:cs="Times New Roman"/>
          <w:b/>
          <w:bCs w:val="0"/>
          <w:sz w:val="20"/>
          <w:szCs w:val="21"/>
        </w:rPr>
        <w:t>Table S3</w:t>
      </w:r>
      <w:r>
        <w:rPr>
          <w:rFonts w:hint="eastAsia" w:ascii="Times New Roman" w:hAnsi="Times New Roman" w:eastAsia="宋体" w:cs="Times New Roman"/>
          <w:b/>
          <w:bCs w:val="0"/>
          <w:sz w:val="20"/>
          <w:szCs w:val="21"/>
          <w:lang w:val="en-US" w:eastAsia="zh-CN"/>
        </w:rPr>
        <w:t xml:space="preserve"> </w:t>
      </w:r>
      <w:r>
        <w:rPr>
          <w:rFonts w:ascii="Times New Roman" w:hAnsi="Times New Roman" w:cs="Times New Roman"/>
          <w:b/>
          <w:bCs w:val="0"/>
          <w:sz w:val="20"/>
          <w:szCs w:val="21"/>
        </w:rPr>
        <w:t>Trial-level mixed-effects results under the primary and expanded reaction-time windows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35" w:type="dxa"/>
          <w:left w:w="60" w:type="dxa"/>
          <w:bottom w:w="35" w:type="dxa"/>
          <w:right w:w="60" w:type="dxa"/>
        </w:tblCellMar>
      </w:tblPr>
      <w:tblGrid>
        <w:gridCol w:w="3053"/>
        <w:gridCol w:w="2981"/>
        <w:gridCol w:w="2981"/>
      </w:tblGrid>
      <w:tr w14:paraId="744071C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blHeader/>
        </w:trPr>
        <w:tc>
          <w:tcPr>
            <w:tcW w:w="3053" w:type="dxa"/>
            <w:tcBorders>
              <w:bottom w:val="single" w:color="auto" w:sz="6" w:space="0"/>
            </w:tcBorders>
            <w:vAlign w:val="center"/>
          </w:tcPr>
          <w:p w14:paraId="3DE9F84A">
            <w:pPr>
              <w:keepNext/>
              <w:spacing w:after="0"/>
              <w:jc w:val="both"/>
              <w:rPr>
                <w:rFonts w:ascii="Times New Roman" w:hAnsi="Times New Roman" w:cs="Times New Roman"/>
              </w:rPr>
            </w:pPr>
            <w:r>
              <w:rPr>
                <w:rFonts w:ascii="Times New Roman" w:hAnsi="Times New Roman" w:cs="Times New Roman"/>
                <w:b/>
                <w:sz w:val="19"/>
              </w:rPr>
              <w:t>Effect</w:t>
            </w:r>
          </w:p>
        </w:tc>
        <w:tc>
          <w:tcPr>
            <w:tcW w:w="2981" w:type="dxa"/>
            <w:tcBorders>
              <w:bottom w:val="single" w:color="auto" w:sz="6" w:space="0"/>
            </w:tcBorders>
            <w:vAlign w:val="center"/>
          </w:tcPr>
          <w:p w14:paraId="53E711DD">
            <w:pPr>
              <w:keepNext/>
              <w:spacing w:after="0"/>
              <w:jc w:val="both"/>
              <w:rPr>
                <w:rFonts w:ascii="Times New Roman" w:hAnsi="Times New Roman" w:cs="Times New Roman"/>
              </w:rPr>
            </w:pPr>
            <w:r>
              <w:rPr>
                <w:rFonts w:ascii="Times New Roman" w:hAnsi="Times New Roman" w:cs="Times New Roman"/>
                <w:b/>
                <w:sz w:val="19"/>
              </w:rPr>
              <w:t>Primary 200–1000 ms</w:t>
            </w:r>
          </w:p>
        </w:tc>
        <w:tc>
          <w:tcPr>
            <w:tcW w:w="2981" w:type="dxa"/>
            <w:tcBorders>
              <w:bottom w:val="single" w:color="auto" w:sz="6" w:space="0"/>
            </w:tcBorders>
            <w:vAlign w:val="center"/>
          </w:tcPr>
          <w:p w14:paraId="62A52319">
            <w:pPr>
              <w:keepNext/>
              <w:spacing w:after="0"/>
              <w:jc w:val="both"/>
              <w:rPr>
                <w:rFonts w:ascii="Times New Roman" w:hAnsi="Times New Roman" w:cs="Times New Roman"/>
              </w:rPr>
            </w:pPr>
            <w:r>
              <w:rPr>
                <w:rFonts w:ascii="Times New Roman" w:hAnsi="Times New Roman" w:cs="Times New Roman"/>
                <w:b/>
                <w:sz w:val="19"/>
              </w:rPr>
              <w:t>Sensitivity 200–1500 ms</w:t>
            </w:r>
          </w:p>
        </w:tc>
      </w:tr>
      <w:tr w14:paraId="0D0698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675A27F3">
            <w:pPr>
              <w:keepNext/>
              <w:spacing w:after="0"/>
              <w:jc w:val="both"/>
              <w:rPr>
                <w:rFonts w:ascii="Times New Roman" w:hAnsi="Times New Roman" w:cs="Times New Roman"/>
              </w:rPr>
            </w:pPr>
            <w:r>
              <w:rPr>
                <w:rFonts w:ascii="Times New Roman" w:hAnsi="Times New Roman" w:cs="Times New Roman"/>
                <w:sz w:val="19"/>
              </w:rPr>
              <w:t>Exercise-volume group</w:t>
            </w:r>
          </w:p>
        </w:tc>
        <w:tc>
          <w:tcPr>
            <w:tcW w:w="2981" w:type="dxa"/>
            <w:vAlign w:val="center"/>
          </w:tcPr>
          <w:p w14:paraId="08BB7FE7">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59.99) = 0.021, </w:t>
            </w:r>
            <w:r>
              <w:rPr>
                <w:rFonts w:ascii="Times New Roman" w:hAnsi="Times New Roman" w:cs="Times New Roman"/>
                <w:i/>
                <w:sz w:val="19"/>
              </w:rPr>
              <w:t>p</w:t>
            </w:r>
            <w:r>
              <w:rPr>
                <w:rFonts w:ascii="Times New Roman" w:hAnsi="Times New Roman" w:cs="Times New Roman"/>
                <w:sz w:val="19"/>
              </w:rPr>
              <w:t xml:space="preserve"> = .885</w:t>
            </w:r>
          </w:p>
        </w:tc>
        <w:tc>
          <w:tcPr>
            <w:tcW w:w="2981" w:type="dxa"/>
            <w:vAlign w:val="center"/>
          </w:tcPr>
          <w:p w14:paraId="1C26869B">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59.99) = 0.028, </w:t>
            </w:r>
            <w:r>
              <w:rPr>
                <w:rFonts w:ascii="Times New Roman" w:hAnsi="Times New Roman" w:cs="Times New Roman"/>
                <w:i/>
                <w:sz w:val="19"/>
              </w:rPr>
              <w:t>p</w:t>
            </w:r>
            <w:r>
              <w:rPr>
                <w:rFonts w:ascii="Times New Roman" w:hAnsi="Times New Roman" w:cs="Times New Roman"/>
                <w:sz w:val="19"/>
              </w:rPr>
              <w:t xml:space="preserve"> = .867</w:t>
            </w:r>
          </w:p>
        </w:tc>
      </w:tr>
      <w:tr w14:paraId="252764C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5126049B">
            <w:pPr>
              <w:keepNext/>
              <w:spacing w:after="0"/>
              <w:jc w:val="both"/>
              <w:rPr>
                <w:rFonts w:ascii="Times New Roman" w:hAnsi="Times New Roman" w:cs="Times New Roman"/>
              </w:rPr>
            </w:pPr>
            <w:r>
              <w:rPr>
                <w:rFonts w:ascii="Times New Roman" w:hAnsi="Times New Roman" w:cs="Times New Roman"/>
                <w:sz w:val="19"/>
              </w:rPr>
              <w:t>Valence</w:t>
            </w:r>
          </w:p>
        </w:tc>
        <w:tc>
          <w:tcPr>
            <w:tcW w:w="2981" w:type="dxa"/>
            <w:vAlign w:val="center"/>
          </w:tcPr>
          <w:p w14:paraId="3A8B8AD8">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39.03) = 0.162, </w:t>
            </w:r>
            <w:r>
              <w:rPr>
                <w:rFonts w:ascii="Times New Roman" w:hAnsi="Times New Roman" w:cs="Times New Roman"/>
                <w:i/>
                <w:sz w:val="19"/>
              </w:rPr>
              <w:t>p</w:t>
            </w:r>
            <w:r>
              <w:rPr>
                <w:rFonts w:ascii="Times New Roman" w:hAnsi="Times New Roman" w:cs="Times New Roman"/>
                <w:sz w:val="19"/>
              </w:rPr>
              <w:t xml:space="preserve"> = .689</w:t>
            </w:r>
          </w:p>
        </w:tc>
        <w:tc>
          <w:tcPr>
            <w:tcW w:w="2981" w:type="dxa"/>
            <w:vAlign w:val="center"/>
          </w:tcPr>
          <w:p w14:paraId="165A66D3">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38.89) = 0.228, </w:t>
            </w:r>
            <w:r>
              <w:rPr>
                <w:rFonts w:ascii="Times New Roman" w:hAnsi="Times New Roman" w:cs="Times New Roman"/>
                <w:i/>
                <w:sz w:val="19"/>
              </w:rPr>
              <w:t>p</w:t>
            </w:r>
            <w:r>
              <w:rPr>
                <w:rFonts w:ascii="Times New Roman" w:hAnsi="Times New Roman" w:cs="Times New Roman"/>
                <w:sz w:val="19"/>
              </w:rPr>
              <w:t xml:space="preserve"> = .635</w:t>
            </w:r>
          </w:p>
        </w:tc>
      </w:tr>
      <w:tr w14:paraId="14BE196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7351DBA4">
            <w:pPr>
              <w:keepNext/>
              <w:spacing w:after="0"/>
              <w:jc w:val="both"/>
              <w:rPr>
                <w:rFonts w:ascii="Times New Roman" w:hAnsi="Times New Roman" w:cs="Times New Roman"/>
              </w:rPr>
            </w:pPr>
            <w:r>
              <w:rPr>
                <w:rFonts w:ascii="Times New Roman" w:hAnsi="Times New Roman" w:cs="Times New Roman"/>
                <w:sz w:val="19"/>
              </w:rPr>
              <w:t>Probe congruency</w:t>
            </w:r>
          </w:p>
        </w:tc>
        <w:tc>
          <w:tcPr>
            <w:tcW w:w="2981" w:type="dxa"/>
            <w:vAlign w:val="center"/>
          </w:tcPr>
          <w:p w14:paraId="26640902">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59.86) = 1.155, </w:t>
            </w:r>
            <w:r>
              <w:rPr>
                <w:rFonts w:ascii="Times New Roman" w:hAnsi="Times New Roman" w:cs="Times New Roman"/>
                <w:i/>
                <w:sz w:val="19"/>
              </w:rPr>
              <w:t>p</w:t>
            </w:r>
            <w:r>
              <w:rPr>
                <w:rFonts w:ascii="Times New Roman" w:hAnsi="Times New Roman" w:cs="Times New Roman"/>
                <w:sz w:val="19"/>
              </w:rPr>
              <w:t xml:space="preserve"> = .287</w:t>
            </w:r>
          </w:p>
        </w:tc>
        <w:tc>
          <w:tcPr>
            <w:tcW w:w="2981" w:type="dxa"/>
            <w:vAlign w:val="center"/>
          </w:tcPr>
          <w:p w14:paraId="66BA50E4">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954.81) = 1.045, </w:t>
            </w:r>
            <w:r>
              <w:rPr>
                <w:rFonts w:ascii="Times New Roman" w:hAnsi="Times New Roman" w:cs="Times New Roman"/>
                <w:i/>
                <w:sz w:val="19"/>
              </w:rPr>
              <w:t>p</w:t>
            </w:r>
            <w:r>
              <w:rPr>
                <w:rFonts w:ascii="Times New Roman" w:hAnsi="Times New Roman" w:cs="Times New Roman"/>
                <w:sz w:val="19"/>
              </w:rPr>
              <w:t xml:space="preserve"> = .307</w:t>
            </w:r>
          </w:p>
        </w:tc>
      </w:tr>
      <w:tr w14:paraId="1E48FB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5BE0CDA5">
            <w:pPr>
              <w:keepNext/>
              <w:spacing w:after="0"/>
              <w:jc w:val="both"/>
              <w:rPr>
                <w:rFonts w:ascii="Times New Roman" w:hAnsi="Times New Roman" w:cs="Times New Roman"/>
              </w:rPr>
            </w:pPr>
            <w:r>
              <w:rPr>
                <w:rFonts w:ascii="Times New Roman" w:hAnsi="Times New Roman" w:cs="Times New Roman"/>
                <w:sz w:val="19"/>
              </w:rPr>
              <w:t>Group × Valence</w:t>
            </w:r>
          </w:p>
        </w:tc>
        <w:tc>
          <w:tcPr>
            <w:tcW w:w="2981" w:type="dxa"/>
            <w:vAlign w:val="center"/>
          </w:tcPr>
          <w:p w14:paraId="5A3E153F">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4568.96) = 6.438, </w:t>
            </w:r>
            <w:r>
              <w:rPr>
                <w:rFonts w:ascii="Times New Roman" w:hAnsi="Times New Roman" w:cs="Times New Roman"/>
                <w:i/>
                <w:sz w:val="19"/>
              </w:rPr>
              <w:t>p</w:t>
            </w:r>
            <w:r>
              <w:rPr>
                <w:rFonts w:ascii="Times New Roman" w:hAnsi="Times New Roman" w:cs="Times New Roman"/>
                <w:sz w:val="19"/>
              </w:rPr>
              <w:t xml:space="preserve"> = .011</w:t>
            </w:r>
          </w:p>
        </w:tc>
        <w:tc>
          <w:tcPr>
            <w:tcW w:w="2981" w:type="dxa"/>
            <w:vAlign w:val="center"/>
          </w:tcPr>
          <w:p w14:paraId="1AC1F7B8">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4637.86) = 5.379, </w:t>
            </w:r>
            <w:r>
              <w:rPr>
                <w:rFonts w:ascii="Times New Roman" w:hAnsi="Times New Roman" w:cs="Times New Roman"/>
                <w:i/>
                <w:sz w:val="19"/>
              </w:rPr>
              <w:t>p</w:t>
            </w:r>
            <w:r>
              <w:rPr>
                <w:rFonts w:ascii="Times New Roman" w:hAnsi="Times New Roman" w:cs="Times New Roman"/>
                <w:sz w:val="19"/>
              </w:rPr>
              <w:t xml:space="preserve"> = .020</w:t>
            </w:r>
          </w:p>
        </w:tc>
      </w:tr>
      <w:tr w14:paraId="3E55994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70E7226B">
            <w:pPr>
              <w:keepNext/>
              <w:spacing w:after="0"/>
              <w:jc w:val="both"/>
              <w:rPr>
                <w:rFonts w:ascii="Times New Roman" w:hAnsi="Times New Roman" w:cs="Times New Roman"/>
              </w:rPr>
            </w:pPr>
            <w:r>
              <w:rPr>
                <w:rFonts w:ascii="Times New Roman" w:hAnsi="Times New Roman" w:cs="Times New Roman"/>
                <w:sz w:val="19"/>
              </w:rPr>
              <w:t>Group × Probe Congruency</w:t>
            </w:r>
          </w:p>
        </w:tc>
        <w:tc>
          <w:tcPr>
            <w:tcW w:w="2981" w:type="dxa"/>
            <w:vAlign w:val="center"/>
          </w:tcPr>
          <w:p w14:paraId="6E2046AC">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59.86) = 2.653, </w:t>
            </w:r>
            <w:r>
              <w:rPr>
                <w:rFonts w:ascii="Times New Roman" w:hAnsi="Times New Roman" w:cs="Times New Roman"/>
                <w:i/>
                <w:sz w:val="19"/>
              </w:rPr>
              <w:t>p</w:t>
            </w:r>
            <w:r>
              <w:rPr>
                <w:rFonts w:ascii="Times New Roman" w:hAnsi="Times New Roman" w:cs="Times New Roman"/>
                <w:sz w:val="19"/>
              </w:rPr>
              <w:t xml:space="preserve"> = .109</w:t>
            </w:r>
          </w:p>
        </w:tc>
        <w:tc>
          <w:tcPr>
            <w:tcW w:w="2981" w:type="dxa"/>
            <w:vAlign w:val="center"/>
          </w:tcPr>
          <w:p w14:paraId="67443296">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954.82) = 4.082, </w:t>
            </w:r>
            <w:r>
              <w:rPr>
                <w:rFonts w:ascii="Times New Roman" w:hAnsi="Times New Roman" w:cs="Times New Roman"/>
                <w:i/>
                <w:sz w:val="19"/>
              </w:rPr>
              <w:t>p</w:t>
            </w:r>
            <w:r>
              <w:rPr>
                <w:rFonts w:ascii="Times New Roman" w:hAnsi="Times New Roman" w:cs="Times New Roman"/>
                <w:sz w:val="19"/>
              </w:rPr>
              <w:t xml:space="preserve"> = .044</w:t>
            </w:r>
          </w:p>
        </w:tc>
      </w:tr>
      <w:tr w14:paraId="294661C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74E725FE">
            <w:pPr>
              <w:keepNext/>
              <w:spacing w:after="0"/>
              <w:jc w:val="both"/>
              <w:rPr>
                <w:rFonts w:ascii="Times New Roman" w:hAnsi="Times New Roman" w:cs="Times New Roman"/>
              </w:rPr>
            </w:pPr>
            <w:r>
              <w:rPr>
                <w:rFonts w:ascii="Times New Roman" w:hAnsi="Times New Roman" w:cs="Times New Roman"/>
                <w:sz w:val="19"/>
              </w:rPr>
              <w:t>Valence × Probe Congruency</w:t>
            </w:r>
          </w:p>
        </w:tc>
        <w:tc>
          <w:tcPr>
            <w:tcW w:w="2981" w:type="dxa"/>
            <w:vAlign w:val="center"/>
          </w:tcPr>
          <w:p w14:paraId="62A96740">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4568.99) = 0.861, </w:t>
            </w:r>
            <w:r>
              <w:rPr>
                <w:rFonts w:ascii="Times New Roman" w:hAnsi="Times New Roman" w:cs="Times New Roman"/>
                <w:i/>
                <w:sz w:val="19"/>
              </w:rPr>
              <w:t>p</w:t>
            </w:r>
            <w:r>
              <w:rPr>
                <w:rFonts w:ascii="Times New Roman" w:hAnsi="Times New Roman" w:cs="Times New Roman"/>
                <w:sz w:val="19"/>
              </w:rPr>
              <w:t xml:space="preserve"> = .354</w:t>
            </w:r>
          </w:p>
        </w:tc>
        <w:tc>
          <w:tcPr>
            <w:tcW w:w="2981" w:type="dxa"/>
            <w:vAlign w:val="center"/>
          </w:tcPr>
          <w:p w14:paraId="17EAE455">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4637.48) = 0.789, </w:t>
            </w:r>
            <w:r>
              <w:rPr>
                <w:rFonts w:ascii="Times New Roman" w:hAnsi="Times New Roman" w:cs="Times New Roman"/>
                <w:i/>
                <w:sz w:val="19"/>
              </w:rPr>
              <w:t>p</w:t>
            </w:r>
            <w:r>
              <w:rPr>
                <w:rFonts w:ascii="Times New Roman" w:hAnsi="Times New Roman" w:cs="Times New Roman"/>
                <w:sz w:val="19"/>
              </w:rPr>
              <w:t xml:space="preserve"> = .374</w:t>
            </w:r>
          </w:p>
        </w:tc>
      </w:tr>
      <w:tr w14:paraId="05FD5A0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35" w:type="dxa"/>
            <w:left w:w="60" w:type="dxa"/>
            <w:bottom w:w="35" w:type="dxa"/>
            <w:right w:w="60" w:type="dxa"/>
          </w:tblCellMar>
        </w:tblPrEx>
        <w:trPr>
          <w:cantSplit/>
        </w:trPr>
        <w:tc>
          <w:tcPr>
            <w:tcW w:w="3053" w:type="dxa"/>
            <w:vAlign w:val="center"/>
          </w:tcPr>
          <w:p w14:paraId="0C22D5E9">
            <w:pPr>
              <w:keepNext/>
              <w:spacing w:after="0"/>
              <w:jc w:val="both"/>
              <w:rPr>
                <w:rFonts w:ascii="Times New Roman" w:hAnsi="Times New Roman" w:cs="Times New Roman"/>
              </w:rPr>
            </w:pPr>
            <w:r>
              <w:rPr>
                <w:rFonts w:ascii="Times New Roman" w:hAnsi="Times New Roman" w:cs="Times New Roman"/>
                <w:sz w:val="19"/>
              </w:rPr>
              <w:t>Group × Valence × Probe Congruency</w:t>
            </w:r>
          </w:p>
        </w:tc>
        <w:tc>
          <w:tcPr>
            <w:tcW w:w="2981" w:type="dxa"/>
            <w:vAlign w:val="center"/>
          </w:tcPr>
          <w:p w14:paraId="2F74F65B">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4569.01) = 3.230, </w:t>
            </w:r>
            <w:r>
              <w:rPr>
                <w:rFonts w:ascii="Times New Roman" w:hAnsi="Times New Roman" w:cs="Times New Roman"/>
                <w:i/>
                <w:sz w:val="19"/>
              </w:rPr>
              <w:t>p</w:t>
            </w:r>
            <w:r>
              <w:rPr>
                <w:rFonts w:ascii="Times New Roman" w:hAnsi="Times New Roman" w:cs="Times New Roman"/>
                <w:sz w:val="19"/>
              </w:rPr>
              <w:t xml:space="preserve"> = .072</w:t>
            </w:r>
          </w:p>
        </w:tc>
        <w:tc>
          <w:tcPr>
            <w:tcW w:w="2981" w:type="dxa"/>
            <w:vAlign w:val="center"/>
          </w:tcPr>
          <w:p w14:paraId="351BC911">
            <w:pPr>
              <w:keepNext/>
              <w:spacing w:after="0"/>
              <w:jc w:val="both"/>
              <w:rPr>
                <w:rFonts w:ascii="Times New Roman" w:hAnsi="Times New Roman" w:cs="Times New Roman"/>
              </w:rPr>
            </w:pPr>
            <w:r>
              <w:rPr>
                <w:rFonts w:ascii="Times New Roman" w:hAnsi="Times New Roman" w:cs="Times New Roman"/>
                <w:i/>
                <w:sz w:val="19"/>
              </w:rPr>
              <w:t>F</w:t>
            </w:r>
            <w:r>
              <w:rPr>
                <w:rFonts w:ascii="Times New Roman" w:hAnsi="Times New Roman" w:cs="Times New Roman"/>
                <w:sz w:val="19"/>
              </w:rPr>
              <w:t xml:space="preserve">(1, 4637.60) = 3.091, </w:t>
            </w:r>
            <w:r>
              <w:rPr>
                <w:rFonts w:ascii="Times New Roman" w:hAnsi="Times New Roman" w:cs="Times New Roman"/>
                <w:i/>
                <w:sz w:val="19"/>
              </w:rPr>
              <w:t>p</w:t>
            </w:r>
            <w:r>
              <w:rPr>
                <w:rFonts w:ascii="Times New Roman" w:hAnsi="Times New Roman" w:cs="Times New Roman"/>
                <w:sz w:val="19"/>
              </w:rPr>
              <w:t xml:space="preserve"> = .079</w:t>
            </w:r>
          </w:p>
        </w:tc>
      </w:tr>
    </w:tbl>
    <w:p w14:paraId="6372C77B">
      <w:pPr>
        <w:spacing w:after="40"/>
        <w:jc w:val="both"/>
        <w:rPr>
          <w:rFonts w:ascii="Times New Roman" w:hAnsi="Times New Roman" w:cs="Times New Roman"/>
        </w:rPr>
      </w:pPr>
      <w:r>
        <w:rPr>
          <w:rFonts w:ascii="Times New Roman" w:hAnsi="Times New Roman" w:cs="Times New Roman"/>
          <w:i/>
          <w:iCs/>
          <w:sz w:val="19"/>
          <w:szCs w:val="19"/>
        </w:rPr>
        <w:t>Note.</w:t>
      </w:r>
      <w:r>
        <w:rPr>
          <w:rFonts w:ascii="Times New Roman" w:hAnsi="Times New Roman" w:cs="Times New Roman"/>
          <w:sz w:val="19"/>
          <w:szCs w:val="19"/>
        </w:rPr>
        <w:t xml:space="preserve"> The primary and sensitivity models used identical fixed- and random-effects specifications and differed only in the upper RT cutoff. Both models converged. The primary model was nonsingular; the 200–1500-ms model produced a boundary singular fit, with the participant random-intercept/random-slope correlation estimated at 1.00. RT = reaction time.</w:t>
      </w:r>
    </w:p>
    <w:p w14:paraId="455BA1D5">
      <w:pPr>
        <w:keepNext/>
        <w:pageBreakBefore/>
        <w:spacing w:before="80" w:after="40"/>
        <w:jc w:val="both"/>
        <w:rPr>
          <w:rFonts w:ascii="Times New Roman" w:hAnsi="Times New Roman" w:cs="Times New Roman"/>
          <w:b/>
          <w:bCs/>
          <w:color w:val="auto"/>
          <w:sz w:val="22"/>
          <w:szCs w:val="24"/>
        </w:rPr>
      </w:pPr>
      <w:r>
        <w:rPr>
          <w:rFonts w:ascii="Times New Roman" w:hAnsi="Times New Roman" w:cs="Times New Roman"/>
          <w:b/>
          <w:bCs/>
          <w:color w:val="auto"/>
          <w:sz w:val="22"/>
        </w:rPr>
        <w:t>Primary-model specification and diagnostics</w:t>
      </w:r>
    </w:p>
    <w:p w14:paraId="675C54A6">
      <w:pPr>
        <w:spacing w:after="80"/>
        <w:jc w:val="both"/>
        <w:rPr>
          <w:rFonts w:ascii="Times New Roman" w:hAnsi="Times New Roman" w:cs="Times New Roman"/>
          <w:color w:val="auto"/>
        </w:rPr>
      </w:pPr>
      <w:r>
        <w:rPr>
          <w:rFonts w:ascii="Times New Roman" w:hAnsi="Times New Roman" w:cs="Times New Roman"/>
          <w:color w:val="auto"/>
          <w:szCs w:val="21"/>
        </w:rPr>
        <w:t>The primary 200–1000-ms trial-level LMM included 4725 trials from 60 participants. The model specification was logRT ~ Group + Valence + Congruency + (1 + Congruency | Participant) + (1 | StimulusPairID) + Group:Valence + Group:Congruency + Valence:Congruency + Group:Valence:Congruency. Sum-to-zero contrasts were used for Group (Low = +1, High = −1), Valence (Negative = +1, Positive = −1), and Probe Congruency (Incongruent = +1, Congruent = −1).</w:t>
      </w:r>
    </w:p>
    <w:p w14:paraId="5C285033">
      <w:pPr>
        <w:spacing w:after="80"/>
        <w:ind w:firstLine="420" w:firstLineChars="200"/>
        <w:jc w:val="both"/>
        <w:rPr>
          <w:rFonts w:ascii="Times New Roman" w:hAnsi="Times New Roman" w:cs="Times New Roman"/>
          <w:color w:val="auto"/>
        </w:rPr>
      </w:pPr>
      <w:r>
        <w:rPr>
          <w:rFonts w:ascii="Times New Roman" w:hAnsi="Times New Roman" w:cs="Times New Roman"/>
          <w:color w:val="auto"/>
          <w:szCs w:val="21"/>
        </w:rPr>
        <w:t>The model was fitted using maximum likelihood with the bobyqa optimizer, with the maximum number of function evaluations set to 300000. It converged without warnings and was nonsingular.</w:t>
      </w:r>
    </w:p>
    <w:p w14:paraId="1199A3F3">
      <w:pPr>
        <w:spacing w:after="80"/>
        <w:ind w:firstLine="420" w:firstLineChars="200"/>
        <w:jc w:val="both"/>
        <w:rPr>
          <w:rFonts w:ascii="Times New Roman" w:hAnsi="Times New Roman" w:cs="Times New Roman"/>
          <w:color w:val="auto"/>
        </w:rPr>
      </w:pPr>
      <w:r>
        <w:rPr>
          <w:rFonts w:ascii="Times New Roman" w:hAnsi="Times New Roman" w:cs="Times New Roman"/>
          <w:color w:val="auto"/>
          <w:szCs w:val="21"/>
        </w:rPr>
        <w:t>Random-effect variance estimates were 0.020950 for the participant intercept, 0.000034 for the participant-specific Probe Congruency slope, and 0.000076 for the stimulus-pair intercept; the participant intercept–slope correlation was .483. The residual variance was 0.030716.</w:t>
      </w:r>
    </w:p>
    <w:sectPr>
      <w:headerReference r:id="rId5" w:type="default"/>
      <w:footerReference r:id="rId6" w:type="default"/>
      <w:pgSz w:w="11906" w:h="16838"/>
      <w:pgMar w:top="1440" w:right="1800" w:bottom="1440" w:left="1800" w:header="576" w:footer="57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8655646"/>
      <w:docPartObj>
        <w:docPartGallery w:val="AutoText"/>
      </w:docPartObj>
    </w:sdtPr>
    <w:sdtContent>
      <w:p w14:paraId="34BD6714">
        <w:pPr>
          <w:pStyle w:val="24"/>
          <w:jc w:val="center"/>
        </w:pPr>
        <w:r>
          <w:fldChar w:fldCharType="begin"/>
        </w:r>
        <w:r>
          <w:instrText xml:space="preserve">PAGE   \* MERGEFORMAT</w:instrText>
        </w:r>
        <w:r>
          <w:fldChar w:fldCharType="separate"/>
        </w:r>
        <w:r>
          <w:rPr>
            <w:lang w:val="zh-CN" w:eastAsia="zh-CN"/>
          </w:rPr>
          <w:t>2</w:t>
        </w:r>
        <w:r>
          <w:fldChar w:fldCharType="end"/>
        </w:r>
      </w:p>
    </w:sdtContent>
  </w:sdt>
  <w:p w14:paraId="612834BE">
    <w:pPr>
      <w:spacing w:after="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717C">
    <w:pPr>
      <w:spacing w:after="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6D33"/>
    <w:rsid w:val="0002310B"/>
    <w:rsid w:val="00034616"/>
    <w:rsid w:val="0006063C"/>
    <w:rsid w:val="000A6DBD"/>
    <w:rsid w:val="0015074B"/>
    <w:rsid w:val="0029639D"/>
    <w:rsid w:val="00326F90"/>
    <w:rsid w:val="00370152"/>
    <w:rsid w:val="00463DB9"/>
    <w:rsid w:val="0055271E"/>
    <w:rsid w:val="005D49A0"/>
    <w:rsid w:val="006B3329"/>
    <w:rsid w:val="0080629C"/>
    <w:rsid w:val="0088228E"/>
    <w:rsid w:val="008A3488"/>
    <w:rsid w:val="009104C8"/>
    <w:rsid w:val="00A66178"/>
    <w:rsid w:val="00AA1D8D"/>
    <w:rsid w:val="00B47730"/>
    <w:rsid w:val="00C5215E"/>
    <w:rsid w:val="00CB0664"/>
    <w:rsid w:val="00D27095"/>
    <w:rsid w:val="00DF16E8"/>
    <w:rsid w:val="00EC329E"/>
    <w:rsid w:val="00EF747D"/>
    <w:rsid w:val="00FC693F"/>
    <w:rsid w:val="0E752010"/>
    <w:rsid w:val="40FE0904"/>
    <w:rsid w:val="69CA53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Arial" w:hAnsi="Arial" w:eastAsia="Arial" w:cstheme="minorBidi"/>
      <w:color w:val="000000"/>
      <w:sz w:val="21"/>
      <w:szCs w:val="22"/>
      <w:lang w:val="en-US" w:eastAsia="en-US" w:bidi="ar-SA"/>
    </w:rPr>
  </w:style>
  <w:style w:type="paragraph" w:styleId="3">
    <w:name w:val="heading 1"/>
    <w:basedOn w:val="1"/>
    <w:next w:val="1"/>
    <w:link w:val="138"/>
    <w:qFormat/>
    <w:uiPriority w:val="9"/>
    <w:pPr>
      <w:keepNext/>
      <w:keepLines/>
      <w:spacing w:before="280"/>
      <w:outlineLvl w:val="0"/>
    </w:pPr>
    <w:rPr>
      <w:rFonts w:asciiTheme="majorHAnsi" w:hAnsiTheme="majorHAnsi" w:eastAsiaTheme="majorEastAsia" w:cstheme="majorBidi"/>
      <w:b/>
      <w:bCs/>
      <w:sz w:val="26"/>
      <w:szCs w:val="28"/>
    </w:rPr>
  </w:style>
  <w:style w:type="paragraph" w:styleId="4">
    <w:name w:val="heading 2"/>
    <w:basedOn w:val="1"/>
    <w:next w:val="1"/>
    <w:link w:val="139"/>
    <w:unhideWhenUsed/>
    <w:qFormat/>
    <w:uiPriority w:val="9"/>
    <w:pPr>
      <w:keepNext/>
      <w:keepLines/>
      <w:spacing w:before="200" w:after="80"/>
      <w:outlineLvl w:val="1"/>
    </w:pPr>
    <w:rPr>
      <w:rFonts w:asciiTheme="majorHAnsi" w:hAnsiTheme="majorHAnsi" w:eastAsiaTheme="majorEastAsia" w:cstheme="majorBidi"/>
      <w:b/>
      <w:bCs/>
      <w:sz w:val="23"/>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line="480" w:lineRule="auto"/>
    </w:pPr>
  </w:style>
  <w:style w:type="paragraph" w:styleId="29">
    <w:name w:val="List Continue 2"/>
    <w:basedOn w:val="1"/>
    <w:unhideWhenUsed/>
    <w:qFormat/>
    <w:uiPriority w:val="99"/>
    <w:pPr>
      <w:ind w:left="720"/>
      <w:contextualSpacing/>
    </w:pPr>
  </w:style>
  <w:style w:type="paragraph" w:styleId="30">
    <w:name w:val="List Continue 3"/>
    <w:basedOn w:val="1"/>
    <w:unhideWhenUsed/>
    <w:qFormat/>
    <w:uiPriority w:val="99"/>
    <w:pPr>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591</Words>
  <Characters>3453</Characters>
  <Lines>28</Lines>
  <Paragraphs>8</Paragraphs>
  <TotalTime>7</TotalTime>
  <ScaleCrop>false</ScaleCrop>
  <LinksUpToDate>false</LinksUpToDate>
  <CharactersWithSpaces>4006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2026-08-20T11:20:00Z</dcterms:created>
  <dc:creator>P W</dc:creator>
  <cp:lastModifiedBy>韩颖</cp:lastModifiedBy>
  <dcterms:modified xsi:type="dcterms:W3CDTF">2026-10-20T17:10:11Z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eyJoZGlkIjoiYTYzY2VjYjg4NzlmZTNlOGU5MDJlMDAzN2RkM2RmMWIiLCJ1c2VySWQiOiIxNzg2NzA0MDQ5In0=</vt:lpwstr>
  </property>
  <property fmtid="{D5CDD505-2E9C-101B-9397-08002B2CF9AE}" pid="3" name="KSOProductBuildVer">
    <vt:lpwstr>2052-12.1.0.29158</vt:lpwstr>
  </property>
  <property fmtid="{D5CDD505-2E9C-101B-9397-08002B2CF9AE}" pid="4" name="ICV">
    <vt:lpwstr>F5D21972CC0A4F26812DAF9A83169F23_12</vt:lpwstr>
  </property>
</Properties>
</file>