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247" w:rsidRPr="002E7A04" w:rsidRDefault="00C76247" w:rsidP="008C27DB">
      <w:pPr>
        <w:tabs>
          <w:tab w:val="left" w:pos="630"/>
        </w:tabs>
        <w:spacing w:line="360" w:lineRule="auto"/>
        <w:ind w:left="540" w:right="63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E7A04">
        <w:rPr>
          <w:rFonts w:asciiTheme="majorBidi" w:hAnsiTheme="majorBidi" w:cstheme="majorBidi"/>
          <w:b/>
          <w:bCs/>
          <w:sz w:val="24"/>
          <w:szCs w:val="24"/>
        </w:rPr>
        <w:t>Supplemental file</w:t>
      </w:r>
    </w:p>
    <w:p w:rsidR="00573E45" w:rsidRPr="002E7A04" w:rsidRDefault="00573E45" w:rsidP="009E3BF4">
      <w:pPr>
        <w:tabs>
          <w:tab w:val="left" w:pos="630"/>
        </w:tabs>
        <w:spacing w:line="360" w:lineRule="auto"/>
        <w:ind w:left="540" w:right="63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E7A04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="009E3BF4">
        <w:rPr>
          <w:rFonts w:asciiTheme="majorBidi" w:hAnsiTheme="majorBidi" w:cstheme="majorBidi"/>
          <w:b/>
          <w:bCs/>
          <w:sz w:val="24"/>
          <w:szCs w:val="24"/>
        </w:rPr>
        <w:t>6</w:t>
      </w:r>
      <w:bookmarkStart w:id="0" w:name="_GoBack"/>
      <w:bookmarkEnd w:id="0"/>
      <w:r w:rsidRPr="002E7A0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2E7A04" w:rsidRPr="002E7A04">
        <w:rPr>
          <w:rFonts w:asciiTheme="majorBidi" w:hAnsiTheme="majorBidi" w:cstheme="majorBidi"/>
          <w:b/>
          <w:bCs/>
          <w:sz w:val="24"/>
          <w:szCs w:val="24"/>
        </w:rPr>
        <w:t xml:space="preserve">Average bioequivalence of </w:t>
      </w:r>
      <w:proofErr w:type="spellStart"/>
      <w:r w:rsidR="002E7A04" w:rsidRPr="002E7A04">
        <w:rPr>
          <w:rFonts w:asciiTheme="majorBidi" w:hAnsiTheme="majorBidi" w:cstheme="majorBidi"/>
          <w:b/>
          <w:bCs/>
          <w:sz w:val="24"/>
          <w:szCs w:val="24"/>
        </w:rPr>
        <w:t>AUC</w:t>
      </w:r>
      <w:r w:rsidR="002E7A04" w:rsidRPr="002E7A04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Reftmax</w:t>
      </w:r>
      <w:proofErr w:type="spellEnd"/>
      <w:r w:rsidR="002E7A04" w:rsidRPr="002E7A04">
        <w:rPr>
          <w:rFonts w:asciiTheme="majorBidi" w:hAnsiTheme="majorBidi" w:cstheme="majorBidi"/>
          <w:b/>
          <w:bCs/>
          <w:sz w:val="24"/>
          <w:szCs w:val="24"/>
        </w:rPr>
        <w:t xml:space="preserve"> among three randomly-selected generic products and t reference product of 14 immediate-release, non-combinational, oral drugs</w:t>
      </w:r>
    </w:p>
    <w:tbl>
      <w:tblPr>
        <w:tblpPr w:leftFromText="180" w:rightFromText="180" w:vertAnchor="text" w:horzAnchor="margin" w:tblpXSpec="center" w:tblpY="141"/>
        <w:tblW w:w="8208" w:type="dxa"/>
        <w:jc w:val="center"/>
        <w:tblLook w:val="01E0" w:firstRow="1" w:lastRow="1" w:firstColumn="1" w:lastColumn="1" w:noHBand="0" w:noVBand="0"/>
      </w:tblPr>
      <w:tblGrid>
        <w:gridCol w:w="5184"/>
        <w:gridCol w:w="3024"/>
      </w:tblGrid>
      <w:tr w:rsidR="009A20B8" w:rsidRPr="002E7A04" w:rsidTr="008C27DB">
        <w:trPr>
          <w:trHeight w:val="155"/>
          <w:jc w:val="center"/>
        </w:trPr>
        <w:tc>
          <w:tcPr>
            <w:tcW w:w="51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20B8" w:rsidRPr="002E7A04" w:rsidRDefault="009A20B8" w:rsidP="001416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2E7A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AUC</w:t>
            </w:r>
            <w:r w:rsidRPr="002E7A04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Reftmax</w:t>
            </w:r>
            <w:proofErr w:type="spellEnd"/>
            <w:r w:rsidRPr="002E7A04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 xml:space="preserve">   </w:t>
            </w:r>
          </w:p>
        </w:tc>
      </w:tr>
      <w:tr w:rsidR="009A20B8" w:rsidRPr="002E7A04" w:rsidTr="008C27DB">
        <w:trPr>
          <w:trHeight w:val="154"/>
          <w:jc w:val="center"/>
        </w:trPr>
        <w:tc>
          <w:tcPr>
            <w:tcW w:w="5184" w:type="dxa"/>
            <w:tcBorders>
              <w:top w:val="single" w:sz="4" w:space="0" w:color="auto"/>
            </w:tcBorders>
            <w:shd w:val="clear" w:color="auto" w:fill="auto"/>
          </w:tcPr>
          <w:p w:rsidR="009A20B8" w:rsidRPr="002E7A04" w:rsidRDefault="009A20B8" w:rsidP="001416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Amlodipine</w:t>
            </w:r>
            <w:r w:rsidRPr="002E7A04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MSR 0.038, CV 19.7%</w:t>
            </w:r>
          </w:p>
        </w:tc>
        <w:tc>
          <w:tcPr>
            <w:tcW w:w="302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A20B8" w:rsidRPr="002E7A04" w:rsidRDefault="009A20B8" w:rsidP="001416F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76247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573E45" w:rsidRPr="002E7A04" w:rsidRDefault="00573E45" w:rsidP="001416F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a vs Reference (54)</w:t>
            </w:r>
          </w:p>
        </w:tc>
        <w:tc>
          <w:tcPr>
            <w:tcW w:w="3024" w:type="dxa"/>
            <w:shd w:val="clear" w:color="auto" w:fill="auto"/>
          </w:tcPr>
          <w:p w:rsidR="00573E45" w:rsidRPr="002E7A04" w:rsidRDefault="00573E45" w:rsidP="00093B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91.31% (85.75-97.23)</w:t>
            </w:r>
          </w:p>
        </w:tc>
      </w:tr>
      <w:tr w:rsidR="00C76247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573E45" w:rsidRPr="002E7A04" w:rsidRDefault="00573E45" w:rsidP="001416F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b vs Reference (54)</w:t>
            </w:r>
          </w:p>
        </w:tc>
        <w:tc>
          <w:tcPr>
            <w:tcW w:w="3024" w:type="dxa"/>
            <w:shd w:val="clear" w:color="auto" w:fill="auto"/>
          </w:tcPr>
          <w:p w:rsidR="00573E45" w:rsidRPr="002E7A04" w:rsidRDefault="00573E45" w:rsidP="00093B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92.36% (86.74-98.35)</w:t>
            </w:r>
          </w:p>
        </w:tc>
      </w:tr>
      <w:tr w:rsidR="00C76247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573E45" w:rsidRPr="002E7A04" w:rsidRDefault="00573E45" w:rsidP="00573E4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 xml:space="preserve">Generic c vs Reference (53) </w:t>
            </w:r>
          </w:p>
        </w:tc>
        <w:tc>
          <w:tcPr>
            <w:tcW w:w="3024" w:type="dxa"/>
            <w:shd w:val="clear" w:color="auto" w:fill="auto"/>
          </w:tcPr>
          <w:p w:rsidR="00573E45" w:rsidRPr="002E7A04" w:rsidRDefault="00573E45" w:rsidP="00093B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93.62% (87.87-99.75)</w:t>
            </w:r>
          </w:p>
        </w:tc>
      </w:tr>
      <w:tr w:rsidR="00C76247" w:rsidRPr="002E7A04" w:rsidTr="008C27DB">
        <w:trPr>
          <w:jc w:val="center"/>
        </w:trPr>
        <w:tc>
          <w:tcPr>
            <w:tcW w:w="5184" w:type="dxa"/>
            <w:shd w:val="clear" w:color="auto" w:fill="auto"/>
            <w:vAlign w:val="center"/>
          </w:tcPr>
          <w:p w:rsidR="00573E45" w:rsidRPr="002E7A04" w:rsidRDefault="00573E45" w:rsidP="001416F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 xml:space="preserve">Generic a vs Generic b (54) </w:t>
            </w:r>
          </w:p>
        </w:tc>
        <w:tc>
          <w:tcPr>
            <w:tcW w:w="3024" w:type="dxa"/>
            <w:shd w:val="clear" w:color="auto" w:fill="auto"/>
          </w:tcPr>
          <w:p w:rsidR="00573E45" w:rsidRPr="002E7A04" w:rsidRDefault="00573E45" w:rsidP="00093B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98.86% (92.84-105.27)</w:t>
            </w:r>
          </w:p>
        </w:tc>
      </w:tr>
      <w:tr w:rsidR="00C76247" w:rsidRPr="002E7A04" w:rsidTr="008C27DB">
        <w:trPr>
          <w:jc w:val="center"/>
        </w:trPr>
        <w:tc>
          <w:tcPr>
            <w:tcW w:w="5184" w:type="dxa"/>
            <w:shd w:val="clear" w:color="auto" w:fill="auto"/>
            <w:vAlign w:val="center"/>
          </w:tcPr>
          <w:p w:rsidR="00573E45" w:rsidRPr="002E7A04" w:rsidRDefault="00573E45" w:rsidP="00573E4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b vs Generic c (53)</w:t>
            </w:r>
          </w:p>
        </w:tc>
        <w:tc>
          <w:tcPr>
            <w:tcW w:w="3024" w:type="dxa"/>
            <w:shd w:val="clear" w:color="auto" w:fill="auto"/>
          </w:tcPr>
          <w:p w:rsidR="00573E45" w:rsidRPr="002E7A04" w:rsidRDefault="00573E45" w:rsidP="00093B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99.03% (92.94-105.51)</w:t>
            </w:r>
          </w:p>
        </w:tc>
      </w:tr>
      <w:tr w:rsidR="00C76247" w:rsidRPr="002E7A04" w:rsidTr="008C27DB">
        <w:trPr>
          <w:jc w:val="center"/>
        </w:trPr>
        <w:tc>
          <w:tcPr>
            <w:tcW w:w="5184" w:type="dxa"/>
            <w:shd w:val="clear" w:color="auto" w:fill="auto"/>
            <w:vAlign w:val="center"/>
          </w:tcPr>
          <w:p w:rsidR="00573E45" w:rsidRPr="002E7A04" w:rsidRDefault="00573E45" w:rsidP="00573E4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a vs Generic c (53)</w:t>
            </w:r>
          </w:p>
        </w:tc>
        <w:tc>
          <w:tcPr>
            <w:tcW w:w="3024" w:type="dxa"/>
            <w:shd w:val="clear" w:color="auto" w:fill="auto"/>
          </w:tcPr>
          <w:p w:rsidR="00573E45" w:rsidRPr="002E7A04" w:rsidRDefault="00573E45" w:rsidP="00093B3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97.47% (91.48-103.85)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Amoxicillin</w:t>
            </w:r>
            <w:r w:rsidRPr="002E7A04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 xml:space="preserve">  </w:t>
            </w:r>
            <w:r w:rsidRPr="002E7A04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MSR 0.249, CV 53.2%</w:t>
            </w:r>
          </w:p>
        </w:tc>
        <w:tc>
          <w:tcPr>
            <w:tcW w:w="302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a vs Reference (49)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83.50% (70.51-98.89)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b vs Reference (49)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95.87% (80.95-113.54)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 xml:space="preserve">Generic c vs Reference (49) 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101.07% (85.34-119.70)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 xml:space="preserve">Generic a vs Generic b (49) 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87.10% (73.54-103.15)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b vs Generic c (49)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94.85% (80.09-112.34)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a vs Generic c (49)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82.61% (69.76-97.84)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Atenolol</w:t>
            </w:r>
            <w:r w:rsidRPr="002E7A04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    MSR 0.193, CV 46.1%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a vs Reference (48)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98.88% (85.06-114.94)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b vs Reference (48)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80.49% (69.24-93.57)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 xml:space="preserve">Generic c vs Reference (48) 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92.24% (79.35-107.22)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 xml:space="preserve">Generic a vs Generic b (48) 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8C27DB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122.85% (105.68-142.81</w:t>
            </w:r>
            <w:r w:rsidR="009A20B8" w:rsidRPr="002E7A04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b vs Generic c (48)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87.26% (75.07-101.44)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a vs Generic c (48)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107.20% (92.22-124.61)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Cephalexin</w:t>
            </w:r>
            <w:r w:rsidRPr="002E7A04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MSR 0.285, CV 57.4%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a vs Reference (32)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100.05% (79.77-125.49)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b vs Reference (32)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83.52% (66.59-104.76)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 xml:space="preserve">Generic c vs Reference (32) 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91.93% (73.29-115.30)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 xml:space="preserve">Generic a vs Generic b (32) 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119.79% (95.51-150.25)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b vs Generic c (32)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90.86% (72.44-113.95)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a vs Generic c (32)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108.84% (86.78-136.51)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Ciprofloxacin</w:t>
            </w:r>
            <w:r w:rsidRPr="002E7A04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MSR 0.534, CV 84.0%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a vs Reference (41)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90.74% (69.14-119.10)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b vs Reference (41)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76.57% (58.34-100.50)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 xml:space="preserve">Generic c vs Reference (41) 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94.68% (72.14-124.27)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 xml:space="preserve">Generic a vs Generic b (41) 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118.50% (90.29-155.53)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b vs Generic c (41)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80.87% (61.62-106.15)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a vs Generic c (41)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95.84% (73.02-125.78)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9A20B8" w:rsidRPr="002E7A04" w:rsidRDefault="009A20B8" w:rsidP="009A20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9A20B8" w:rsidRPr="002E7A04" w:rsidRDefault="009A20B8" w:rsidP="009A20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8D5242" w:rsidRPr="002E7A04" w:rsidRDefault="008D5242" w:rsidP="009A20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9A20B8" w:rsidRPr="002E7A04" w:rsidRDefault="009A20B8" w:rsidP="009A20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Clarithromycin</w:t>
            </w:r>
            <w:r w:rsidRPr="002E7A04">
              <w:rPr>
                <w:rFonts w:asciiTheme="majorBidi" w:hAnsiTheme="majorBidi" w:cstheme="majorBidi"/>
                <w:sz w:val="24"/>
                <w:szCs w:val="24"/>
              </w:rPr>
              <w:t xml:space="preserve">                 MSR 0.827, CV113.4%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9A20B8" w:rsidRPr="002E7A04" w:rsidRDefault="009A20B8" w:rsidP="009A20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9A20B8" w:rsidRPr="002E7A04" w:rsidRDefault="009A20B8" w:rsidP="009A20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9A20B8" w:rsidRPr="002E7A04" w:rsidRDefault="009A20B8" w:rsidP="009A20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Generic a vs Reference (48)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68.26% (49.99-93.22)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b vs Reference (47)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68.48% (49.97-93.84)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 xml:space="preserve">Generic c vs Reference (48) 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65.79% (48.18-89.85)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 xml:space="preserve">Generic a vs Generic b (47) 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98.59% (71.95-135.10)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b vs Generic c (47)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105.25% (76.81-144.23)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a vs Generic c (48)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103.76% (75.98-141.70)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Diclofenac</w:t>
            </w:r>
            <w:r w:rsidRPr="002E7A04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MSR 1.875, CV 235.0%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a vs Reference (67)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81.44% (54.88-120.86)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b vs Reference (68)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54.41% (36.78-80.51)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 xml:space="preserve">Generic c vs Reference (68) 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48.47% (32.76-71.72)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 xml:space="preserve">Generic a vs Generic b (67) 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153.71% (103.57-228.11)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b vs Generic c (68)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112.26% (75.87-166.10)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a vs Generic c (67)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169.28% (114.06-251.21)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Ibuprofen</w:t>
            </w:r>
            <w:r w:rsidRPr="002E7A04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MSR 0.158, CV 41.4 %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a vs Reference (27)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147.90% (122.94-177.91)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b vs Reference (25)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168.83% (139.24-204.71)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 xml:space="preserve">Generic c vs Reference (26) 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97.43% (80.68-117.65)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 xml:space="preserve">Generic a vs Generic b (25) 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89.38% (73.71-108.37)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b vs Generic c (25)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176.91% (145.91-214.51)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a vs Generic c (26)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150.39%  (124.54-181.61)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Fluconazole</w:t>
            </w:r>
            <w:r w:rsidRPr="002E7A04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MSR 0.022, CV 14.9%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a vs Reference (26)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111.08% (103.53-119.18)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b vs Reference (25)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117.80% (109.63-126.58)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 xml:space="preserve">Generic c vs Reference (25) 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122.64% (114.13-131.78)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 xml:space="preserve">Generic a vs Generic b (25) 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94.05% (87.52-101.06)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b vs Generic c (25)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96.06% (89.39-103.22)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a vs Generic c (25)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90.34% (84.07-97.07)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Metformin</w:t>
            </w:r>
            <w:r w:rsidRPr="002E7A04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MSR 0.042, CV 20.7 %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a vs Reference (48)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95.19% (88.73-102.11)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b vs Reference (48)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97.84% (91.20-104.96)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 xml:space="preserve">Generic c vs Reference (49) 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93.21% (86.95-99.92)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 xml:space="preserve">Generic a vs Generic b (48) 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97.29% (90.69-104.37)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b vs Generic c (48)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106.08% (98.89-113.80)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a vs Generic c (48)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103.21% (96.21-110.71)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Metronidazole</w:t>
            </w:r>
            <w:r w:rsidRPr="002E7A04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MSR 0.209, CV 48.2%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a vs Reference (28)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105.01% (85.26-129.34)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b vs Reference (27)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87.50% (70.75-108.23)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 xml:space="preserve">Generic c vs Reference (28) 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94.74% (76.92-116.69)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 xml:space="preserve">Generic a vs Generic b (27) 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118.01% (95.41-145.95)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b vs Generic c (27)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90.28% (72.99-111.66)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a vs Generic c (28)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110.84% (89.99-136.52)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9A20B8" w:rsidRPr="002E7A04" w:rsidRDefault="009A20B8" w:rsidP="009A20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9A20B8" w:rsidRPr="002E7A04" w:rsidRDefault="009A20B8" w:rsidP="009A20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8D5242" w:rsidRPr="002E7A04" w:rsidRDefault="008D5242" w:rsidP="009A20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9A20B8" w:rsidRPr="002E7A04" w:rsidRDefault="009A20B8" w:rsidP="009A20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Omeprazole</w:t>
            </w:r>
            <w:r w:rsidRPr="002E7A04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MSR 2.199, CV 283.1%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Generic a vs Reference (74)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49.57% (33.02-74.41)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b vs Reference (73)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22.72% (15.09-34.20)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 xml:space="preserve">Generic c vs Reference (74) 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22.81% (15.20-34.25)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 xml:space="preserve">Generic a vs Generic b (73) 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235.32% (156.32-354.26)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b vs Generic c (73)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93.41% (62.05-140.62)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a vs Generic c (74)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217.29% (144.75-326.18)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Paracetamol</w:t>
            </w:r>
            <w:r w:rsidRPr="002E7A04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MSR1.060, CV 137.4%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a vs Reference (40)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81.58% (55.34-120.26)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b vs Reference (38)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100.61% (67.52-149.91)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 xml:space="preserve">Generic c vs Reference (39) 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43.13% (29.10-63.91)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  <w:vAlign w:val="center"/>
          </w:tcPr>
          <w:p w:rsidR="009A20B8" w:rsidRPr="002E7A04" w:rsidRDefault="009A20B8" w:rsidP="00C659A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a vs Generic b (3</w:t>
            </w:r>
            <w:r w:rsidR="00C659A5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Pr="002E7A04">
              <w:rPr>
                <w:rFonts w:asciiTheme="majorBidi" w:hAnsiTheme="majorBidi" w:cstheme="majorBidi"/>
                <w:sz w:val="24"/>
                <w:szCs w:val="24"/>
              </w:rPr>
              <w:t xml:space="preserve">) 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83.55% (56.38-123.82)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b vs Generic c (38)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241.83% (162.30-360.32)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a vs Generic c (39)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196.46% (132.57-291.15)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Ranitidine</w:t>
            </w:r>
            <w:r w:rsidRPr="002E7A04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MSR 0.069, CV 26.7%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a vs Reference (70)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106.21% (98.63-114.38)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b vs Reference (71)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94.69% (87.98-101.91)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 xml:space="preserve">Generic c vs Reference (72) 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103.62% (96.33-111.47)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 xml:space="preserve">Generic a vs Generic b (70) 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112.79% (104.74-121.46)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b vs Generic c (71)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91.20% (84.74-98.16)</w:t>
            </w:r>
          </w:p>
        </w:tc>
      </w:tr>
      <w:tr w:rsidR="009A20B8" w:rsidRPr="002E7A04" w:rsidTr="008C27DB">
        <w:trPr>
          <w:jc w:val="center"/>
        </w:trPr>
        <w:tc>
          <w:tcPr>
            <w:tcW w:w="51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Generic a vs Generic c (70)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20B8" w:rsidRPr="002E7A04" w:rsidRDefault="009A20B8" w:rsidP="009A20B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E7A04">
              <w:rPr>
                <w:rFonts w:asciiTheme="majorBidi" w:hAnsiTheme="majorBidi" w:cstheme="majorBidi"/>
                <w:sz w:val="24"/>
                <w:szCs w:val="24"/>
              </w:rPr>
              <w:t>102.49% (95.17-110.36)</w:t>
            </w:r>
          </w:p>
        </w:tc>
      </w:tr>
    </w:tbl>
    <w:p w:rsidR="00144348" w:rsidRPr="002E7A04" w:rsidRDefault="00144348" w:rsidP="001416F5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ZA"/>
        </w:rPr>
      </w:pPr>
    </w:p>
    <w:p w:rsidR="00573E45" w:rsidRPr="002E7A04" w:rsidRDefault="008A3802" w:rsidP="00C659A5">
      <w:pPr>
        <w:spacing w:line="360" w:lineRule="auto"/>
        <w:ind w:left="540" w:right="540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2E7A04">
        <w:rPr>
          <w:rFonts w:asciiTheme="majorBidi" w:eastAsia="Arial Unicode MS" w:hAnsiTheme="majorBidi" w:cstheme="majorBidi"/>
          <w:sz w:val="24"/>
          <w:szCs w:val="24"/>
        </w:rPr>
        <w:t>AUC</w:t>
      </w:r>
      <w:r w:rsidRPr="002E7A04">
        <w:rPr>
          <w:rFonts w:asciiTheme="majorBidi" w:hAnsiTheme="majorBidi" w:cstheme="majorBidi"/>
          <w:sz w:val="24"/>
          <w:szCs w:val="24"/>
          <w:vertAlign w:val="subscript"/>
        </w:rPr>
        <w:t>Reftmax</w:t>
      </w:r>
      <w:proofErr w:type="spellEnd"/>
      <w:r w:rsidR="00C76247" w:rsidRPr="002E7A04">
        <w:rPr>
          <w:rFonts w:asciiTheme="majorBidi" w:eastAsia="Arial Unicode MS" w:hAnsiTheme="majorBidi" w:cstheme="majorBidi"/>
          <w:sz w:val="24"/>
          <w:szCs w:val="24"/>
        </w:rPr>
        <w:t xml:space="preserve"> is area-under-the-concentration-time </w:t>
      </w:r>
      <w:r w:rsidRPr="002E7A04">
        <w:rPr>
          <w:rFonts w:asciiTheme="majorBidi" w:eastAsia="Arial Unicode MS" w:hAnsiTheme="majorBidi" w:cstheme="majorBidi"/>
          <w:sz w:val="24"/>
          <w:szCs w:val="24"/>
        </w:rPr>
        <w:t>curve to time of maximum concentration of reference product, calculated for each subject.  When reference pro</w:t>
      </w:r>
      <w:r w:rsidR="00C76247" w:rsidRPr="002E7A04">
        <w:rPr>
          <w:rFonts w:asciiTheme="majorBidi" w:eastAsia="Arial Unicode MS" w:hAnsiTheme="majorBidi" w:cstheme="majorBidi"/>
          <w:sz w:val="24"/>
          <w:szCs w:val="24"/>
        </w:rPr>
        <w:t>duct data were not available</w:t>
      </w:r>
      <w:r w:rsidRPr="002E7A04">
        <w:rPr>
          <w:rFonts w:asciiTheme="majorBidi" w:eastAsia="Arial Unicode MS" w:hAnsiTheme="majorBidi" w:cstheme="majorBidi"/>
          <w:sz w:val="24"/>
          <w:szCs w:val="24"/>
        </w:rPr>
        <w:t>, the entire data of the subject were deleted. When all concentrations up to reference product T</w:t>
      </w:r>
      <w:r w:rsidRPr="002E7A04">
        <w:rPr>
          <w:rFonts w:asciiTheme="majorBidi" w:eastAsia="Arial Unicode MS" w:hAnsiTheme="majorBidi" w:cstheme="majorBidi"/>
          <w:sz w:val="24"/>
          <w:szCs w:val="24"/>
          <w:vertAlign w:val="subscript"/>
        </w:rPr>
        <w:t>max</w:t>
      </w:r>
      <w:r w:rsidRPr="002E7A04">
        <w:rPr>
          <w:rFonts w:asciiTheme="majorBidi" w:eastAsia="Arial Unicode MS" w:hAnsiTheme="majorBidi" w:cstheme="majorBidi"/>
          <w:sz w:val="24"/>
          <w:szCs w:val="24"/>
        </w:rPr>
        <w:t xml:space="preserve"> of a particular generic product were zero, 0.001 was added to each time point. </w:t>
      </w:r>
      <w:r w:rsidR="00573E45" w:rsidRPr="002E7A04">
        <w:rPr>
          <w:rFonts w:asciiTheme="majorBidi" w:hAnsiTheme="majorBidi" w:cstheme="majorBidi"/>
          <w:sz w:val="24"/>
          <w:szCs w:val="24"/>
        </w:rPr>
        <w:t xml:space="preserve">Data represent </w:t>
      </w:r>
      <w:r w:rsidR="009A20B8" w:rsidRPr="002E7A04">
        <w:rPr>
          <w:rFonts w:asciiTheme="majorBidi" w:hAnsiTheme="majorBidi" w:cstheme="majorBidi"/>
          <w:sz w:val="24"/>
          <w:szCs w:val="24"/>
        </w:rPr>
        <w:t xml:space="preserve">geometric mean ratios and unadjusted 90% confidence intervals. </w:t>
      </w:r>
      <w:r w:rsidR="00573E45" w:rsidRPr="002E7A04">
        <w:rPr>
          <w:rFonts w:asciiTheme="majorBidi" w:hAnsiTheme="majorBidi" w:cstheme="majorBidi"/>
          <w:sz w:val="24"/>
          <w:szCs w:val="24"/>
        </w:rPr>
        <w:t xml:space="preserve"> The number of subjects </w:t>
      </w:r>
      <w:r w:rsidR="00C659A5">
        <w:rPr>
          <w:rFonts w:asciiTheme="majorBidi" w:hAnsiTheme="majorBidi" w:cstheme="majorBidi"/>
          <w:sz w:val="24"/>
          <w:szCs w:val="24"/>
        </w:rPr>
        <w:t xml:space="preserve">analyzed </w:t>
      </w:r>
      <w:r w:rsidR="00573E45" w:rsidRPr="002E7A04">
        <w:rPr>
          <w:rFonts w:asciiTheme="majorBidi" w:hAnsiTheme="majorBidi" w:cstheme="majorBidi"/>
          <w:sz w:val="24"/>
          <w:szCs w:val="24"/>
        </w:rPr>
        <w:t>in each comparison is presented between parentheses in the first column. M</w:t>
      </w:r>
      <w:r w:rsidR="009A20B8" w:rsidRPr="002E7A04">
        <w:rPr>
          <w:rFonts w:asciiTheme="majorBidi" w:hAnsiTheme="majorBidi" w:cstheme="majorBidi"/>
          <w:sz w:val="24"/>
          <w:szCs w:val="24"/>
        </w:rPr>
        <w:t>SR is m</w:t>
      </w:r>
      <w:r w:rsidR="00573E45" w:rsidRPr="002E7A04">
        <w:rPr>
          <w:rFonts w:asciiTheme="majorBidi" w:hAnsiTheme="majorBidi" w:cstheme="majorBidi"/>
          <w:sz w:val="24"/>
          <w:szCs w:val="24"/>
        </w:rPr>
        <w:t>ean square residual from analysis of variance (ANOVA)</w:t>
      </w:r>
      <w:r w:rsidR="009A20B8" w:rsidRPr="002E7A04">
        <w:rPr>
          <w:rFonts w:asciiTheme="majorBidi" w:hAnsiTheme="majorBidi" w:cstheme="majorBidi"/>
          <w:sz w:val="24"/>
          <w:szCs w:val="24"/>
        </w:rPr>
        <w:t xml:space="preserve">. CV is </w:t>
      </w:r>
      <w:r w:rsidR="00573E45" w:rsidRPr="002E7A04">
        <w:rPr>
          <w:rFonts w:asciiTheme="majorBidi" w:hAnsiTheme="majorBidi" w:cstheme="majorBidi"/>
          <w:sz w:val="24"/>
          <w:szCs w:val="24"/>
        </w:rPr>
        <w:t>intra-subject coefficient of variat</w:t>
      </w:r>
      <w:r w:rsidR="00806684" w:rsidRPr="002E7A04">
        <w:rPr>
          <w:rFonts w:asciiTheme="majorBidi" w:hAnsiTheme="majorBidi" w:cstheme="majorBidi"/>
          <w:sz w:val="24"/>
          <w:szCs w:val="24"/>
        </w:rPr>
        <w:t>ion calculated as 10</w:t>
      </w:r>
      <w:r w:rsidR="00573E45" w:rsidRPr="002E7A04">
        <w:rPr>
          <w:rFonts w:asciiTheme="majorBidi" w:hAnsiTheme="majorBidi" w:cstheme="majorBidi"/>
          <w:sz w:val="24"/>
          <w:szCs w:val="24"/>
        </w:rPr>
        <w:t xml:space="preserve"> x (</w:t>
      </w:r>
      <w:proofErr w:type="spellStart"/>
      <w:proofErr w:type="gramStart"/>
      <w:r w:rsidR="00573E45" w:rsidRPr="002E7A04">
        <w:rPr>
          <w:rFonts w:asciiTheme="majorBidi" w:hAnsiTheme="majorBidi" w:cstheme="majorBidi"/>
          <w:sz w:val="24"/>
          <w:szCs w:val="24"/>
        </w:rPr>
        <w:t>exp</w:t>
      </w:r>
      <w:proofErr w:type="spellEnd"/>
      <w:r w:rsidR="00573E45" w:rsidRPr="002E7A04">
        <w:rPr>
          <w:rFonts w:asciiTheme="majorBidi" w:hAnsiTheme="majorBidi" w:cstheme="majorBidi"/>
          <w:sz w:val="24"/>
          <w:szCs w:val="24"/>
        </w:rPr>
        <w:t>(</w:t>
      </w:r>
      <w:proofErr w:type="gramEnd"/>
      <w:r w:rsidR="00573E45" w:rsidRPr="002E7A04">
        <w:rPr>
          <w:rFonts w:asciiTheme="majorBidi" w:hAnsiTheme="majorBidi" w:cstheme="majorBidi"/>
          <w:sz w:val="24"/>
          <w:szCs w:val="24"/>
        </w:rPr>
        <w:t>MSR)-1)</w:t>
      </w:r>
      <w:r w:rsidR="00573E45" w:rsidRPr="002E7A04">
        <w:rPr>
          <w:rFonts w:asciiTheme="majorBidi" w:hAnsiTheme="majorBidi" w:cstheme="majorBidi"/>
          <w:sz w:val="24"/>
          <w:szCs w:val="24"/>
          <w:vertAlign w:val="superscript"/>
        </w:rPr>
        <w:t>0.5</w:t>
      </w:r>
      <w:r w:rsidR="009A20B8" w:rsidRPr="002E7A04">
        <w:rPr>
          <w:rFonts w:asciiTheme="majorBidi" w:hAnsiTheme="majorBidi" w:cstheme="majorBidi"/>
          <w:sz w:val="24"/>
          <w:szCs w:val="24"/>
        </w:rPr>
        <w:t>.</w:t>
      </w:r>
      <w:r w:rsidR="00573E45" w:rsidRPr="002E7A04">
        <w:rPr>
          <w:rFonts w:asciiTheme="majorBidi" w:hAnsiTheme="majorBidi" w:cstheme="majorBidi"/>
          <w:sz w:val="24"/>
          <w:szCs w:val="24"/>
        </w:rPr>
        <w:t xml:space="preserve"> </w:t>
      </w:r>
    </w:p>
    <w:p w:rsidR="00573E45" w:rsidRPr="009A20B8" w:rsidRDefault="00573E45" w:rsidP="00806684">
      <w:pPr>
        <w:spacing w:line="360" w:lineRule="auto"/>
        <w:ind w:right="-900"/>
        <w:jc w:val="both"/>
        <w:rPr>
          <w:rFonts w:asciiTheme="majorBidi" w:hAnsiTheme="majorBidi" w:cstheme="majorBidi"/>
          <w:sz w:val="24"/>
          <w:szCs w:val="24"/>
        </w:rPr>
      </w:pPr>
    </w:p>
    <w:p w:rsidR="00573E45" w:rsidRDefault="00573E45" w:rsidP="001416F5">
      <w:pPr>
        <w:spacing w:line="360" w:lineRule="auto"/>
        <w:ind w:left="-900" w:right="-900"/>
        <w:jc w:val="both"/>
        <w:rPr>
          <w:sz w:val="24"/>
          <w:szCs w:val="24"/>
        </w:rPr>
      </w:pPr>
    </w:p>
    <w:p w:rsidR="006C798F" w:rsidRDefault="006C798F" w:rsidP="00727D10">
      <w:pPr>
        <w:spacing w:line="360" w:lineRule="auto"/>
        <w:ind w:left="-900" w:right="-900"/>
        <w:jc w:val="both"/>
      </w:pPr>
    </w:p>
    <w:sectPr w:rsidR="006C79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F1D"/>
    <w:rsid w:val="0002090F"/>
    <w:rsid w:val="000558CE"/>
    <w:rsid w:val="00056885"/>
    <w:rsid w:val="00083C29"/>
    <w:rsid w:val="00091E8D"/>
    <w:rsid w:val="00093B3B"/>
    <w:rsid w:val="000A3102"/>
    <w:rsid w:val="000A52AA"/>
    <w:rsid w:val="00102601"/>
    <w:rsid w:val="00122310"/>
    <w:rsid w:val="001416F5"/>
    <w:rsid w:val="00142411"/>
    <w:rsid w:val="00144348"/>
    <w:rsid w:val="001656A4"/>
    <w:rsid w:val="00174D67"/>
    <w:rsid w:val="001C74B8"/>
    <w:rsid w:val="00225BD9"/>
    <w:rsid w:val="00235871"/>
    <w:rsid w:val="002572DA"/>
    <w:rsid w:val="00260E3F"/>
    <w:rsid w:val="002835AC"/>
    <w:rsid w:val="002C07DE"/>
    <w:rsid w:val="002E7A04"/>
    <w:rsid w:val="003352B8"/>
    <w:rsid w:val="0036380B"/>
    <w:rsid w:val="003F71E4"/>
    <w:rsid w:val="00404F6E"/>
    <w:rsid w:val="0043364E"/>
    <w:rsid w:val="004474B3"/>
    <w:rsid w:val="00454D49"/>
    <w:rsid w:val="004A7325"/>
    <w:rsid w:val="004A7DDE"/>
    <w:rsid w:val="004B3345"/>
    <w:rsid w:val="004D0C88"/>
    <w:rsid w:val="00533BEF"/>
    <w:rsid w:val="005662FA"/>
    <w:rsid w:val="00573E45"/>
    <w:rsid w:val="005A5F47"/>
    <w:rsid w:val="00600D66"/>
    <w:rsid w:val="00610F84"/>
    <w:rsid w:val="00614AC8"/>
    <w:rsid w:val="00655289"/>
    <w:rsid w:val="00685867"/>
    <w:rsid w:val="006C798F"/>
    <w:rsid w:val="006F0784"/>
    <w:rsid w:val="00712864"/>
    <w:rsid w:val="00714CA6"/>
    <w:rsid w:val="00726163"/>
    <w:rsid w:val="00727D10"/>
    <w:rsid w:val="007574D0"/>
    <w:rsid w:val="00772045"/>
    <w:rsid w:val="00774593"/>
    <w:rsid w:val="007754DA"/>
    <w:rsid w:val="007A4744"/>
    <w:rsid w:val="00806684"/>
    <w:rsid w:val="0087294E"/>
    <w:rsid w:val="00883A25"/>
    <w:rsid w:val="00883B10"/>
    <w:rsid w:val="0089225E"/>
    <w:rsid w:val="00894C60"/>
    <w:rsid w:val="008A3802"/>
    <w:rsid w:val="008C27DB"/>
    <w:rsid w:val="008D5242"/>
    <w:rsid w:val="008F1B49"/>
    <w:rsid w:val="00953A5C"/>
    <w:rsid w:val="009A20B8"/>
    <w:rsid w:val="009A429C"/>
    <w:rsid w:val="009B2888"/>
    <w:rsid w:val="009C5172"/>
    <w:rsid w:val="009E3BF4"/>
    <w:rsid w:val="00A1391F"/>
    <w:rsid w:val="00A21F41"/>
    <w:rsid w:val="00A222E5"/>
    <w:rsid w:val="00A32342"/>
    <w:rsid w:val="00A47368"/>
    <w:rsid w:val="00B0593F"/>
    <w:rsid w:val="00B1724F"/>
    <w:rsid w:val="00B21EC4"/>
    <w:rsid w:val="00B512F2"/>
    <w:rsid w:val="00B54D6A"/>
    <w:rsid w:val="00B86745"/>
    <w:rsid w:val="00BA72A7"/>
    <w:rsid w:val="00BC62E5"/>
    <w:rsid w:val="00C13D89"/>
    <w:rsid w:val="00C659A5"/>
    <w:rsid w:val="00C76247"/>
    <w:rsid w:val="00C81050"/>
    <w:rsid w:val="00C85D23"/>
    <w:rsid w:val="00D23E28"/>
    <w:rsid w:val="00D349FA"/>
    <w:rsid w:val="00D379B6"/>
    <w:rsid w:val="00D453DB"/>
    <w:rsid w:val="00D5703C"/>
    <w:rsid w:val="00D60464"/>
    <w:rsid w:val="00DF3F1D"/>
    <w:rsid w:val="00E4632C"/>
    <w:rsid w:val="00E86687"/>
    <w:rsid w:val="00E86D85"/>
    <w:rsid w:val="00EE0696"/>
    <w:rsid w:val="00EE0C1B"/>
    <w:rsid w:val="00F20566"/>
    <w:rsid w:val="00F272B2"/>
    <w:rsid w:val="00F30420"/>
    <w:rsid w:val="00F40350"/>
    <w:rsid w:val="00F5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F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3F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F30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F30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F30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F30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F30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F30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F30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D34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0A52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0A52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0A52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0A52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51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17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F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3F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F30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F30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F30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F30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F30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F30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F30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D34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0A52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0A52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0A52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0A52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51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17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2581</TotalTime>
  <Pages>3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HAMMAMI, MUHAMMAD MAHER</dc:creator>
  <cp:lastModifiedBy>HAMMAMI, MUHAMMAD MAHER</cp:lastModifiedBy>
  <cp:revision>75</cp:revision>
  <cp:lastPrinted>2017-06-12T10:43:00Z</cp:lastPrinted>
  <dcterms:created xsi:type="dcterms:W3CDTF">2016-10-31T13:18:00Z</dcterms:created>
  <dcterms:modified xsi:type="dcterms:W3CDTF">2017-09-19T07:03:00Z</dcterms:modified>
</cp:coreProperties>
</file>