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F0E" w:rsidRPr="00A72F0E" w:rsidRDefault="00A72F0E" w:rsidP="0052608C">
      <w:pPr>
        <w:spacing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72F0E" w:rsidRPr="00A72F0E" w:rsidRDefault="00A72F0E" w:rsidP="0052608C">
      <w:pPr>
        <w:spacing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72F0E" w:rsidRPr="00A72F0E" w:rsidRDefault="00A72F0E" w:rsidP="0052608C">
      <w:pPr>
        <w:spacing w:line="2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72F0E">
        <w:rPr>
          <w:rFonts w:ascii="Times New Roman" w:hAnsi="Times New Roman" w:cs="Times New Roman"/>
          <w:sz w:val="24"/>
          <w:szCs w:val="24"/>
        </w:rPr>
        <w:t>Supplementary figures</w:t>
      </w:r>
    </w:p>
    <w:p w:rsidR="00A72F0E" w:rsidRPr="00A72F0E" w:rsidRDefault="00A72F0E" w:rsidP="0052608C">
      <w:pPr>
        <w:spacing w:line="2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72F0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274310" cy="2651760"/>
            <wp:effectExtent l="19050" t="0" r="2540" b="0"/>
            <wp:docPr id="1" name="图片 0" descr="Figure 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51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2F0E" w:rsidRPr="00A72F0E" w:rsidRDefault="00A72F0E" w:rsidP="005260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F0E">
        <w:rPr>
          <w:rFonts w:ascii="Times New Roman" w:hAnsi="Times New Roman" w:cs="Times New Roman"/>
          <w:sz w:val="24"/>
          <w:szCs w:val="24"/>
        </w:rPr>
        <w:t xml:space="preserve">Figure S1 Validation of ENU-related risk model in CGGA-325 dataset. (A) Kaplan-Meier survival curves showing the overall survival of </w:t>
      </w:r>
      <w:proofErr w:type="spellStart"/>
      <w:r w:rsidRPr="00A72F0E">
        <w:rPr>
          <w:rFonts w:ascii="Times New Roman" w:hAnsi="Times New Roman" w:cs="Times New Roman"/>
          <w:sz w:val="24"/>
          <w:szCs w:val="24"/>
        </w:rPr>
        <w:t>glioma</w:t>
      </w:r>
      <w:proofErr w:type="spellEnd"/>
      <w:r w:rsidRPr="00A72F0E">
        <w:rPr>
          <w:rFonts w:ascii="Times New Roman" w:hAnsi="Times New Roman" w:cs="Times New Roman"/>
          <w:sz w:val="24"/>
          <w:szCs w:val="24"/>
        </w:rPr>
        <w:t xml:space="preserve"> patients in the high-risk and low-risk groups. (B) ROC curve analysis of the risk model demonstrating the predictive performance for 1-year, 3-year, and 6-year survival.</w:t>
      </w:r>
    </w:p>
    <w:p w:rsidR="00A72F0E" w:rsidRDefault="00A72F0E" w:rsidP="0052608C">
      <w:pPr>
        <w:spacing w:line="22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743099" cy="2328874"/>
            <wp:effectExtent l="19050" t="0" r="351" b="0"/>
            <wp:docPr id="2" name="图片 1" descr="Figure S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43099" cy="2328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2F0E" w:rsidRDefault="00A72F0E" w:rsidP="005260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S</w:t>
      </w:r>
      <w:r>
        <w:rPr>
          <w:rFonts w:ascii="Times New Roman" w:hAnsi="Times New Roman" w:cs="Times New Roman" w:hint="eastAsia"/>
          <w:sz w:val="24"/>
          <w:szCs w:val="24"/>
        </w:rPr>
        <w:t>2</w:t>
      </w:r>
      <w:r w:rsidRPr="00A72F0E">
        <w:rPr>
          <w:rFonts w:ascii="Times New Roman" w:hAnsi="Times New Roman" w:cs="Times New Roman"/>
          <w:sz w:val="24"/>
          <w:szCs w:val="24"/>
        </w:rPr>
        <w:t xml:space="preserve"> Validation of ENU-related risk model in </w:t>
      </w:r>
      <w:r>
        <w:rPr>
          <w:rFonts w:ascii="Times New Roman" w:hAnsi="Times New Roman" w:cs="Times New Roman" w:hint="eastAsia"/>
          <w:sz w:val="24"/>
          <w:szCs w:val="24"/>
        </w:rPr>
        <w:t>GSE83300</w:t>
      </w:r>
      <w:r w:rsidRPr="00A72F0E">
        <w:rPr>
          <w:rFonts w:ascii="Times New Roman" w:hAnsi="Times New Roman" w:cs="Times New Roman"/>
          <w:sz w:val="24"/>
          <w:szCs w:val="24"/>
        </w:rPr>
        <w:t xml:space="preserve"> dataset. (A) Kaplan-Meier survival curves showing the overall survival of </w:t>
      </w:r>
      <w:proofErr w:type="spellStart"/>
      <w:r w:rsidRPr="00A72F0E">
        <w:rPr>
          <w:rFonts w:ascii="Times New Roman" w:hAnsi="Times New Roman" w:cs="Times New Roman"/>
          <w:sz w:val="24"/>
          <w:szCs w:val="24"/>
        </w:rPr>
        <w:t>glioma</w:t>
      </w:r>
      <w:proofErr w:type="spellEnd"/>
      <w:r w:rsidRPr="00A72F0E">
        <w:rPr>
          <w:rFonts w:ascii="Times New Roman" w:hAnsi="Times New Roman" w:cs="Times New Roman"/>
          <w:sz w:val="24"/>
          <w:szCs w:val="24"/>
        </w:rPr>
        <w:t xml:space="preserve"> patients in the high-risk and low-risk groups. (B) ROC curve analysis of the risk model demonstrating the pred</w:t>
      </w:r>
      <w:r>
        <w:rPr>
          <w:rFonts w:ascii="Times New Roman" w:hAnsi="Times New Roman" w:cs="Times New Roman"/>
          <w:sz w:val="24"/>
          <w:szCs w:val="24"/>
        </w:rPr>
        <w:t xml:space="preserve">ictive performance for 1-year, </w:t>
      </w:r>
      <w:r>
        <w:rPr>
          <w:rFonts w:ascii="Times New Roman" w:hAnsi="Times New Roman" w:cs="Times New Roman" w:hint="eastAsia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-year, and </w:t>
      </w:r>
      <w:r>
        <w:rPr>
          <w:rFonts w:ascii="Times New Roman" w:hAnsi="Times New Roman" w:cs="Times New Roman" w:hint="eastAsia"/>
          <w:sz w:val="24"/>
          <w:szCs w:val="24"/>
        </w:rPr>
        <w:t>3</w:t>
      </w:r>
      <w:r w:rsidRPr="00A72F0E">
        <w:rPr>
          <w:rFonts w:ascii="Times New Roman" w:hAnsi="Times New Roman" w:cs="Times New Roman"/>
          <w:sz w:val="24"/>
          <w:szCs w:val="24"/>
        </w:rPr>
        <w:t>-year survival.</w:t>
      </w:r>
    </w:p>
    <w:p w:rsidR="0052608C" w:rsidRDefault="0052608C" w:rsidP="0052608C">
      <w:pPr>
        <w:spacing w:line="22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3959352" cy="1799844"/>
            <wp:effectExtent l="19050" t="0" r="3048" b="0"/>
            <wp:docPr id="3" name="图片 2" descr="GSE16011 分组比较图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SE16011 分组比较图.tiff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9352" cy="1799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608C" w:rsidRDefault="0052608C" w:rsidP="0052608C">
      <w:pPr>
        <w:spacing w:line="22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Figure S3 Validation of </w:t>
      </w:r>
      <w:r w:rsidRPr="00A467C1">
        <w:rPr>
          <w:rFonts w:ascii="Times New Roman" w:hAnsi="Times New Roman" w:cs="Times New Roman"/>
          <w:sz w:val="24"/>
          <w:szCs w:val="24"/>
        </w:rPr>
        <w:t>ENU-related risk model</w:t>
      </w:r>
      <w:r>
        <w:rPr>
          <w:rFonts w:ascii="Times New Roman" w:hAnsi="Times New Roman" w:cs="Times New Roman"/>
          <w:sz w:val="24"/>
          <w:szCs w:val="24"/>
        </w:rPr>
        <w:t xml:space="preserve"> genes</w:t>
      </w:r>
      <w:r>
        <w:rPr>
          <w:rFonts w:ascii="Times New Roman" w:hAnsi="Times New Roman" w:cs="Times New Roman" w:hint="eastAsia"/>
          <w:sz w:val="24"/>
          <w:szCs w:val="24"/>
        </w:rPr>
        <w:t xml:space="preserve"> in GSE16011 dataset. **p &lt; 0.01, ***p &lt; 0.001.</w:t>
      </w:r>
    </w:p>
    <w:p w:rsidR="0052608C" w:rsidRDefault="0052608C" w:rsidP="0052608C">
      <w:pPr>
        <w:spacing w:line="22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959352" cy="1799844"/>
            <wp:effectExtent l="19050" t="0" r="3048" b="0"/>
            <wp:docPr id="4" name="图片 3" descr="gse4290 分组比较图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se4290 分组比较图.tiff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9352" cy="1799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608C" w:rsidRDefault="0052608C" w:rsidP="0052608C">
      <w:pPr>
        <w:spacing w:line="22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Figure S4 Validation of </w:t>
      </w:r>
      <w:r w:rsidRPr="00A467C1">
        <w:rPr>
          <w:rFonts w:ascii="Times New Roman" w:hAnsi="Times New Roman" w:cs="Times New Roman"/>
          <w:sz w:val="24"/>
          <w:szCs w:val="24"/>
        </w:rPr>
        <w:t>ENU-related risk model</w:t>
      </w:r>
      <w:r>
        <w:rPr>
          <w:rFonts w:ascii="Times New Roman" w:hAnsi="Times New Roman" w:cs="Times New Roman"/>
          <w:sz w:val="24"/>
          <w:szCs w:val="24"/>
        </w:rPr>
        <w:t xml:space="preserve"> genes</w:t>
      </w:r>
      <w:r>
        <w:rPr>
          <w:rFonts w:ascii="Times New Roman" w:hAnsi="Times New Roman" w:cs="Times New Roman" w:hint="eastAsia"/>
          <w:sz w:val="24"/>
          <w:szCs w:val="24"/>
        </w:rPr>
        <w:t xml:space="preserve"> in GSE4290 dataset. *p &lt; 0.05, **p &lt; 0.01, ***p &lt; 0.001.</w:t>
      </w:r>
    </w:p>
    <w:p w:rsidR="0052608C" w:rsidRDefault="0052608C" w:rsidP="0052608C">
      <w:pPr>
        <w:spacing w:line="220" w:lineRule="atLeast"/>
        <w:jc w:val="both"/>
        <w:rPr>
          <w:rFonts w:ascii="Times New Roman" w:hAnsi="Times New Roman" w:cs="Times New Roman" w:hint="eastAsia"/>
          <w:sz w:val="24"/>
          <w:szCs w:val="24"/>
        </w:rPr>
      </w:pPr>
    </w:p>
    <w:p w:rsidR="005756EE" w:rsidRDefault="005756EE" w:rsidP="0052608C">
      <w:pPr>
        <w:spacing w:line="220" w:lineRule="atLeast"/>
        <w:jc w:val="both"/>
        <w:rPr>
          <w:rFonts w:ascii="Times New Roman" w:hAnsi="Times New Roman" w:cs="Times New Roman" w:hint="eastAsia"/>
          <w:sz w:val="24"/>
          <w:szCs w:val="24"/>
        </w:rPr>
      </w:pPr>
    </w:p>
    <w:p w:rsidR="005756EE" w:rsidRDefault="005756EE" w:rsidP="0052608C">
      <w:pPr>
        <w:spacing w:line="220" w:lineRule="atLeast"/>
        <w:jc w:val="both"/>
        <w:rPr>
          <w:rFonts w:ascii="Times New Roman" w:hAnsi="Times New Roman" w:cs="Times New Roman" w:hint="eastAsia"/>
          <w:sz w:val="24"/>
          <w:szCs w:val="24"/>
        </w:rPr>
      </w:pPr>
    </w:p>
    <w:p w:rsidR="005756EE" w:rsidRPr="00A72F0E" w:rsidRDefault="005756EE" w:rsidP="0052608C">
      <w:pPr>
        <w:spacing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72F0E" w:rsidRDefault="005756EE" w:rsidP="0052608C">
      <w:pPr>
        <w:spacing w:line="220" w:lineRule="atLeast"/>
        <w:jc w:val="both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274310" cy="2947035"/>
            <wp:effectExtent l="19050" t="0" r="2540" b="0"/>
            <wp:docPr id="5" name="图片 4" descr="Figure S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5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47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56EE" w:rsidRDefault="005756EE" w:rsidP="005756EE">
      <w:pPr>
        <w:spacing w:line="360" w:lineRule="auto"/>
        <w:jc w:val="both"/>
        <w:rPr>
          <w:rFonts w:ascii="Times New Roman" w:hAnsi="Times New Roman" w:cs="Times New Roman" w:hint="eastAsia"/>
          <w:sz w:val="24"/>
          <w:szCs w:val="24"/>
        </w:rPr>
      </w:pPr>
      <w:r w:rsidRPr="005756EE">
        <w:rPr>
          <w:rFonts w:ascii="Times New Roman" w:hAnsi="Times New Roman" w:cs="Times New Roman" w:hint="eastAsia"/>
          <w:sz w:val="24"/>
          <w:szCs w:val="24"/>
          <w:highlight w:val="yellow"/>
        </w:rPr>
        <w:t xml:space="preserve">Figure S5 </w:t>
      </w:r>
      <w:r w:rsidRPr="005756EE">
        <w:rPr>
          <w:rFonts w:ascii="Times New Roman" w:hAnsi="Times New Roman" w:cs="Times New Roman"/>
          <w:sz w:val="24"/>
          <w:szCs w:val="24"/>
          <w:highlight w:val="yellow"/>
        </w:rPr>
        <w:t xml:space="preserve">Molecular </w:t>
      </w:r>
      <w:r w:rsidRPr="005756EE">
        <w:rPr>
          <w:rFonts w:ascii="Times New Roman" w:hAnsi="Times New Roman" w:cs="Times New Roman" w:hint="eastAsia"/>
          <w:sz w:val="24"/>
          <w:szCs w:val="24"/>
          <w:highlight w:val="yellow"/>
        </w:rPr>
        <w:t>d</w:t>
      </w:r>
      <w:r w:rsidRPr="005756EE">
        <w:rPr>
          <w:rFonts w:ascii="Times New Roman" w:hAnsi="Times New Roman" w:cs="Times New Roman"/>
          <w:sz w:val="24"/>
          <w:szCs w:val="24"/>
          <w:highlight w:val="yellow"/>
        </w:rPr>
        <w:t xml:space="preserve">ynamics </w:t>
      </w:r>
      <w:r w:rsidRPr="005756EE">
        <w:rPr>
          <w:rFonts w:ascii="Times New Roman" w:hAnsi="Times New Roman" w:cs="Times New Roman" w:hint="eastAsia"/>
          <w:sz w:val="24"/>
          <w:szCs w:val="24"/>
          <w:highlight w:val="yellow"/>
        </w:rPr>
        <w:t>s</w:t>
      </w:r>
      <w:r w:rsidRPr="005756EE">
        <w:rPr>
          <w:rFonts w:ascii="Times New Roman" w:hAnsi="Times New Roman" w:cs="Times New Roman"/>
          <w:sz w:val="24"/>
          <w:szCs w:val="24"/>
          <w:highlight w:val="yellow"/>
        </w:rPr>
        <w:t xml:space="preserve">imulation </w:t>
      </w:r>
      <w:r w:rsidRPr="005756EE">
        <w:rPr>
          <w:rFonts w:ascii="Times New Roman" w:hAnsi="Times New Roman" w:cs="Times New Roman" w:hint="eastAsia"/>
          <w:sz w:val="24"/>
          <w:szCs w:val="24"/>
          <w:highlight w:val="yellow"/>
        </w:rPr>
        <w:t>a</w:t>
      </w:r>
      <w:r w:rsidRPr="005756EE">
        <w:rPr>
          <w:rFonts w:ascii="Times New Roman" w:hAnsi="Times New Roman" w:cs="Times New Roman"/>
          <w:sz w:val="24"/>
          <w:szCs w:val="24"/>
          <w:highlight w:val="yellow"/>
        </w:rPr>
        <w:t xml:space="preserve">nalysis of the </w:t>
      </w:r>
      <w:r w:rsidRPr="005756EE">
        <w:rPr>
          <w:rFonts w:ascii="Times New Roman" w:hAnsi="Times New Roman" w:cs="Times New Roman" w:hint="eastAsia"/>
          <w:sz w:val="24"/>
          <w:szCs w:val="24"/>
          <w:highlight w:val="yellow"/>
        </w:rPr>
        <w:t>CA12</w:t>
      </w:r>
      <w:r w:rsidRPr="005756EE">
        <w:rPr>
          <w:rFonts w:ascii="Times New Roman" w:hAnsi="Times New Roman" w:cs="Times New Roman"/>
          <w:sz w:val="24"/>
          <w:szCs w:val="24"/>
          <w:highlight w:val="yellow"/>
        </w:rPr>
        <w:t xml:space="preserve">-ENU </w:t>
      </w:r>
      <w:r w:rsidRPr="005756EE">
        <w:rPr>
          <w:rFonts w:ascii="Times New Roman" w:hAnsi="Times New Roman" w:cs="Times New Roman" w:hint="eastAsia"/>
          <w:sz w:val="24"/>
          <w:szCs w:val="24"/>
          <w:highlight w:val="yellow"/>
        </w:rPr>
        <w:t>c</w:t>
      </w:r>
      <w:r w:rsidRPr="005756EE">
        <w:rPr>
          <w:rFonts w:ascii="Times New Roman" w:hAnsi="Times New Roman" w:cs="Times New Roman"/>
          <w:sz w:val="24"/>
          <w:szCs w:val="24"/>
          <w:highlight w:val="yellow"/>
        </w:rPr>
        <w:t>omplex.</w:t>
      </w:r>
      <w:r w:rsidRPr="005756EE">
        <w:rPr>
          <w:rFonts w:ascii="Times New Roman" w:hAnsi="Times New Roman" w:cs="Times New Roman" w:hint="eastAsia"/>
          <w:sz w:val="24"/>
          <w:szCs w:val="24"/>
          <w:highlight w:val="yellow"/>
        </w:rPr>
        <w:t xml:space="preserve"> (A) </w:t>
      </w:r>
      <w:r>
        <w:rPr>
          <w:rFonts w:ascii="Times New Roman" w:hAnsi="Times New Roman" w:cs="Times New Roman"/>
          <w:sz w:val="24"/>
          <w:szCs w:val="24"/>
          <w:highlight w:val="yellow"/>
        </w:rPr>
        <w:t xml:space="preserve">RMSD plot over 100 ns. (B) </w:t>
      </w:r>
      <w:proofErr w:type="spellStart"/>
      <w:r>
        <w:rPr>
          <w:rFonts w:ascii="Times New Roman" w:hAnsi="Times New Roman" w:cs="Times New Roman"/>
          <w:sz w:val="24"/>
          <w:szCs w:val="24"/>
          <w:highlight w:val="yellow"/>
        </w:rPr>
        <w:t>Rg</w:t>
      </w:r>
      <w:proofErr w:type="spellEnd"/>
      <w:r>
        <w:rPr>
          <w:rFonts w:ascii="Times New Roman" w:hAnsi="Times New Roman" w:cs="Times New Roman"/>
          <w:sz w:val="24"/>
          <w:szCs w:val="24"/>
          <w:highlight w:val="yellow"/>
        </w:rPr>
        <w:t xml:space="preserve"> of the complex</w:t>
      </w:r>
      <w:r w:rsidRPr="005756EE">
        <w:rPr>
          <w:rFonts w:ascii="Times New Roman" w:hAnsi="Times New Roman" w:cs="Times New Roman"/>
          <w:sz w:val="24"/>
          <w:szCs w:val="24"/>
          <w:highlight w:val="yellow"/>
        </w:rPr>
        <w:t>. (C) RMSF of protein residues. (D) Distance analysis between the docking site-</w:t>
      </w:r>
      <w:proofErr w:type="spellStart"/>
      <w:r w:rsidRPr="005756EE">
        <w:rPr>
          <w:rFonts w:ascii="Times New Roman" w:hAnsi="Times New Roman" w:cs="Times New Roman"/>
          <w:sz w:val="24"/>
          <w:szCs w:val="24"/>
          <w:highlight w:val="yellow"/>
        </w:rPr>
        <w:t>ligand</w:t>
      </w:r>
      <w:proofErr w:type="spellEnd"/>
      <w:r w:rsidRPr="005756EE">
        <w:rPr>
          <w:rFonts w:ascii="Times New Roman" w:hAnsi="Times New Roman" w:cs="Times New Roman"/>
          <w:sz w:val="24"/>
          <w:szCs w:val="24"/>
          <w:highlight w:val="yellow"/>
        </w:rPr>
        <w:t xml:space="preserve"> and protein-</w:t>
      </w:r>
      <w:proofErr w:type="spellStart"/>
      <w:r w:rsidRPr="005756EE">
        <w:rPr>
          <w:rFonts w:ascii="Times New Roman" w:hAnsi="Times New Roman" w:cs="Times New Roman"/>
          <w:sz w:val="24"/>
          <w:szCs w:val="24"/>
          <w:highlight w:val="yellow"/>
        </w:rPr>
        <w:t>ligand</w:t>
      </w:r>
      <w:proofErr w:type="spellEnd"/>
      <w:r w:rsidRPr="005756EE">
        <w:rPr>
          <w:rFonts w:ascii="Times New Roman" w:hAnsi="Times New Roman" w:cs="Times New Roman"/>
          <w:sz w:val="24"/>
          <w:szCs w:val="24"/>
          <w:highlight w:val="yellow"/>
        </w:rPr>
        <w:t>.</w:t>
      </w:r>
    </w:p>
    <w:p w:rsidR="005756EE" w:rsidRPr="00B80A88" w:rsidRDefault="005756EE" w:rsidP="005756E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274310" cy="2961005"/>
            <wp:effectExtent l="19050" t="0" r="2540" b="0"/>
            <wp:docPr id="6" name="图片 5" descr="Figure S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6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56EE" w:rsidRDefault="005756EE" w:rsidP="005756EE">
      <w:pPr>
        <w:spacing w:line="360" w:lineRule="auto"/>
        <w:jc w:val="both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  <w:highlight w:val="yellow"/>
        </w:rPr>
        <w:t>Figure S6</w:t>
      </w:r>
      <w:r w:rsidRPr="005756EE">
        <w:rPr>
          <w:rFonts w:ascii="Times New Roman" w:hAnsi="Times New Roman" w:cs="Times New Roman" w:hint="eastAsia"/>
          <w:sz w:val="24"/>
          <w:szCs w:val="24"/>
          <w:highlight w:val="yellow"/>
        </w:rPr>
        <w:t xml:space="preserve"> </w:t>
      </w:r>
      <w:r w:rsidRPr="005756EE">
        <w:rPr>
          <w:rFonts w:ascii="Times New Roman" w:hAnsi="Times New Roman" w:cs="Times New Roman"/>
          <w:sz w:val="24"/>
          <w:szCs w:val="24"/>
          <w:highlight w:val="yellow"/>
        </w:rPr>
        <w:t xml:space="preserve">Molecular </w:t>
      </w:r>
      <w:r w:rsidRPr="005756EE">
        <w:rPr>
          <w:rFonts w:ascii="Times New Roman" w:hAnsi="Times New Roman" w:cs="Times New Roman" w:hint="eastAsia"/>
          <w:sz w:val="24"/>
          <w:szCs w:val="24"/>
          <w:highlight w:val="yellow"/>
        </w:rPr>
        <w:t>d</w:t>
      </w:r>
      <w:r w:rsidRPr="005756EE">
        <w:rPr>
          <w:rFonts w:ascii="Times New Roman" w:hAnsi="Times New Roman" w:cs="Times New Roman"/>
          <w:sz w:val="24"/>
          <w:szCs w:val="24"/>
          <w:highlight w:val="yellow"/>
        </w:rPr>
        <w:t xml:space="preserve">ynamics </w:t>
      </w:r>
      <w:r w:rsidRPr="005756EE">
        <w:rPr>
          <w:rFonts w:ascii="Times New Roman" w:hAnsi="Times New Roman" w:cs="Times New Roman" w:hint="eastAsia"/>
          <w:sz w:val="24"/>
          <w:szCs w:val="24"/>
          <w:highlight w:val="yellow"/>
        </w:rPr>
        <w:t>s</w:t>
      </w:r>
      <w:r w:rsidRPr="005756EE">
        <w:rPr>
          <w:rFonts w:ascii="Times New Roman" w:hAnsi="Times New Roman" w:cs="Times New Roman"/>
          <w:sz w:val="24"/>
          <w:szCs w:val="24"/>
          <w:highlight w:val="yellow"/>
        </w:rPr>
        <w:t xml:space="preserve">imulation </w:t>
      </w:r>
      <w:r w:rsidRPr="005756EE">
        <w:rPr>
          <w:rFonts w:ascii="Times New Roman" w:hAnsi="Times New Roman" w:cs="Times New Roman" w:hint="eastAsia"/>
          <w:sz w:val="24"/>
          <w:szCs w:val="24"/>
          <w:highlight w:val="yellow"/>
        </w:rPr>
        <w:t>a</w:t>
      </w:r>
      <w:r w:rsidRPr="005756EE">
        <w:rPr>
          <w:rFonts w:ascii="Times New Roman" w:hAnsi="Times New Roman" w:cs="Times New Roman"/>
          <w:sz w:val="24"/>
          <w:szCs w:val="24"/>
          <w:highlight w:val="yellow"/>
        </w:rPr>
        <w:t xml:space="preserve">nalysis of the </w:t>
      </w:r>
      <w:r>
        <w:rPr>
          <w:rFonts w:ascii="Times New Roman" w:hAnsi="Times New Roman" w:cs="Times New Roman" w:hint="eastAsia"/>
          <w:sz w:val="24"/>
          <w:szCs w:val="24"/>
          <w:highlight w:val="yellow"/>
        </w:rPr>
        <w:t>AURKB</w:t>
      </w:r>
      <w:r w:rsidRPr="005756EE">
        <w:rPr>
          <w:rFonts w:ascii="Times New Roman" w:hAnsi="Times New Roman" w:cs="Times New Roman"/>
          <w:sz w:val="24"/>
          <w:szCs w:val="24"/>
          <w:highlight w:val="yellow"/>
        </w:rPr>
        <w:t xml:space="preserve">-ENU </w:t>
      </w:r>
      <w:r w:rsidRPr="005756EE">
        <w:rPr>
          <w:rFonts w:ascii="Times New Roman" w:hAnsi="Times New Roman" w:cs="Times New Roman" w:hint="eastAsia"/>
          <w:sz w:val="24"/>
          <w:szCs w:val="24"/>
          <w:highlight w:val="yellow"/>
        </w:rPr>
        <w:t>c</w:t>
      </w:r>
      <w:r w:rsidRPr="005756EE">
        <w:rPr>
          <w:rFonts w:ascii="Times New Roman" w:hAnsi="Times New Roman" w:cs="Times New Roman"/>
          <w:sz w:val="24"/>
          <w:szCs w:val="24"/>
          <w:highlight w:val="yellow"/>
        </w:rPr>
        <w:t>omplex.</w:t>
      </w:r>
      <w:r w:rsidRPr="005756EE">
        <w:rPr>
          <w:rFonts w:ascii="Times New Roman" w:hAnsi="Times New Roman" w:cs="Times New Roman" w:hint="eastAsia"/>
          <w:sz w:val="24"/>
          <w:szCs w:val="24"/>
          <w:highlight w:val="yellow"/>
        </w:rPr>
        <w:t xml:space="preserve"> (A) </w:t>
      </w:r>
      <w:r>
        <w:rPr>
          <w:rFonts w:ascii="Times New Roman" w:hAnsi="Times New Roman" w:cs="Times New Roman"/>
          <w:sz w:val="24"/>
          <w:szCs w:val="24"/>
          <w:highlight w:val="yellow"/>
        </w:rPr>
        <w:t xml:space="preserve">RMSD plot over 100 ns. (B) </w:t>
      </w:r>
      <w:proofErr w:type="spellStart"/>
      <w:r>
        <w:rPr>
          <w:rFonts w:ascii="Times New Roman" w:hAnsi="Times New Roman" w:cs="Times New Roman"/>
          <w:sz w:val="24"/>
          <w:szCs w:val="24"/>
          <w:highlight w:val="yellow"/>
        </w:rPr>
        <w:t>Rg</w:t>
      </w:r>
      <w:proofErr w:type="spellEnd"/>
      <w:r>
        <w:rPr>
          <w:rFonts w:ascii="Times New Roman" w:hAnsi="Times New Roman" w:cs="Times New Roman"/>
          <w:sz w:val="24"/>
          <w:szCs w:val="24"/>
          <w:highlight w:val="yellow"/>
        </w:rPr>
        <w:t xml:space="preserve"> of the complex</w:t>
      </w:r>
      <w:r w:rsidRPr="005756EE">
        <w:rPr>
          <w:rFonts w:ascii="Times New Roman" w:hAnsi="Times New Roman" w:cs="Times New Roman"/>
          <w:sz w:val="24"/>
          <w:szCs w:val="24"/>
          <w:highlight w:val="yellow"/>
        </w:rPr>
        <w:t>. (C) RMSF of protein residues. (D) Distance analysis between the docking site-</w:t>
      </w:r>
      <w:proofErr w:type="spellStart"/>
      <w:r w:rsidRPr="005756EE">
        <w:rPr>
          <w:rFonts w:ascii="Times New Roman" w:hAnsi="Times New Roman" w:cs="Times New Roman"/>
          <w:sz w:val="24"/>
          <w:szCs w:val="24"/>
          <w:highlight w:val="yellow"/>
        </w:rPr>
        <w:t>ligand</w:t>
      </w:r>
      <w:proofErr w:type="spellEnd"/>
      <w:r w:rsidRPr="005756EE">
        <w:rPr>
          <w:rFonts w:ascii="Times New Roman" w:hAnsi="Times New Roman" w:cs="Times New Roman"/>
          <w:sz w:val="24"/>
          <w:szCs w:val="24"/>
          <w:highlight w:val="yellow"/>
        </w:rPr>
        <w:t xml:space="preserve"> and protein-</w:t>
      </w:r>
      <w:proofErr w:type="spellStart"/>
      <w:r w:rsidRPr="005756EE">
        <w:rPr>
          <w:rFonts w:ascii="Times New Roman" w:hAnsi="Times New Roman" w:cs="Times New Roman"/>
          <w:sz w:val="24"/>
          <w:szCs w:val="24"/>
          <w:highlight w:val="yellow"/>
        </w:rPr>
        <w:t>ligand</w:t>
      </w:r>
      <w:proofErr w:type="spellEnd"/>
      <w:r w:rsidRPr="005756EE">
        <w:rPr>
          <w:rFonts w:ascii="Times New Roman" w:hAnsi="Times New Roman" w:cs="Times New Roman"/>
          <w:sz w:val="24"/>
          <w:szCs w:val="24"/>
          <w:highlight w:val="yellow"/>
        </w:rPr>
        <w:t>.</w:t>
      </w:r>
    </w:p>
    <w:p w:rsidR="005756EE" w:rsidRDefault="005756EE" w:rsidP="0052608C">
      <w:pPr>
        <w:spacing w:line="220" w:lineRule="atLeast"/>
        <w:jc w:val="both"/>
        <w:rPr>
          <w:rFonts w:ascii="Times New Roman" w:hAnsi="Times New Roman" w:cs="Times New Roman" w:hint="eastAsia"/>
          <w:sz w:val="24"/>
          <w:szCs w:val="24"/>
        </w:rPr>
      </w:pPr>
    </w:p>
    <w:p w:rsidR="005756EE" w:rsidRPr="00A72F0E" w:rsidRDefault="005756EE" w:rsidP="0052608C">
      <w:pPr>
        <w:spacing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sectPr w:rsidR="005756EE" w:rsidRPr="00A72F0E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2F0E" w:rsidRDefault="00A72F0E" w:rsidP="00A72F0E">
      <w:pPr>
        <w:spacing w:after="0"/>
      </w:pPr>
      <w:r>
        <w:separator/>
      </w:r>
    </w:p>
  </w:endnote>
  <w:endnote w:type="continuationSeparator" w:id="0">
    <w:p w:rsidR="00A72F0E" w:rsidRDefault="00A72F0E" w:rsidP="00A72F0E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2F0E" w:rsidRDefault="00A72F0E" w:rsidP="00A72F0E">
      <w:pPr>
        <w:spacing w:after="0"/>
      </w:pPr>
      <w:r>
        <w:separator/>
      </w:r>
    </w:p>
  </w:footnote>
  <w:footnote w:type="continuationSeparator" w:id="0">
    <w:p w:rsidR="00A72F0E" w:rsidRDefault="00A72F0E" w:rsidP="00A72F0E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/>
  <w:defaultTabStop w:val="720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54C68"/>
    <w:rsid w:val="00323B43"/>
    <w:rsid w:val="003D37D8"/>
    <w:rsid w:val="00426133"/>
    <w:rsid w:val="004358AB"/>
    <w:rsid w:val="00453273"/>
    <w:rsid w:val="0052608C"/>
    <w:rsid w:val="005756EE"/>
    <w:rsid w:val="00604FAE"/>
    <w:rsid w:val="008B7726"/>
    <w:rsid w:val="00A72F0E"/>
    <w:rsid w:val="00CC0A55"/>
    <w:rsid w:val="00D31D50"/>
    <w:rsid w:val="00EC18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72F0E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72F0E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72F0E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72F0E"/>
    <w:rPr>
      <w:rFonts w:ascii="Tahoma" w:hAnsi="Tahoma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72F0E"/>
    <w:pPr>
      <w:spacing w:after="0"/>
    </w:pPr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72F0E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198</Words>
  <Characters>1131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6</cp:revision>
  <dcterms:created xsi:type="dcterms:W3CDTF">2008-09-11T17:20:00Z</dcterms:created>
  <dcterms:modified xsi:type="dcterms:W3CDTF">2025-03-28T01:09:00Z</dcterms:modified>
</cp:coreProperties>
</file>