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16FB" w:rsidRPr="00FA5BE2" w:rsidRDefault="00EF5534" w:rsidP="00EF5534">
      <w:pPr>
        <w:jc w:val="center"/>
        <w:rPr>
          <w:rFonts w:ascii="Times New Roman" w:hAnsi="Times New Roman" w:cs="Times New Roman"/>
          <w:b/>
          <w:sz w:val="32"/>
          <w:szCs w:val="32"/>
        </w:rPr>
      </w:pPr>
      <w:r w:rsidRPr="00FA5BE2">
        <w:rPr>
          <w:rFonts w:ascii="Times New Roman" w:hAnsi="Times New Roman" w:cs="Times New Roman"/>
          <w:b/>
          <w:sz w:val="32"/>
          <w:szCs w:val="32"/>
        </w:rPr>
        <w:t>Supplementary material</w:t>
      </w:r>
      <w:r w:rsidR="00F67251">
        <w:rPr>
          <w:rFonts w:ascii="Times New Roman" w:hAnsi="Times New Roman" w:cs="Times New Roman" w:hint="eastAsia"/>
          <w:b/>
          <w:sz w:val="32"/>
          <w:szCs w:val="32"/>
        </w:rPr>
        <w:t xml:space="preserve"> 1-2</w:t>
      </w:r>
    </w:p>
    <w:p w:rsidR="00EF5534" w:rsidRPr="00FA5BE2" w:rsidRDefault="00FA5BE2" w:rsidP="00EF5534">
      <w:pPr>
        <w:rPr>
          <w:rFonts w:ascii="Times New Roman" w:hAnsi="Times New Roman" w:cs="Times New Roman"/>
          <w:b/>
          <w:sz w:val="24"/>
          <w:szCs w:val="24"/>
        </w:rPr>
      </w:pPr>
      <w:r w:rsidRPr="00FA5BE2">
        <w:rPr>
          <w:rFonts w:ascii="Times New Roman" w:hAnsi="Times New Roman" w:cs="Times New Roman"/>
          <w:b/>
          <w:sz w:val="24"/>
          <w:szCs w:val="24"/>
        </w:rPr>
        <w:t>Supplementary material</w:t>
      </w:r>
      <w:r w:rsidRPr="00FA5BE2">
        <w:rPr>
          <w:rFonts w:ascii="Times New Roman" w:hAnsi="Times New Roman" w:cs="Times New Roman" w:hint="eastAsia"/>
          <w:b/>
          <w:sz w:val="24"/>
          <w:szCs w:val="24"/>
        </w:rPr>
        <w:t xml:space="preserve"> </w:t>
      </w:r>
      <w:r w:rsidR="00EF5534" w:rsidRPr="00FA5BE2">
        <w:rPr>
          <w:rFonts w:ascii="Times New Roman" w:hAnsi="Times New Roman" w:cs="Times New Roman"/>
          <w:b/>
          <w:sz w:val="24"/>
          <w:szCs w:val="24"/>
        </w:rPr>
        <w:t>1</w:t>
      </w:r>
      <w:r w:rsidR="00EF5534" w:rsidRPr="00FA5BE2">
        <w:rPr>
          <w:rFonts w:ascii="Times New Roman" w:hAnsi="Times New Roman" w:cs="Times New Roman" w:hint="eastAsia"/>
          <w:b/>
          <w:sz w:val="24"/>
          <w:szCs w:val="24"/>
        </w:rPr>
        <w:t xml:space="preserve"> </w:t>
      </w:r>
      <w:proofErr w:type="gramStart"/>
      <w:r w:rsidR="00EF5534" w:rsidRPr="00FA5BE2">
        <w:rPr>
          <w:rFonts w:ascii="Times New Roman" w:hAnsi="Times New Roman" w:cs="Times New Roman" w:hint="eastAsia"/>
          <w:b/>
          <w:sz w:val="24"/>
          <w:szCs w:val="24"/>
        </w:rPr>
        <w:t>T</w:t>
      </w:r>
      <w:r w:rsidR="00EF5534" w:rsidRPr="00FA5BE2">
        <w:rPr>
          <w:rFonts w:ascii="Times New Roman" w:hAnsi="Times New Roman" w:cs="Times New Roman"/>
          <w:b/>
          <w:sz w:val="24"/>
          <w:szCs w:val="24"/>
        </w:rPr>
        <w:t>he</w:t>
      </w:r>
      <w:proofErr w:type="gramEnd"/>
      <w:r w:rsidR="00EF5534" w:rsidRPr="00FA5BE2">
        <w:rPr>
          <w:rFonts w:ascii="Times New Roman" w:hAnsi="Times New Roman" w:cs="Times New Roman"/>
          <w:b/>
          <w:sz w:val="24"/>
          <w:szCs w:val="24"/>
        </w:rPr>
        <w:t xml:space="preserve"> molecular structure</w:t>
      </w:r>
      <w:r w:rsidR="00EF5534" w:rsidRPr="00FA5BE2">
        <w:rPr>
          <w:rFonts w:ascii="Times New Roman" w:hAnsi="Times New Roman" w:cs="Times New Roman" w:hint="eastAsia"/>
          <w:b/>
          <w:sz w:val="24"/>
          <w:szCs w:val="24"/>
        </w:rPr>
        <w:t xml:space="preserve"> of </w:t>
      </w:r>
      <w:proofErr w:type="spellStart"/>
      <w:r w:rsidR="00EF5534" w:rsidRPr="00FA5BE2">
        <w:rPr>
          <w:rFonts w:ascii="Times New Roman" w:hAnsi="Times New Roman" w:cs="Times New Roman" w:hint="eastAsia"/>
          <w:b/>
          <w:sz w:val="24"/>
          <w:szCs w:val="24"/>
        </w:rPr>
        <w:t>r</w:t>
      </w:r>
      <w:r w:rsidR="00EF5534" w:rsidRPr="00FA5BE2">
        <w:rPr>
          <w:rFonts w:ascii="Times New Roman" w:hAnsi="Times New Roman" w:cs="Times New Roman"/>
          <w:b/>
          <w:sz w:val="24"/>
          <w:szCs w:val="24"/>
        </w:rPr>
        <w:t>iluzole</w:t>
      </w:r>
      <w:proofErr w:type="spellEnd"/>
    </w:p>
    <w:p w:rsidR="00EF5534" w:rsidRPr="00EF5534" w:rsidRDefault="008C699C" w:rsidP="00FA5BE2">
      <w:pPr>
        <w:jc w:val="center"/>
        <w:rPr>
          <w:rFonts w:ascii="Times New Roman" w:hAnsi="Times New Roman" w:cs="Times New Roman"/>
          <w:b/>
        </w:rPr>
      </w:pPr>
      <w:r>
        <w:rPr>
          <w:rFonts w:ascii="Times New Roman" w:hAnsi="Times New Roman" w:cs="Times New Roman"/>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8.4pt;height:68.65pt">
            <v:imagedata r:id="rId8" o:title="Riluzole"/>
          </v:shape>
        </w:pict>
      </w:r>
    </w:p>
    <w:p w:rsidR="00877E72" w:rsidRDefault="00877E72" w:rsidP="00EF5534">
      <w:pPr>
        <w:rPr>
          <w:rFonts w:ascii="Times New Roman" w:hAnsi="Times New Roman" w:cs="Times New Roman"/>
          <w:b/>
          <w:sz w:val="24"/>
          <w:szCs w:val="24"/>
        </w:rPr>
      </w:pPr>
    </w:p>
    <w:p w:rsidR="00877E72" w:rsidRDefault="00FA5BE2" w:rsidP="00EF5534">
      <w:pPr>
        <w:rPr>
          <w:rFonts w:ascii="Times New Roman" w:hAnsi="Times New Roman" w:cs="Times New Roman"/>
          <w:b/>
          <w:sz w:val="24"/>
          <w:szCs w:val="24"/>
        </w:rPr>
      </w:pPr>
      <w:r w:rsidRPr="00FA5BE2">
        <w:rPr>
          <w:rFonts w:ascii="Times New Roman" w:hAnsi="Times New Roman" w:cs="Times New Roman"/>
          <w:b/>
          <w:sz w:val="24"/>
          <w:szCs w:val="24"/>
        </w:rPr>
        <w:t>Supplementary material</w:t>
      </w:r>
      <w:r>
        <w:rPr>
          <w:rFonts w:ascii="Times New Roman" w:hAnsi="Times New Roman" w:cs="Times New Roman" w:hint="eastAsia"/>
          <w:b/>
          <w:sz w:val="24"/>
          <w:szCs w:val="24"/>
        </w:rPr>
        <w:t xml:space="preserve"> </w:t>
      </w:r>
      <w:r w:rsidR="00EF5534" w:rsidRPr="00EF5534">
        <w:rPr>
          <w:rFonts w:ascii="Times New Roman" w:hAnsi="Times New Roman" w:cs="Times New Roman"/>
          <w:b/>
          <w:sz w:val="24"/>
          <w:szCs w:val="24"/>
        </w:rPr>
        <w:t xml:space="preserve">2 </w:t>
      </w:r>
      <w:proofErr w:type="gramStart"/>
      <w:r w:rsidR="00EF5534" w:rsidRPr="00EF5534">
        <w:rPr>
          <w:rFonts w:ascii="Times New Roman" w:hAnsi="Times New Roman" w:cs="Times New Roman"/>
          <w:b/>
          <w:sz w:val="24"/>
          <w:szCs w:val="24"/>
        </w:rPr>
        <w:t>The</w:t>
      </w:r>
      <w:proofErr w:type="gramEnd"/>
      <w:r w:rsidR="00EF5534" w:rsidRPr="00EF5534">
        <w:rPr>
          <w:rFonts w:ascii="Times New Roman" w:hAnsi="Times New Roman" w:cs="Times New Roman"/>
          <w:b/>
          <w:sz w:val="24"/>
          <w:szCs w:val="24"/>
        </w:rPr>
        <w:t xml:space="preserve"> inclusion and exclusion criteria of the subjects</w:t>
      </w:r>
    </w:p>
    <w:p w:rsidR="008C699C" w:rsidRDefault="008C699C" w:rsidP="00EF5534">
      <w:pPr>
        <w:rPr>
          <w:rFonts w:ascii="Times New Roman" w:hAnsi="Times New Roman" w:cs="Times New Roman" w:hint="eastAsia"/>
          <w:sz w:val="24"/>
          <w:szCs w:val="24"/>
        </w:rPr>
      </w:pPr>
    </w:p>
    <w:p w:rsidR="00EF5534" w:rsidRPr="00B42F50" w:rsidRDefault="00EF5534" w:rsidP="00EF5534">
      <w:pPr>
        <w:rPr>
          <w:rFonts w:ascii="Times New Roman" w:hAnsi="Times New Roman" w:cs="Times New Roman"/>
          <w:sz w:val="24"/>
          <w:szCs w:val="24"/>
        </w:rPr>
      </w:pPr>
      <w:bookmarkStart w:id="0" w:name="_GoBack"/>
      <w:bookmarkEnd w:id="0"/>
      <w:r w:rsidRPr="00B42F50">
        <w:rPr>
          <w:rFonts w:ascii="Times New Roman" w:hAnsi="Times New Roman" w:cs="Times New Roman"/>
          <w:sz w:val="24"/>
          <w:szCs w:val="24"/>
        </w:rPr>
        <w:t>Inclusion criteria</w:t>
      </w:r>
      <w:r w:rsidR="00877E72" w:rsidRPr="00B42F50">
        <w:rPr>
          <w:rFonts w:ascii="Times New Roman" w:hAnsi="Times New Roman" w:cs="Times New Roman"/>
          <w:sz w:val="24"/>
          <w:szCs w:val="24"/>
        </w:rPr>
        <w:t>:</w:t>
      </w:r>
      <w:r w:rsidR="002308F4" w:rsidRPr="00B42F50">
        <w:rPr>
          <w:rFonts w:ascii="Times New Roman" w:hAnsi="Times New Roman" w:cs="Times New Roman"/>
          <w:sz w:val="24"/>
          <w:szCs w:val="24"/>
        </w:rPr>
        <w:t xml:space="preserve"> (</w:t>
      </w:r>
      <w:r w:rsidR="002308F4" w:rsidRPr="00B42F50">
        <w:rPr>
          <w:rFonts w:ascii="Times New Roman" w:hAnsi="Times New Roman" w:cs="Times New Roman"/>
        </w:rPr>
        <w:t xml:space="preserve"> </w:t>
      </w:r>
      <w:r w:rsidR="002308F4" w:rsidRPr="00B42F50">
        <w:rPr>
          <w:rFonts w:ascii="Times New Roman" w:hAnsi="Times New Roman" w:cs="Times New Roman"/>
          <w:sz w:val="24"/>
          <w:szCs w:val="24"/>
        </w:rPr>
        <w:t>To be included, all of the following criteria must be met)</w:t>
      </w:r>
    </w:p>
    <w:p w:rsidR="00EF5534" w:rsidRPr="00B42F50" w:rsidRDefault="00EF5534" w:rsidP="00EF5534">
      <w:pPr>
        <w:pStyle w:val="a3"/>
        <w:numPr>
          <w:ilvl w:val="0"/>
          <w:numId w:val="1"/>
        </w:numPr>
        <w:ind w:firstLineChars="0"/>
        <w:rPr>
          <w:rFonts w:ascii="Times New Roman" w:hAnsi="Times New Roman" w:cs="Times New Roman"/>
          <w:sz w:val="24"/>
          <w:szCs w:val="24"/>
        </w:rPr>
      </w:pPr>
      <w:r w:rsidRPr="00B42F50">
        <w:rPr>
          <w:rFonts w:ascii="Times New Roman" w:hAnsi="Times New Roman" w:cs="Times New Roman"/>
          <w:sz w:val="24"/>
          <w:szCs w:val="24"/>
        </w:rPr>
        <w:t>Healthy Chinese subjects, aged 18 and above, including both males and females;</w:t>
      </w:r>
    </w:p>
    <w:p w:rsidR="00EF5534" w:rsidRPr="00B42F50" w:rsidRDefault="00EF5534" w:rsidP="00EF5534">
      <w:pPr>
        <w:pStyle w:val="a3"/>
        <w:numPr>
          <w:ilvl w:val="0"/>
          <w:numId w:val="1"/>
        </w:numPr>
        <w:ind w:firstLineChars="0"/>
        <w:rPr>
          <w:rFonts w:ascii="Times New Roman" w:hAnsi="Times New Roman" w:cs="Times New Roman"/>
          <w:sz w:val="24"/>
          <w:szCs w:val="24"/>
        </w:rPr>
      </w:pPr>
      <w:r w:rsidRPr="00B42F50">
        <w:rPr>
          <w:rFonts w:ascii="Times New Roman" w:hAnsi="Times New Roman" w:cs="Times New Roman"/>
          <w:sz w:val="24"/>
          <w:szCs w:val="24"/>
        </w:rPr>
        <w:t>Male subjects must have a weight of at least 50 kg, while female subjects must weigh a minimum of 45 kg. Additionally, the body mass index (BMI) of all subjects must fall within the range of 19.0 to 26.0 kg/m2, inclusive of the boundary values</w:t>
      </w:r>
      <w:r w:rsidR="002308F4" w:rsidRPr="00B42F50">
        <w:rPr>
          <w:rFonts w:ascii="Times New Roman" w:hAnsi="Times New Roman" w:cs="Times New Roman"/>
          <w:sz w:val="24"/>
          <w:szCs w:val="24"/>
        </w:rPr>
        <w:t>;</w:t>
      </w:r>
    </w:p>
    <w:p w:rsidR="00EF5534" w:rsidRPr="00B42F50" w:rsidRDefault="002308F4" w:rsidP="002308F4">
      <w:pPr>
        <w:pStyle w:val="a3"/>
        <w:numPr>
          <w:ilvl w:val="0"/>
          <w:numId w:val="1"/>
        </w:numPr>
        <w:ind w:firstLineChars="0"/>
        <w:rPr>
          <w:rFonts w:ascii="Times New Roman" w:hAnsi="Times New Roman" w:cs="Times New Roman"/>
          <w:sz w:val="24"/>
          <w:szCs w:val="24"/>
        </w:rPr>
      </w:pPr>
      <w:r w:rsidRPr="00B42F50">
        <w:rPr>
          <w:rFonts w:ascii="Times New Roman" w:hAnsi="Times New Roman" w:cs="Times New Roman"/>
          <w:sz w:val="24"/>
          <w:szCs w:val="24"/>
        </w:rPr>
        <w:t>The subjects had a comprehensive understanding of the trial's purpose, nature, methodology, and potential adverse reactions. They voluntarily signed the informed consent form and demonstrated the ability to successfully complete the study in alignment with the trial protocol's specified requirements;</w:t>
      </w:r>
    </w:p>
    <w:p w:rsidR="002308F4" w:rsidRPr="00B42F50" w:rsidRDefault="002308F4" w:rsidP="002308F4">
      <w:pPr>
        <w:pStyle w:val="a3"/>
        <w:numPr>
          <w:ilvl w:val="0"/>
          <w:numId w:val="1"/>
        </w:numPr>
        <w:ind w:firstLineChars="0"/>
        <w:rPr>
          <w:rFonts w:ascii="Times New Roman" w:hAnsi="Times New Roman" w:cs="Times New Roman"/>
          <w:sz w:val="24"/>
          <w:szCs w:val="24"/>
        </w:rPr>
      </w:pPr>
      <w:r w:rsidRPr="00B42F50">
        <w:rPr>
          <w:rFonts w:ascii="Times New Roman" w:hAnsi="Times New Roman" w:cs="Times New Roman"/>
          <w:sz w:val="24"/>
          <w:szCs w:val="24"/>
        </w:rPr>
        <w:t>The subjects communicated smoothly with investigators, demonstrating full comprehension and compliance with the study requirements.</w:t>
      </w:r>
    </w:p>
    <w:p w:rsidR="00877E72" w:rsidRPr="00B42F50" w:rsidRDefault="00877E72" w:rsidP="002308F4">
      <w:pPr>
        <w:rPr>
          <w:rFonts w:ascii="Times New Roman" w:hAnsi="Times New Roman" w:cs="Times New Roman"/>
          <w:sz w:val="24"/>
          <w:szCs w:val="24"/>
        </w:rPr>
      </w:pPr>
    </w:p>
    <w:p w:rsidR="002308F4" w:rsidRPr="00B42F50" w:rsidRDefault="002308F4" w:rsidP="002308F4">
      <w:pPr>
        <w:rPr>
          <w:rFonts w:ascii="Times New Roman" w:hAnsi="Times New Roman" w:cs="Times New Roman"/>
          <w:sz w:val="24"/>
          <w:szCs w:val="24"/>
        </w:rPr>
      </w:pPr>
      <w:r w:rsidRPr="00B42F50">
        <w:rPr>
          <w:rFonts w:ascii="Times New Roman" w:hAnsi="Times New Roman" w:cs="Times New Roman"/>
          <w:sz w:val="24"/>
          <w:szCs w:val="24"/>
        </w:rPr>
        <w:t>Exclusion criteria: (Those who meet any of the following criteria will be excluded)</w:t>
      </w:r>
    </w:p>
    <w:p w:rsidR="002308F4" w:rsidRPr="00B42F50" w:rsidRDefault="002308F4" w:rsidP="002308F4">
      <w:pPr>
        <w:pStyle w:val="a3"/>
        <w:numPr>
          <w:ilvl w:val="0"/>
          <w:numId w:val="2"/>
        </w:numPr>
        <w:ind w:firstLineChars="0"/>
        <w:rPr>
          <w:rFonts w:ascii="Times New Roman" w:hAnsi="Times New Roman" w:cs="Times New Roman"/>
          <w:sz w:val="24"/>
          <w:szCs w:val="24"/>
        </w:rPr>
      </w:pPr>
      <w:r w:rsidRPr="00B42F50">
        <w:rPr>
          <w:rFonts w:ascii="Times New Roman" w:hAnsi="Times New Roman" w:cs="Times New Roman"/>
          <w:sz w:val="24"/>
          <w:szCs w:val="24"/>
        </w:rPr>
        <w:t xml:space="preserve">Those individuals who are known to have allergies to the test drug, its excipients, or possess an allergic constitution (reactive to two or more drugs, environmental factors, or food), as well as those prone to experiencing allergic symptoms like asthma, rash, and </w:t>
      </w:r>
      <w:proofErr w:type="spellStart"/>
      <w:r w:rsidRPr="00B42F50">
        <w:rPr>
          <w:rFonts w:ascii="Times New Roman" w:hAnsi="Times New Roman" w:cs="Times New Roman"/>
          <w:sz w:val="24"/>
          <w:szCs w:val="24"/>
        </w:rPr>
        <w:t>urticaria</w:t>
      </w:r>
      <w:proofErr w:type="spellEnd"/>
      <w:r w:rsidRPr="00B42F50">
        <w:rPr>
          <w:rFonts w:ascii="Times New Roman" w:hAnsi="Times New Roman" w:cs="Times New Roman"/>
          <w:sz w:val="24"/>
          <w:szCs w:val="24"/>
        </w:rPr>
        <w:t>;</w:t>
      </w:r>
    </w:p>
    <w:p w:rsidR="002308F4" w:rsidRPr="00B42F50" w:rsidRDefault="002308F4" w:rsidP="002308F4">
      <w:pPr>
        <w:pStyle w:val="a3"/>
        <w:numPr>
          <w:ilvl w:val="0"/>
          <w:numId w:val="2"/>
        </w:numPr>
        <w:ind w:firstLineChars="0"/>
        <w:rPr>
          <w:rFonts w:ascii="Times New Roman" w:hAnsi="Times New Roman" w:cs="Times New Roman"/>
          <w:sz w:val="24"/>
          <w:szCs w:val="24"/>
        </w:rPr>
      </w:pPr>
      <w:r w:rsidRPr="00B42F50">
        <w:rPr>
          <w:rFonts w:ascii="Times New Roman" w:hAnsi="Times New Roman" w:cs="Times New Roman"/>
          <w:sz w:val="24"/>
          <w:szCs w:val="24"/>
        </w:rPr>
        <w:t>A history of chronic or severe illnesses pertaining to the cardiovascular, cerebrovascular, blood and lymphatic, respiratory (notably interstitial lung disease), immune, endocrine, dermatological, neurological, or mental health systems;</w:t>
      </w:r>
    </w:p>
    <w:p w:rsidR="002308F4" w:rsidRPr="00B42F50" w:rsidRDefault="002308F4" w:rsidP="002308F4">
      <w:pPr>
        <w:pStyle w:val="a3"/>
        <w:numPr>
          <w:ilvl w:val="0"/>
          <w:numId w:val="2"/>
        </w:numPr>
        <w:ind w:firstLineChars="0"/>
        <w:rPr>
          <w:rFonts w:ascii="Times New Roman" w:hAnsi="Times New Roman" w:cs="Times New Roman"/>
          <w:sz w:val="24"/>
          <w:szCs w:val="24"/>
        </w:rPr>
      </w:pPr>
      <w:r w:rsidRPr="00B42F50">
        <w:rPr>
          <w:rFonts w:ascii="Times New Roman" w:hAnsi="Times New Roman" w:cs="Times New Roman"/>
          <w:sz w:val="24"/>
          <w:szCs w:val="24"/>
        </w:rPr>
        <w:t>Please consider combining diseases or medical histories that could potentially impact the interpretation of drug absorption, distribution, metabolism, excretion, and safety data, as well as those that may decrease compliance. This includes, but is not limited to, the following conditions:</w:t>
      </w:r>
    </w:p>
    <w:p w:rsidR="002308F4" w:rsidRPr="00B42F50" w:rsidRDefault="002308F4" w:rsidP="002308F4">
      <w:pPr>
        <w:pStyle w:val="a3"/>
        <w:numPr>
          <w:ilvl w:val="0"/>
          <w:numId w:val="3"/>
        </w:numPr>
        <w:ind w:firstLineChars="0"/>
        <w:rPr>
          <w:rFonts w:ascii="Times New Roman" w:hAnsi="Times New Roman" w:cs="Times New Roman"/>
          <w:sz w:val="24"/>
          <w:szCs w:val="24"/>
        </w:rPr>
      </w:pPr>
      <w:r w:rsidRPr="00B42F50">
        <w:rPr>
          <w:rFonts w:ascii="Times New Roman" w:hAnsi="Times New Roman" w:cs="Times New Roman"/>
          <w:sz w:val="24"/>
          <w:szCs w:val="24"/>
        </w:rPr>
        <w:t>Complicated by inflammatory bowel disease, gastric ulcer, duodenal ulcer, gastrointestinal/rectal bleeding, persistent nausea, or other clinically significant gastrointestinal abnormalities;</w:t>
      </w:r>
    </w:p>
    <w:p w:rsidR="002308F4" w:rsidRPr="00B42F50" w:rsidRDefault="002308F4" w:rsidP="002308F4">
      <w:pPr>
        <w:pStyle w:val="a3"/>
        <w:numPr>
          <w:ilvl w:val="0"/>
          <w:numId w:val="3"/>
        </w:numPr>
        <w:ind w:firstLineChars="0"/>
        <w:rPr>
          <w:rFonts w:ascii="Times New Roman" w:hAnsi="Times New Roman" w:cs="Times New Roman"/>
          <w:sz w:val="24"/>
          <w:szCs w:val="24"/>
        </w:rPr>
      </w:pPr>
      <w:r w:rsidRPr="00B42F50">
        <w:rPr>
          <w:rFonts w:ascii="Times New Roman" w:hAnsi="Times New Roman" w:cs="Times New Roman"/>
          <w:sz w:val="24"/>
          <w:szCs w:val="24"/>
        </w:rPr>
        <w:t xml:space="preserve">Have a significant history of gastrointestinal surgeries, including </w:t>
      </w:r>
      <w:proofErr w:type="spellStart"/>
      <w:r w:rsidRPr="00B42F50">
        <w:rPr>
          <w:rFonts w:ascii="Times New Roman" w:hAnsi="Times New Roman" w:cs="Times New Roman"/>
          <w:sz w:val="24"/>
          <w:szCs w:val="24"/>
        </w:rPr>
        <w:t>gastrectomy</w:t>
      </w:r>
      <w:proofErr w:type="spellEnd"/>
      <w:r w:rsidRPr="00B42F50">
        <w:rPr>
          <w:rFonts w:ascii="Times New Roman" w:hAnsi="Times New Roman" w:cs="Times New Roman"/>
          <w:sz w:val="24"/>
          <w:szCs w:val="24"/>
        </w:rPr>
        <w:t>, gastrointestinal anastomosis, bowel resection, cholecystectomy, etc., excluding surgeries for appendicitis and anal prolapse;</w:t>
      </w:r>
    </w:p>
    <w:p w:rsidR="002308F4" w:rsidRPr="00B42F50" w:rsidRDefault="002308F4" w:rsidP="002308F4">
      <w:pPr>
        <w:pStyle w:val="a3"/>
        <w:numPr>
          <w:ilvl w:val="0"/>
          <w:numId w:val="3"/>
        </w:numPr>
        <w:ind w:firstLineChars="0"/>
        <w:rPr>
          <w:rFonts w:ascii="Times New Roman" w:hAnsi="Times New Roman" w:cs="Times New Roman"/>
          <w:sz w:val="24"/>
          <w:szCs w:val="24"/>
        </w:rPr>
      </w:pPr>
      <w:r w:rsidRPr="00B42F50">
        <w:rPr>
          <w:rFonts w:ascii="Times New Roman" w:hAnsi="Times New Roman" w:cs="Times New Roman"/>
          <w:sz w:val="24"/>
          <w:szCs w:val="24"/>
        </w:rPr>
        <w:t xml:space="preserve">Evidence of liver disease or clinically significant impairment of liver function </w:t>
      </w:r>
      <w:r w:rsidRPr="00B42F50">
        <w:rPr>
          <w:rFonts w:ascii="Times New Roman" w:hAnsi="Times New Roman" w:cs="Times New Roman"/>
          <w:sz w:val="24"/>
          <w:szCs w:val="24"/>
        </w:rPr>
        <w:lastRenderedPageBreak/>
        <w:t>detected during screening;</w:t>
      </w:r>
    </w:p>
    <w:p w:rsidR="002308F4" w:rsidRPr="00B42F50" w:rsidRDefault="002308F4" w:rsidP="002308F4">
      <w:pPr>
        <w:pStyle w:val="a3"/>
        <w:numPr>
          <w:ilvl w:val="0"/>
          <w:numId w:val="3"/>
        </w:numPr>
        <w:ind w:firstLineChars="0"/>
        <w:rPr>
          <w:rFonts w:ascii="Times New Roman" w:hAnsi="Times New Roman" w:cs="Times New Roman"/>
          <w:sz w:val="24"/>
          <w:szCs w:val="24"/>
        </w:rPr>
      </w:pPr>
      <w:r w:rsidRPr="00B42F50">
        <w:rPr>
          <w:rFonts w:ascii="Times New Roman" w:hAnsi="Times New Roman" w:cs="Times New Roman"/>
          <w:sz w:val="24"/>
          <w:szCs w:val="24"/>
        </w:rPr>
        <w:t>Evidence of nephropathy or clinically significant impairment of renal function during screening;</w:t>
      </w:r>
    </w:p>
    <w:p w:rsidR="002308F4" w:rsidRPr="00B42F50" w:rsidRDefault="002308F4" w:rsidP="002308F4">
      <w:pPr>
        <w:pStyle w:val="a3"/>
        <w:numPr>
          <w:ilvl w:val="0"/>
          <w:numId w:val="2"/>
        </w:numPr>
        <w:ind w:firstLineChars="0"/>
        <w:rPr>
          <w:rFonts w:ascii="Times New Roman" w:hAnsi="Times New Roman" w:cs="Times New Roman"/>
          <w:sz w:val="24"/>
          <w:szCs w:val="24"/>
        </w:rPr>
      </w:pPr>
      <w:r w:rsidRPr="00B42F50">
        <w:rPr>
          <w:rFonts w:ascii="Times New Roman" w:hAnsi="Times New Roman" w:cs="Times New Roman"/>
          <w:sz w:val="24"/>
          <w:szCs w:val="24"/>
        </w:rPr>
        <w:t xml:space="preserve">Physical examination, assessment of vital signs, routine blood tests, routine urine analysis, blood biochemistry (comprising alanine aminotransferase, aspartate aminotransferase, total bilirubin, and </w:t>
      </w:r>
      <w:proofErr w:type="spellStart"/>
      <w:r w:rsidRPr="00B42F50">
        <w:rPr>
          <w:rFonts w:ascii="Times New Roman" w:hAnsi="Times New Roman" w:cs="Times New Roman"/>
          <w:sz w:val="24"/>
          <w:szCs w:val="24"/>
        </w:rPr>
        <w:t>glutamyltranspeptidase</w:t>
      </w:r>
      <w:proofErr w:type="spellEnd"/>
      <w:r w:rsidRPr="00B42F50">
        <w:rPr>
          <w:rFonts w:ascii="Times New Roman" w:hAnsi="Times New Roman" w:cs="Times New Roman"/>
          <w:sz w:val="24"/>
          <w:szCs w:val="24"/>
        </w:rPr>
        <w:t xml:space="preserve"> exceeding 1.2 times the normal range), coagulation function tests, pregnancy blood tests for female subjects, and clinically significant abnormal 12-lead ECG findings (as determined by the study physician);</w:t>
      </w:r>
    </w:p>
    <w:p w:rsidR="002308F4" w:rsidRPr="00B42F50" w:rsidRDefault="002308F4" w:rsidP="002308F4">
      <w:pPr>
        <w:pStyle w:val="a3"/>
        <w:numPr>
          <w:ilvl w:val="0"/>
          <w:numId w:val="2"/>
        </w:numPr>
        <w:ind w:firstLineChars="0"/>
        <w:rPr>
          <w:rFonts w:ascii="Times New Roman" w:hAnsi="Times New Roman" w:cs="Times New Roman"/>
          <w:sz w:val="24"/>
          <w:szCs w:val="24"/>
        </w:rPr>
      </w:pPr>
      <w:r w:rsidRPr="00B42F50">
        <w:rPr>
          <w:rFonts w:ascii="Times New Roman" w:hAnsi="Times New Roman" w:cs="Times New Roman"/>
          <w:sz w:val="24"/>
          <w:szCs w:val="24"/>
        </w:rPr>
        <w:t xml:space="preserve">The test results indicating abnormalities in hepatitis B virus surface antigen, hepatitis C virus antibody, </w:t>
      </w:r>
      <w:proofErr w:type="spellStart"/>
      <w:r w:rsidRPr="00B42F50">
        <w:rPr>
          <w:rFonts w:ascii="Times New Roman" w:hAnsi="Times New Roman" w:cs="Times New Roman"/>
          <w:sz w:val="24"/>
          <w:szCs w:val="24"/>
        </w:rPr>
        <w:t>Treponema</w:t>
      </w:r>
      <w:proofErr w:type="spellEnd"/>
      <w:r w:rsidRPr="00B42F50">
        <w:rPr>
          <w:rFonts w:ascii="Times New Roman" w:hAnsi="Times New Roman" w:cs="Times New Roman"/>
          <w:sz w:val="24"/>
          <w:szCs w:val="24"/>
        </w:rPr>
        <w:t xml:space="preserve"> </w:t>
      </w:r>
      <w:proofErr w:type="spellStart"/>
      <w:r w:rsidRPr="00B42F50">
        <w:rPr>
          <w:rFonts w:ascii="Times New Roman" w:hAnsi="Times New Roman" w:cs="Times New Roman"/>
          <w:sz w:val="24"/>
          <w:szCs w:val="24"/>
        </w:rPr>
        <w:t>pallidum</w:t>
      </w:r>
      <w:proofErr w:type="spellEnd"/>
      <w:r w:rsidRPr="00B42F50">
        <w:rPr>
          <w:rFonts w:ascii="Times New Roman" w:hAnsi="Times New Roman" w:cs="Times New Roman"/>
          <w:sz w:val="24"/>
          <w:szCs w:val="24"/>
        </w:rPr>
        <w:t xml:space="preserve"> specific antibody, or human immunodeficiency virus antigen/antibody are clinically significant.</w:t>
      </w:r>
    </w:p>
    <w:p w:rsidR="002308F4" w:rsidRPr="00B42F50" w:rsidRDefault="002308F4" w:rsidP="002308F4">
      <w:pPr>
        <w:pStyle w:val="a3"/>
        <w:numPr>
          <w:ilvl w:val="0"/>
          <w:numId w:val="2"/>
        </w:numPr>
        <w:ind w:firstLineChars="0"/>
        <w:rPr>
          <w:rFonts w:ascii="Times New Roman" w:hAnsi="Times New Roman" w:cs="Times New Roman"/>
          <w:sz w:val="24"/>
          <w:szCs w:val="24"/>
        </w:rPr>
      </w:pPr>
      <w:r w:rsidRPr="00B42F50">
        <w:rPr>
          <w:rFonts w:ascii="Times New Roman" w:hAnsi="Times New Roman" w:cs="Times New Roman"/>
          <w:sz w:val="24"/>
          <w:szCs w:val="24"/>
        </w:rPr>
        <w:t>Persons with difficulty swallowing;</w:t>
      </w:r>
    </w:p>
    <w:p w:rsidR="002308F4" w:rsidRPr="00B42F50" w:rsidRDefault="002308F4" w:rsidP="002308F4">
      <w:pPr>
        <w:pStyle w:val="a3"/>
        <w:numPr>
          <w:ilvl w:val="0"/>
          <w:numId w:val="2"/>
        </w:numPr>
        <w:ind w:firstLineChars="0"/>
        <w:rPr>
          <w:rFonts w:ascii="Times New Roman" w:hAnsi="Times New Roman" w:cs="Times New Roman"/>
          <w:sz w:val="24"/>
          <w:szCs w:val="24"/>
        </w:rPr>
      </w:pPr>
      <w:r w:rsidRPr="00B42F50">
        <w:rPr>
          <w:rFonts w:ascii="Times New Roman" w:hAnsi="Times New Roman" w:cs="Times New Roman"/>
          <w:sz w:val="24"/>
          <w:szCs w:val="24"/>
        </w:rPr>
        <w:t>Persons with positive drug abuse screening;</w:t>
      </w:r>
    </w:p>
    <w:p w:rsidR="002308F4" w:rsidRPr="00B42F50" w:rsidRDefault="002308F4" w:rsidP="002308F4">
      <w:pPr>
        <w:pStyle w:val="a3"/>
        <w:numPr>
          <w:ilvl w:val="0"/>
          <w:numId w:val="2"/>
        </w:numPr>
        <w:ind w:firstLineChars="0"/>
        <w:rPr>
          <w:rFonts w:ascii="Times New Roman" w:hAnsi="Times New Roman" w:cs="Times New Roman"/>
          <w:sz w:val="24"/>
          <w:szCs w:val="24"/>
        </w:rPr>
      </w:pPr>
      <w:r w:rsidRPr="00B42F50">
        <w:rPr>
          <w:rFonts w:ascii="Times New Roman" w:hAnsi="Times New Roman" w:cs="Times New Roman"/>
          <w:sz w:val="24"/>
          <w:szCs w:val="24"/>
        </w:rPr>
        <w:t>Those with a history of drug abuse within 6 months before screening;</w:t>
      </w:r>
    </w:p>
    <w:p w:rsidR="002308F4" w:rsidRPr="00B42F50" w:rsidRDefault="002308F4" w:rsidP="002308F4">
      <w:pPr>
        <w:pStyle w:val="a3"/>
        <w:numPr>
          <w:ilvl w:val="0"/>
          <w:numId w:val="2"/>
        </w:numPr>
        <w:ind w:firstLineChars="0"/>
        <w:rPr>
          <w:rFonts w:ascii="Times New Roman" w:hAnsi="Times New Roman" w:cs="Times New Roman"/>
          <w:sz w:val="24"/>
          <w:szCs w:val="24"/>
        </w:rPr>
      </w:pPr>
      <w:r w:rsidRPr="00B42F50">
        <w:rPr>
          <w:rFonts w:ascii="Times New Roman" w:hAnsi="Times New Roman" w:cs="Times New Roman"/>
          <w:sz w:val="24"/>
          <w:szCs w:val="24"/>
        </w:rPr>
        <w:t>Those who have used drugs within 3 months before screening;</w:t>
      </w:r>
    </w:p>
    <w:p w:rsidR="002308F4" w:rsidRPr="00B42F50" w:rsidRDefault="002308F4" w:rsidP="002308F4">
      <w:pPr>
        <w:pStyle w:val="a3"/>
        <w:numPr>
          <w:ilvl w:val="0"/>
          <w:numId w:val="2"/>
        </w:numPr>
        <w:ind w:firstLineChars="0"/>
        <w:rPr>
          <w:rFonts w:ascii="Times New Roman" w:hAnsi="Times New Roman" w:cs="Times New Roman"/>
          <w:sz w:val="24"/>
          <w:szCs w:val="24"/>
        </w:rPr>
      </w:pPr>
      <w:r w:rsidRPr="00B42F50">
        <w:rPr>
          <w:rFonts w:ascii="Times New Roman" w:hAnsi="Times New Roman" w:cs="Times New Roman"/>
          <w:sz w:val="24"/>
          <w:szCs w:val="24"/>
        </w:rPr>
        <w:t>Persons with positive alcohol breath test results;</w:t>
      </w:r>
    </w:p>
    <w:p w:rsidR="002308F4" w:rsidRPr="00B42F50" w:rsidRDefault="002308F4" w:rsidP="002308F4">
      <w:pPr>
        <w:pStyle w:val="a3"/>
        <w:numPr>
          <w:ilvl w:val="0"/>
          <w:numId w:val="2"/>
        </w:numPr>
        <w:ind w:firstLineChars="0"/>
        <w:rPr>
          <w:rFonts w:ascii="Times New Roman" w:hAnsi="Times New Roman" w:cs="Times New Roman"/>
          <w:sz w:val="24"/>
          <w:szCs w:val="24"/>
        </w:rPr>
      </w:pPr>
      <w:r w:rsidRPr="00B42F50">
        <w:rPr>
          <w:rFonts w:ascii="Times New Roman" w:hAnsi="Times New Roman" w:cs="Times New Roman"/>
          <w:sz w:val="24"/>
          <w:szCs w:val="24"/>
        </w:rPr>
        <w:t>Individuals who consumed over 14 units of alcohol weekly in the three months preceding the screening (where 1 unit of alcohol is approximately equivalent to 360 mL of beer, 45 mL of spirits with an alcohol content exceeding 40%, or 150 mL of wine), or those unable to consume alcohol during the assessment;</w:t>
      </w:r>
    </w:p>
    <w:p w:rsidR="002308F4" w:rsidRPr="00B42F50" w:rsidRDefault="002308F4" w:rsidP="002308F4">
      <w:pPr>
        <w:pStyle w:val="a3"/>
        <w:numPr>
          <w:ilvl w:val="0"/>
          <w:numId w:val="2"/>
        </w:numPr>
        <w:ind w:firstLineChars="0"/>
        <w:rPr>
          <w:rFonts w:ascii="Times New Roman" w:hAnsi="Times New Roman" w:cs="Times New Roman"/>
          <w:sz w:val="24"/>
          <w:szCs w:val="24"/>
        </w:rPr>
      </w:pPr>
      <w:r w:rsidRPr="00B42F50">
        <w:rPr>
          <w:rFonts w:ascii="Times New Roman" w:hAnsi="Times New Roman" w:cs="Times New Roman"/>
          <w:sz w:val="24"/>
          <w:szCs w:val="24"/>
        </w:rPr>
        <w:t>Those who smoked more than five cigarettes per day in the three months preceding the screening, or who were unable to smoke during the trial;</w:t>
      </w:r>
    </w:p>
    <w:p w:rsidR="002308F4" w:rsidRPr="00B42F50" w:rsidRDefault="002308F4" w:rsidP="002308F4">
      <w:pPr>
        <w:pStyle w:val="a3"/>
        <w:numPr>
          <w:ilvl w:val="0"/>
          <w:numId w:val="2"/>
        </w:numPr>
        <w:ind w:firstLineChars="0"/>
        <w:rPr>
          <w:rFonts w:ascii="Times New Roman" w:hAnsi="Times New Roman" w:cs="Times New Roman"/>
          <w:sz w:val="24"/>
          <w:szCs w:val="24"/>
        </w:rPr>
      </w:pPr>
      <w:r w:rsidRPr="00B42F50">
        <w:rPr>
          <w:rFonts w:ascii="Times New Roman" w:hAnsi="Times New Roman" w:cs="Times New Roman"/>
          <w:sz w:val="24"/>
          <w:szCs w:val="24"/>
        </w:rPr>
        <w:t>Those who drank excessive amounts (more than 8 cups a day, 1 cup =250 mL) of tea, coffee and/or caffeinated beverages per day within the 3 months prior to screening;</w:t>
      </w:r>
    </w:p>
    <w:p w:rsidR="002308F4" w:rsidRPr="00B42F50" w:rsidRDefault="002308F4" w:rsidP="002308F4">
      <w:pPr>
        <w:pStyle w:val="a3"/>
        <w:numPr>
          <w:ilvl w:val="0"/>
          <w:numId w:val="2"/>
        </w:numPr>
        <w:ind w:firstLineChars="0"/>
        <w:rPr>
          <w:rFonts w:ascii="Times New Roman" w:hAnsi="Times New Roman" w:cs="Times New Roman"/>
          <w:sz w:val="24"/>
          <w:szCs w:val="24"/>
        </w:rPr>
      </w:pPr>
      <w:r w:rsidRPr="00B42F50">
        <w:rPr>
          <w:rFonts w:ascii="Times New Roman" w:hAnsi="Times New Roman" w:cs="Times New Roman"/>
          <w:sz w:val="24"/>
          <w:szCs w:val="24"/>
        </w:rPr>
        <w:t xml:space="preserve">Cannot promise not to consume dragon fruit, mango, grapefruit, lime, </w:t>
      </w:r>
      <w:proofErr w:type="spellStart"/>
      <w:r w:rsidRPr="00B42F50">
        <w:rPr>
          <w:rFonts w:ascii="Times New Roman" w:hAnsi="Times New Roman" w:cs="Times New Roman"/>
          <w:sz w:val="24"/>
          <w:szCs w:val="24"/>
        </w:rPr>
        <w:t>carambola</w:t>
      </w:r>
      <w:proofErr w:type="spellEnd"/>
      <w:r w:rsidRPr="00B42F50">
        <w:rPr>
          <w:rFonts w:ascii="Times New Roman" w:hAnsi="Times New Roman" w:cs="Times New Roman"/>
          <w:sz w:val="24"/>
          <w:szCs w:val="24"/>
        </w:rPr>
        <w:t xml:space="preserve"> or food or drinks prepared therefrom, and not to consume chocolate and any caffeinated (such as coffee, strong tea, cola, etc.) from 3 days before admission to the Phase I ward in the first cycle to during the stay;</w:t>
      </w:r>
    </w:p>
    <w:p w:rsidR="002308F4" w:rsidRPr="00B42F50" w:rsidRDefault="002308F4" w:rsidP="002308F4">
      <w:pPr>
        <w:pStyle w:val="a3"/>
        <w:numPr>
          <w:ilvl w:val="0"/>
          <w:numId w:val="2"/>
        </w:numPr>
        <w:ind w:firstLineChars="0"/>
        <w:rPr>
          <w:rFonts w:ascii="Times New Roman" w:hAnsi="Times New Roman" w:cs="Times New Roman"/>
          <w:sz w:val="24"/>
          <w:szCs w:val="24"/>
        </w:rPr>
      </w:pPr>
      <w:r w:rsidRPr="00B42F50">
        <w:rPr>
          <w:rFonts w:ascii="Times New Roman" w:hAnsi="Times New Roman" w:cs="Times New Roman"/>
          <w:sz w:val="24"/>
          <w:szCs w:val="24"/>
        </w:rPr>
        <w:t>Those who donate blood or lose blood ≥400 mL within 3 months before screening (excluding blood loss during physiological periods in women) or those who donate blood during the planned trial and within 3 months after the end of the trial;</w:t>
      </w:r>
    </w:p>
    <w:p w:rsidR="002308F4" w:rsidRPr="00B42F50" w:rsidRDefault="002308F4" w:rsidP="002308F4">
      <w:pPr>
        <w:pStyle w:val="a3"/>
        <w:numPr>
          <w:ilvl w:val="0"/>
          <w:numId w:val="2"/>
        </w:numPr>
        <w:ind w:firstLineChars="0"/>
        <w:rPr>
          <w:rFonts w:ascii="Times New Roman" w:hAnsi="Times New Roman" w:cs="Times New Roman"/>
          <w:sz w:val="24"/>
          <w:szCs w:val="24"/>
        </w:rPr>
      </w:pPr>
      <w:r w:rsidRPr="00B42F50">
        <w:rPr>
          <w:rFonts w:ascii="Times New Roman" w:hAnsi="Times New Roman" w:cs="Times New Roman"/>
          <w:sz w:val="24"/>
          <w:szCs w:val="24"/>
        </w:rPr>
        <w:t>Those who have participated in other clinical trials within 3 months before screening and have used trial drugs or medical devices to intervene or who have failed the duplicate test;</w:t>
      </w:r>
    </w:p>
    <w:p w:rsidR="002308F4" w:rsidRPr="00B42F50" w:rsidRDefault="002308F4" w:rsidP="002308F4">
      <w:pPr>
        <w:pStyle w:val="a3"/>
        <w:numPr>
          <w:ilvl w:val="0"/>
          <w:numId w:val="2"/>
        </w:numPr>
        <w:ind w:firstLineChars="0"/>
        <w:rPr>
          <w:rFonts w:ascii="Times New Roman" w:hAnsi="Times New Roman" w:cs="Times New Roman"/>
          <w:sz w:val="24"/>
          <w:szCs w:val="24"/>
        </w:rPr>
      </w:pPr>
      <w:r w:rsidRPr="00B42F50">
        <w:rPr>
          <w:rFonts w:ascii="Times New Roman" w:hAnsi="Times New Roman" w:cs="Times New Roman"/>
          <w:sz w:val="24"/>
          <w:szCs w:val="24"/>
        </w:rPr>
        <w:t>Those who have undergone major surgical procedures within 3 months prior to screening, or plan to undergo surgery during the trial;</w:t>
      </w:r>
    </w:p>
    <w:p w:rsidR="002308F4" w:rsidRPr="00B42F50" w:rsidRDefault="002308F4" w:rsidP="002308F4">
      <w:pPr>
        <w:pStyle w:val="a3"/>
        <w:numPr>
          <w:ilvl w:val="0"/>
          <w:numId w:val="2"/>
        </w:numPr>
        <w:ind w:firstLineChars="0"/>
        <w:rPr>
          <w:rFonts w:ascii="Times New Roman" w:hAnsi="Times New Roman" w:cs="Times New Roman"/>
          <w:sz w:val="24"/>
          <w:szCs w:val="24"/>
        </w:rPr>
      </w:pPr>
      <w:r w:rsidRPr="00B42F50">
        <w:rPr>
          <w:rFonts w:ascii="Times New Roman" w:hAnsi="Times New Roman" w:cs="Times New Roman"/>
          <w:sz w:val="24"/>
          <w:szCs w:val="24"/>
        </w:rPr>
        <w:t>Those who have been vaccinated within 1 month before screening or plan to be vaccinated during the trial;</w:t>
      </w:r>
    </w:p>
    <w:p w:rsidR="002308F4" w:rsidRPr="00B42F50" w:rsidRDefault="002308F4" w:rsidP="002308F4">
      <w:pPr>
        <w:pStyle w:val="a3"/>
        <w:numPr>
          <w:ilvl w:val="0"/>
          <w:numId w:val="2"/>
        </w:numPr>
        <w:ind w:firstLineChars="0"/>
        <w:rPr>
          <w:rFonts w:ascii="Times New Roman" w:hAnsi="Times New Roman" w:cs="Times New Roman"/>
          <w:sz w:val="24"/>
          <w:szCs w:val="24"/>
        </w:rPr>
      </w:pPr>
      <w:r w:rsidRPr="00B42F50">
        <w:rPr>
          <w:rFonts w:ascii="Times New Roman" w:hAnsi="Times New Roman" w:cs="Times New Roman"/>
          <w:sz w:val="24"/>
          <w:szCs w:val="24"/>
        </w:rPr>
        <w:t>Those who have used any prescription drugs, over-the-counter drugs, vitamins, Chinese herbal medicines or health supplements within 2 weeks before screening;</w:t>
      </w:r>
    </w:p>
    <w:p w:rsidR="002308F4" w:rsidRPr="00B42F50" w:rsidRDefault="002308F4" w:rsidP="002308F4">
      <w:pPr>
        <w:pStyle w:val="a3"/>
        <w:numPr>
          <w:ilvl w:val="0"/>
          <w:numId w:val="2"/>
        </w:numPr>
        <w:ind w:firstLineChars="0"/>
        <w:rPr>
          <w:rFonts w:ascii="Times New Roman" w:hAnsi="Times New Roman" w:cs="Times New Roman"/>
          <w:sz w:val="24"/>
          <w:szCs w:val="24"/>
        </w:rPr>
      </w:pPr>
      <w:r w:rsidRPr="00B42F50">
        <w:rPr>
          <w:rFonts w:ascii="Times New Roman" w:hAnsi="Times New Roman" w:cs="Times New Roman"/>
          <w:sz w:val="24"/>
          <w:szCs w:val="24"/>
        </w:rPr>
        <w:t xml:space="preserve">Persons with difficulty in venipuncture, persons with a history of blood and </w:t>
      </w:r>
      <w:r w:rsidRPr="00B42F50">
        <w:rPr>
          <w:rFonts w:ascii="Times New Roman" w:hAnsi="Times New Roman" w:cs="Times New Roman"/>
          <w:sz w:val="24"/>
          <w:szCs w:val="24"/>
        </w:rPr>
        <w:lastRenderedPageBreak/>
        <w:t>needle sickness, and persons who cannot tolerate venipuncture;</w:t>
      </w:r>
    </w:p>
    <w:p w:rsidR="002308F4" w:rsidRPr="00B42F50" w:rsidRDefault="002308F4" w:rsidP="002308F4">
      <w:pPr>
        <w:pStyle w:val="a3"/>
        <w:numPr>
          <w:ilvl w:val="0"/>
          <w:numId w:val="2"/>
        </w:numPr>
        <w:ind w:firstLineChars="0"/>
        <w:rPr>
          <w:rFonts w:ascii="Times New Roman" w:hAnsi="Times New Roman" w:cs="Times New Roman"/>
          <w:sz w:val="24"/>
          <w:szCs w:val="24"/>
        </w:rPr>
      </w:pPr>
      <w:r w:rsidRPr="00B42F50">
        <w:rPr>
          <w:rFonts w:ascii="Times New Roman" w:hAnsi="Times New Roman" w:cs="Times New Roman"/>
          <w:sz w:val="24"/>
          <w:szCs w:val="24"/>
        </w:rPr>
        <w:t>Pregnant or nursing women;</w:t>
      </w:r>
    </w:p>
    <w:p w:rsidR="002308F4" w:rsidRPr="00B42F50" w:rsidRDefault="002308F4" w:rsidP="002308F4">
      <w:pPr>
        <w:pStyle w:val="a3"/>
        <w:numPr>
          <w:ilvl w:val="0"/>
          <w:numId w:val="2"/>
        </w:numPr>
        <w:ind w:firstLineChars="0"/>
        <w:rPr>
          <w:rFonts w:ascii="Times New Roman" w:hAnsi="Times New Roman" w:cs="Times New Roman"/>
          <w:sz w:val="24"/>
          <w:szCs w:val="24"/>
        </w:rPr>
      </w:pPr>
      <w:r w:rsidRPr="00B42F50">
        <w:rPr>
          <w:rFonts w:ascii="Times New Roman" w:hAnsi="Times New Roman" w:cs="Times New Roman"/>
          <w:sz w:val="24"/>
          <w:szCs w:val="24"/>
        </w:rPr>
        <w:t>Those who have special dietary requirements or are lactose intolerant (those who have had diarrhea after drinking milk) cannot adhere to the unified diet during the trial;</w:t>
      </w:r>
    </w:p>
    <w:p w:rsidR="002308F4" w:rsidRPr="00B42F50" w:rsidRDefault="002308F4" w:rsidP="002308F4">
      <w:pPr>
        <w:pStyle w:val="a3"/>
        <w:numPr>
          <w:ilvl w:val="0"/>
          <w:numId w:val="2"/>
        </w:numPr>
        <w:ind w:firstLineChars="0"/>
        <w:rPr>
          <w:rFonts w:ascii="Times New Roman" w:hAnsi="Times New Roman" w:cs="Times New Roman"/>
          <w:sz w:val="24"/>
          <w:szCs w:val="24"/>
        </w:rPr>
      </w:pPr>
      <w:r w:rsidRPr="00B42F50">
        <w:rPr>
          <w:rFonts w:ascii="Times New Roman" w:hAnsi="Times New Roman" w:cs="Times New Roman"/>
          <w:sz w:val="24"/>
          <w:szCs w:val="24"/>
        </w:rPr>
        <w:t>Male subjects (or their partners) or female subjects have a fertility plan or sperm and egg donation plan within 3 months from the screening date to the end of the trial, or are unwilling to adopt non-pharmacological contraceptive measures (pharmacological contraceptive measures include oral contraceptives, contraceptive needles, subcutaneous implantation methods, local contraceptives such as spermicides, etc.);</w:t>
      </w:r>
    </w:p>
    <w:p w:rsidR="002308F4" w:rsidRPr="00B42F50" w:rsidRDefault="002308F4" w:rsidP="002308F4">
      <w:pPr>
        <w:pStyle w:val="a3"/>
        <w:numPr>
          <w:ilvl w:val="0"/>
          <w:numId w:val="2"/>
        </w:numPr>
        <w:ind w:firstLineChars="0"/>
        <w:rPr>
          <w:rFonts w:ascii="Times New Roman" w:hAnsi="Times New Roman" w:cs="Times New Roman"/>
          <w:sz w:val="24"/>
          <w:szCs w:val="24"/>
        </w:rPr>
      </w:pPr>
      <w:r w:rsidRPr="00B42F50">
        <w:rPr>
          <w:rFonts w:ascii="Times New Roman" w:hAnsi="Times New Roman" w:cs="Times New Roman"/>
          <w:sz w:val="24"/>
          <w:szCs w:val="24"/>
        </w:rPr>
        <w:t>Those who develop acute diseases before the use of clinical trial drugs;</w:t>
      </w:r>
    </w:p>
    <w:p w:rsidR="002308F4" w:rsidRPr="00B42F50" w:rsidRDefault="002308F4" w:rsidP="002308F4">
      <w:pPr>
        <w:pStyle w:val="a3"/>
        <w:numPr>
          <w:ilvl w:val="0"/>
          <w:numId w:val="2"/>
        </w:numPr>
        <w:ind w:firstLineChars="0"/>
        <w:rPr>
          <w:rFonts w:ascii="Times New Roman" w:hAnsi="Times New Roman" w:cs="Times New Roman"/>
          <w:sz w:val="24"/>
          <w:szCs w:val="24"/>
        </w:rPr>
      </w:pPr>
      <w:r w:rsidRPr="00B42F50">
        <w:rPr>
          <w:rFonts w:ascii="Times New Roman" w:hAnsi="Times New Roman" w:cs="Times New Roman"/>
          <w:sz w:val="24"/>
          <w:szCs w:val="24"/>
        </w:rPr>
        <w:t>According to the investigator's judgment, those who are not suitable to participate in this trial.</w:t>
      </w:r>
    </w:p>
    <w:p w:rsidR="002308F4" w:rsidRPr="00F67251" w:rsidRDefault="002308F4" w:rsidP="002308F4">
      <w:pPr>
        <w:rPr>
          <w:rFonts w:ascii="Times New Roman" w:hAnsi="Times New Roman" w:cs="Times New Roman"/>
          <w:sz w:val="24"/>
          <w:szCs w:val="24"/>
        </w:rPr>
      </w:pPr>
    </w:p>
    <w:p w:rsidR="002308F4" w:rsidRPr="00B42F50" w:rsidRDefault="002308F4">
      <w:pPr>
        <w:rPr>
          <w:rFonts w:ascii="Times New Roman" w:hAnsi="Times New Roman" w:cs="Times New Roman"/>
          <w:sz w:val="24"/>
          <w:szCs w:val="24"/>
        </w:rPr>
      </w:pPr>
    </w:p>
    <w:sectPr w:rsidR="002308F4" w:rsidRPr="00B42F5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2F50" w:rsidRDefault="00B42F50" w:rsidP="00B42F50">
      <w:r>
        <w:separator/>
      </w:r>
    </w:p>
  </w:endnote>
  <w:endnote w:type="continuationSeparator" w:id="0">
    <w:p w:rsidR="00B42F50" w:rsidRDefault="00B42F50" w:rsidP="00B42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2F50" w:rsidRDefault="00B42F50" w:rsidP="00B42F50">
      <w:r>
        <w:separator/>
      </w:r>
    </w:p>
  </w:footnote>
  <w:footnote w:type="continuationSeparator" w:id="0">
    <w:p w:rsidR="00B42F50" w:rsidRDefault="00B42F50" w:rsidP="00B42F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7D6E4A"/>
    <w:multiLevelType w:val="hybridMultilevel"/>
    <w:tmpl w:val="CC00B6E6"/>
    <w:lvl w:ilvl="0" w:tplc="E6C4AD66">
      <w:start w:val="1"/>
      <w:numFmt w:val="decimal"/>
      <w:lvlText w:val="(%1)"/>
      <w:lvlJc w:val="left"/>
      <w:pPr>
        <w:ind w:left="390" w:hanging="39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ECC716B"/>
    <w:multiLevelType w:val="hybridMultilevel"/>
    <w:tmpl w:val="409C0FE2"/>
    <w:lvl w:ilvl="0" w:tplc="9AB8106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6E951FF0"/>
    <w:multiLevelType w:val="hybridMultilevel"/>
    <w:tmpl w:val="C75CD124"/>
    <w:lvl w:ilvl="0" w:tplc="AF3063B0">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534"/>
    <w:rsid w:val="002308F4"/>
    <w:rsid w:val="002C16FB"/>
    <w:rsid w:val="00877E72"/>
    <w:rsid w:val="008C699C"/>
    <w:rsid w:val="00B42F50"/>
    <w:rsid w:val="00EF5534"/>
    <w:rsid w:val="00F67251"/>
    <w:rsid w:val="00FA5B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5534"/>
    <w:pPr>
      <w:ind w:firstLineChars="200" w:firstLine="420"/>
    </w:pPr>
  </w:style>
  <w:style w:type="paragraph" w:styleId="a4">
    <w:name w:val="header"/>
    <w:basedOn w:val="a"/>
    <w:link w:val="Char"/>
    <w:uiPriority w:val="99"/>
    <w:unhideWhenUsed/>
    <w:rsid w:val="00B42F5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B42F50"/>
    <w:rPr>
      <w:sz w:val="18"/>
      <w:szCs w:val="18"/>
    </w:rPr>
  </w:style>
  <w:style w:type="paragraph" w:styleId="a5">
    <w:name w:val="footer"/>
    <w:basedOn w:val="a"/>
    <w:link w:val="Char0"/>
    <w:uiPriority w:val="99"/>
    <w:unhideWhenUsed/>
    <w:rsid w:val="00B42F50"/>
    <w:pPr>
      <w:tabs>
        <w:tab w:val="center" w:pos="4153"/>
        <w:tab w:val="right" w:pos="8306"/>
      </w:tabs>
      <w:snapToGrid w:val="0"/>
      <w:jc w:val="left"/>
    </w:pPr>
    <w:rPr>
      <w:sz w:val="18"/>
      <w:szCs w:val="18"/>
    </w:rPr>
  </w:style>
  <w:style w:type="character" w:customStyle="1" w:styleId="Char0">
    <w:name w:val="页脚 Char"/>
    <w:basedOn w:val="a0"/>
    <w:link w:val="a5"/>
    <w:uiPriority w:val="99"/>
    <w:rsid w:val="00B42F5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5534"/>
    <w:pPr>
      <w:ind w:firstLineChars="200" w:firstLine="420"/>
    </w:pPr>
  </w:style>
  <w:style w:type="paragraph" w:styleId="a4">
    <w:name w:val="header"/>
    <w:basedOn w:val="a"/>
    <w:link w:val="Char"/>
    <w:uiPriority w:val="99"/>
    <w:unhideWhenUsed/>
    <w:rsid w:val="00B42F5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B42F50"/>
    <w:rPr>
      <w:sz w:val="18"/>
      <w:szCs w:val="18"/>
    </w:rPr>
  </w:style>
  <w:style w:type="paragraph" w:styleId="a5">
    <w:name w:val="footer"/>
    <w:basedOn w:val="a"/>
    <w:link w:val="Char0"/>
    <w:uiPriority w:val="99"/>
    <w:unhideWhenUsed/>
    <w:rsid w:val="00B42F50"/>
    <w:pPr>
      <w:tabs>
        <w:tab w:val="center" w:pos="4153"/>
        <w:tab w:val="right" w:pos="8306"/>
      </w:tabs>
      <w:snapToGrid w:val="0"/>
      <w:jc w:val="left"/>
    </w:pPr>
    <w:rPr>
      <w:sz w:val="18"/>
      <w:szCs w:val="18"/>
    </w:rPr>
  </w:style>
  <w:style w:type="character" w:customStyle="1" w:styleId="Char0">
    <w:name w:val="页脚 Char"/>
    <w:basedOn w:val="a0"/>
    <w:link w:val="a5"/>
    <w:uiPriority w:val="99"/>
    <w:rsid w:val="00B42F5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8199356">
      <w:bodyDiv w:val="1"/>
      <w:marLeft w:val="0"/>
      <w:marRight w:val="0"/>
      <w:marTop w:val="0"/>
      <w:marBottom w:val="0"/>
      <w:divBdr>
        <w:top w:val="none" w:sz="0" w:space="0" w:color="auto"/>
        <w:left w:val="none" w:sz="0" w:space="0" w:color="auto"/>
        <w:bottom w:val="none" w:sz="0" w:space="0" w:color="auto"/>
        <w:right w:val="none" w:sz="0" w:space="0" w:color="auto"/>
      </w:divBdr>
      <w:divsChild>
        <w:div w:id="1785073939">
          <w:marLeft w:val="0"/>
          <w:marRight w:val="0"/>
          <w:marTop w:val="0"/>
          <w:marBottom w:val="0"/>
          <w:divBdr>
            <w:top w:val="none" w:sz="0" w:space="0" w:color="auto"/>
            <w:left w:val="none" w:sz="0" w:space="0" w:color="auto"/>
            <w:bottom w:val="none" w:sz="0" w:space="0" w:color="auto"/>
            <w:right w:val="none" w:sz="0" w:space="0" w:color="auto"/>
          </w:divBdr>
        </w:div>
      </w:divsChild>
    </w:div>
    <w:div w:id="1174413813">
      <w:bodyDiv w:val="1"/>
      <w:marLeft w:val="0"/>
      <w:marRight w:val="0"/>
      <w:marTop w:val="0"/>
      <w:marBottom w:val="0"/>
      <w:divBdr>
        <w:top w:val="none" w:sz="0" w:space="0" w:color="auto"/>
        <w:left w:val="none" w:sz="0" w:space="0" w:color="auto"/>
        <w:bottom w:val="none" w:sz="0" w:space="0" w:color="auto"/>
        <w:right w:val="none" w:sz="0" w:space="0" w:color="auto"/>
      </w:divBdr>
      <w:divsChild>
        <w:div w:id="2131703449">
          <w:marLeft w:val="0"/>
          <w:marRight w:val="0"/>
          <w:marTop w:val="0"/>
          <w:marBottom w:val="0"/>
          <w:divBdr>
            <w:top w:val="none" w:sz="0" w:space="0" w:color="auto"/>
            <w:left w:val="none" w:sz="0" w:space="0" w:color="auto"/>
            <w:bottom w:val="none" w:sz="0" w:space="0" w:color="auto"/>
            <w:right w:val="none" w:sz="0" w:space="0" w:color="auto"/>
          </w:divBdr>
        </w:div>
        <w:div w:id="3161077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900</Words>
  <Characters>5169</Characters>
  <Application>Microsoft Office Word</Application>
  <DocSecurity>0</DocSecurity>
  <Lines>90</Lines>
  <Paragraphs>28</Paragraphs>
  <ScaleCrop>false</ScaleCrop>
  <Company/>
  <LinksUpToDate>false</LinksUpToDate>
  <CharactersWithSpaces>6041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dc:creator>
  <cp:lastModifiedBy>Mac</cp:lastModifiedBy>
  <cp:revision>5</cp:revision>
  <dcterms:created xsi:type="dcterms:W3CDTF">2025-03-25T10:24:00Z</dcterms:created>
  <dcterms:modified xsi:type="dcterms:W3CDTF">2025-04-14T07:21:00Z</dcterms:modified>
</cp:coreProperties>
</file>