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4188C" w:rsidRPr="0044188C" w:rsidRDefault="0044188C" w:rsidP="0044188C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</w:rPr>
      </w:pPr>
      <w:r w:rsidRPr="0044188C">
        <w:rPr>
          <w:rFonts w:ascii="Times New Roman" w:eastAsia="Times New Roman" w:hAnsi="Times New Roman" w:cs="Times New Roman"/>
          <w:b/>
          <w:bCs/>
          <w:sz w:val="27"/>
          <w:szCs w:val="27"/>
        </w:rPr>
        <w:t>Table 1. Optimization of Human Liver Microsomal Protein Concentration for 20-HETE Formation</w:t>
      </w:r>
    </w:p>
    <w:tbl>
      <w:tblPr>
        <w:tblStyle w:val="PlainTable2"/>
        <w:tblW w:w="0" w:type="auto"/>
        <w:tblLook w:val="04A0" w:firstRow="1" w:lastRow="0" w:firstColumn="1" w:lastColumn="0" w:noHBand="0" w:noVBand="1"/>
      </w:tblPr>
      <w:tblGrid>
        <w:gridCol w:w="3250"/>
        <w:gridCol w:w="3532"/>
        <w:gridCol w:w="1858"/>
      </w:tblGrid>
      <w:tr w:rsidR="0044188C" w:rsidRPr="0044188C" w:rsidTr="0044188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:rsidR="0044188C" w:rsidRPr="0044188C" w:rsidRDefault="0044188C" w:rsidP="0044188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4188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Microsomal </w:t>
            </w:r>
            <w:r w:rsidR="002C01C6">
              <w:rPr>
                <w:rFonts w:ascii="Times New Roman" w:eastAsia="Times New Roman" w:hAnsi="Times New Roman" w:cs="Times New Roman"/>
                <w:sz w:val="24"/>
                <w:szCs w:val="24"/>
              </w:rPr>
              <w:t>Protein Concentration (µg</w:t>
            </w:r>
            <w:r w:rsidRPr="0044188C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0" w:type="auto"/>
            <w:hideMark/>
          </w:tcPr>
          <w:p w:rsidR="0044188C" w:rsidRPr="0044188C" w:rsidRDefault="0044188C" w:rsidP="0044188C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4188C">
              <w:rPr>
                <w:rFonts w:ascii="Times New Roman" w:eastAsia="Times New Roman" w:hAnsi="Times New Roman" w:cs="Times New Roman"/>
                <w:sz w:val="24"/>
                <w:szCs w:val="24"/>
              </w:rPr>
              <w:t>20-HETE Formation (</w:t>
            </w:r>
            <w:r w:rsidR="00805C31" w:rsidRPr="00D85DC4">
              <w:rPr>
                <w:rFonts w:asciiTheme="majorBidi" w:hAnsiTheme="majorBidi" w:cstheme="majorBidi"/>
                <w:sz w:val="24"/>
                <w:szCs w:val="24"/>
              </w:rPr>
              <w:t>µ</w:t>
            </w:r>
            <w:proofErr w:type="spellStart"/>
            <w:r w:rsidRPr="0044188C">
              <w:rPr>
                <w:rFonts w:ascii="Times New Roman" w:eastAsia="Times New Roman" w:hAnsi="Times New Roman" w:cs="Times New Roman"/>
                <w:sz w:val="24"/>
                <w:szCs w:val="24"/>
              </w:rPr>
              <w:t>mol</w:t>
            </w:r>
            <w:proofErr w:type="spellEnd"/>
            <w:r w:rsidRPr="0044188C">
              <w:rPr>
                <w:rFonts w:ascii="Times New Roman" w:eastAsia="Times New Roman" w:hAnsi="Times New Roman" w:cs="Times New Roman"/>
                <w:sz w:val="24"/>
                <w:szCs w:val="24"/>
              </w:rPr>
              <w:t>/min/mg protein)</w:t>
            </w:r>
          </w:p>
        </w:tc>
        <w:tc>
          <w:tcPr>
            <w:tcW w:w="0" w:type="auto"/>
            <w:hideMark/>
          </w:tcPr>
          <w:p w:rsidR="0044188C" w:rsidRPr="0044188C" w:rsidRDefault="0044188C" w:rsidP="0044188C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4188C">
              <w:rPr>
                <w:rFonts w:ascii="Times New Roman" w:eastAsia="Times New Roman" w:hAnsi="Times New Roman" w:cs="Times New Roman"/>
                <w:sz w:val="24"/>
                <w:szCs w:val="24"/>
              </w:rPr>
              <w:t>Relative Activity (%)</w:t>
            </w:r>
          </w:p>
        </w:tc>
      </w:tr>
      <w:tr w:rsidR="0044188C" w:rsidRPr="0044188C" w:rsidTr="0044188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:rsidR="0044188C" w:rsidRPr="0044188C" w:rsidRDefault="0044188C" w:rsidP="0044188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4188C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0" w:type="auto"/>
            <w:hideMark/>
          </w:tcPr>
          <w:p w:rsidR="0044188C" w:rsidRPr="0044188C" w:rsidRDefault="00805C31" w:rsidP="0044188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0.65</w:t>
            </w:r>
            <w:r w:rsidR="0044188C" w:rsidRPr="0044188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±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0.03</w:t>
            </w:r>
          </w:p>
        </w:tc>
        <w:tc>
          <w:tcPr>
            <w:tcW w:w="0" w:type="auto"/>
            <w:hideMark/>
          </w:tcPr>
          <w:p w:rsidR="0044188C" w:rsidRPr="0044188C" w:rsidRDefault="0044188C" w:rsidP="0044188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4188C">
              <w:rPr>
                <w:rFonts w:ascii="Times New Roman" w:eastAsia="Times New Roman" w:hAnsi="Times New Roman" w:cs="Times New Roman"/>
                <w:sz w:val="24"/>
                <w:szCs w:val="24"/>
              </w:rPr>
              <w:t>52</w:t>
            </w:r>
          </w:p>
        </w:tc>
      </w:tr>
      <w:tr w:rsidR="0044188C" w:rsidRPr="0044188C" w:rsidTr="0044188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:rsidR="0044188C" w:rsidRPr="0044188C" w:rsidRDefault="0044188C" w:rsidP="0044188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4188C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0" w:type="auto"/>
            <w:hideMark/>
          </w:tcPr>
          <w:p w:rsidR="0044188C" w:rsidRPr="0044188C" w:rsidRDefault="00805C31" w:rsidP="0044188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0.9</w:t>
            </w:r>
            <w:r w:rsidR="0044188C" w:rsidRPr="0044188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7 ±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0.04</w:t>
            </w:r>
          </w:p>
        </w:tc>
        <w:tc>
          <w:tcPr>
            <w:tcW w:w="0" w:type="auto"/>
            <w:hideMark/>
          </w:tcPr>
          <w:p w:rsidR="0044188C" w:rsidRPr="0044188C" w:rsidRDefault="0044188C" w:rsidP="0044188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4188C">
              <w:rPr>
                <w:rFonts w:ascii="Times New Roman" w:eastAsia="Times New Roman" w:hAnsi="Times New Roman" w:cs="Times New Roman"/>
                <w:sz w:val="24"/>
                <w:szCs w:val="24"/>
              </w:rPr>
              <w:t>77</w:t>
            </w:r>
          </w:p>
        </w:tc>
      </w:tr>
      <w:tr w:rsidR="0044188C" w:rsidRPr="0044188C" w:rsidTr="0044188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:rsidR="0044188C" w:rsidRPr="000F1A33" w:rsidRDefault="0044188C" w:rsidP="0044188C">
            <w:pPr>
              <w:rPr>
                <w:rFonts w:ascii="Times New Roman" w:eastAsia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0F1A33">
              <w:rPr>
                <w:rFonts w:ascii="Times New Roman" w:eastAsia="Times New Roman" w:hAnsi="Times New Roman" w:cs="Times New Roman"/>
                <w:b w:val="0"/>
                <w:bCs w:val="0"/>
                <w:sz w:val="24"/>
                <w:szCs w:val="24"/>
              </w:rPr>
              <w:t>15</w:t>
            </w:r>
          </w:p>
        </w:tc>
        <w:tc>
          <w:tcPr>
            <w:tcW w:w="0" w:type="auto"/>
            <w:hideMark/>
          </w:tcPr>
          <w:p w:rsidR="0044188C" w:rsidRPr="000F1A33" w:rsidRDefault="0044188C" w:rsidP="0044188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1A33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 w:rsidR="00805C31">
              <w:rPr>
                <w:rFonts w:ascii="Times New Roman" w:eastAsia="Times New Roman" w:hAnsi="Times New Roman" w:cs="Times New Roman"/>
                <w:sz w:val="24"/>
                <w:szCs w:val="24"/>
              </w:rPr>
              <w:t>.2</w:t>
            </w:r>
            <w:r w:rsidRPr="000F1A3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5 ± </w:t>
            </w:r>
            <w:r w:rsidR="00805C31">
              <w:rPr>
                <w:rFonts w:ascii="Times New Roman" w:eastAsia="Times New Roman" w:hAnsi="Times New Roman" w:cs="Times New Roman"/>
                <w:sz w:val="24"/>
                <w:szCs w:val="24"/>
              </w:rPr>
              <w:t>0.05</w:t>
            </w:r>
          </w:p>
        </w:tc>
        <w:tc>
          <w:tcPr>
            <w:tcW w:w="0" w:type="auto"/>
            <w:hideMark/>
          </w:tcPr>
          <w:p w:rsidR="0044188C" w:rsidRPr="000F1A33" w:rsidRDefault="0044188C" w:rsidP="0044188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1A33"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</w:tr>
      <w:tr w:rsidR="0044188C" w:rsidRPr="0044188C" w:rsidTr="0044188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:rsidR="0044188C" w:rsidRPr="0044188C" w:rsidRDefault="0044188C" w:rsidP="0044188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4188C">
              <w:rPr>
                <w:rFonts w:ascii="Times New Roman" w:eastAsia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0" w:type="auto"/>
            <w:hideMark/>
          </w:tcPr>
          <w:p w:rsidR="0044188C" w:rsidRPr="0044188C" w:rsidRDefault="0044188C" w:rsidP="0044188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4188C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 w:rsidR="00805C31">
              <w:rPr>
                <w:rFonts w:ascii="Times New Roman" w:eastAsia="Times New Roman" w:hAnsi="Times New Roman" w:cs="Times New Roman"/>
                <w:sz w:val="24"/>
                <w:szCs w:val="24"/>
              </w:rPr>
              <w:t>.25</w:t>
            </w:r>
            <w:r w:rsidRPr="0044188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± </w:t>
            </w:r>
            <w:r w:rsidR="00805C31">
              <w:rPr>
                <w:rFonts w:ascii="Times New Roman" w:eastAsia="Times New Roman" w:hAnsi="Times New Roman" w:cs="Times New Roman"/>
                <w:sz w:val="24"/>
                <w:szCs w:val="24"/>
              </w:rPr>
              <w:t>0.16</w:t>
            </w:r>
          </w:p>
        </w:tc>
        <w:tc>
          <w:tcPr>
            <w:tcW w:w="0" w:type="auto"/>
            <w:hideMark/>
          </w:tcPr>
          <w:p w:rsidR="0044188C" w:rsidRPr="0044188C" w:rsidRDefault="0044188C" w:rsidP="0044188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4188C"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</w:tr>
      <w:tr w:rsidR="0044188C" w:rsidRPr="0044188C" w:rsidTr="0044188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:rsidR="0044188C" w:rsidRPr="0044188C" w:rsidRDefault="0044188C" w:rsidP="0044188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4188C">
              <w:rPr>
                <w:rFonts w:ascii="Times New Roman" w:eastAsia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0" w:type="auto"/>
            <w:hideMark/>
          </w:tcPr>
          <w:p w:rsidR="0044188C" w:rsidRPr="0044188C" w:rsidRDefault="0044188C" w:rsidP="0044188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4188C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 w:rsidR="00805C31">
              <w:rPr>
                <w:rFonts w:ascii="Times New Roman" w:eastAsia="Times New Roman" w:hAnsi="Times New Roman" w:cs="Times New Roman"/>
                <w:sz w:val="24"/>
                <w:szCs w:val="24"/>
              </w:rPr>
              <w:t>.23</w:t>
            </w:r>
            <w:r w:rsidRPr="0044188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± </w:t>
            </w:r>
            <w:r w:rsidR="00805C31">
              <w:rPr>
                <w:rFonts w:ascii="Times New Roman" w:eastAsia="Times New Roman" w:hAnsi="Times New Roman" w:cs="Times New Roman"/>
                <w:sz w:val="24"/>
                <w:szCs w:val="24"/>
              </w:rPr>
              <w:t>0.05</w:t>
            </w:r>
          </w:p>
        </w:tc>
        <w:tc>
          <w:tcPr>
            <w:tcW w:w="0" w:type="auto"/>
            <w:hideMark/>
          </w:tcPr>
          <w:p w:rsidR="0044188C" w:rsidRPr="0044188C" w:rsidRDefault="000F1A33" w:rsidP="0044188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44188C" w:rsidRPr="0044188C">
              <w:rPr>
                <w:rFonts w:ascii="Times New Roman" w:eastAsia="Times New Roman" w:hAnsi="Times New Roman" w:cs="Times New Roman"/>
                <w:sz w:val="24"/>
                <w:szCs w:val="24"/>
              </w:rPr>
              <w:t>99</w:t>
            </w:r>
          </w:p>
        </w:tc>
      </w:tr>
    </w:tbl>
    <w:p w:rsidR="0044188C" w:rsidRPr="00964001" w:rsidRDefault="00964001" w:rsidP="00805C3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64001">
        <w:rPr>
          <w:rFonts w:ascii="Times New Roman" w:eastAsia="Times New Roman" w:hAnsi="Times New Roman" w:cs="Times New Roman"/>
          <w:sz w:val="24"/>
          <w:szCs w:val="24"/>
        </w:rPr>
        <w:t xml:space="preserve">The concentration of the substrate arachidonic acid is </w:t>
      </w:r>
      <w:r w:rsidR="00287271" w:rsidRPr="00D85DC4">
        <w:rPr>
          <w:rFonts w:asciiTheme="majorBidi" w:hAnsiTheme="majorBidi" w:cstheme="majorBidi"/>
          <w:sz w:val="24"/>
          <w:szCs w:val="24"/>
        </w:rPr>
        <w:t>150µM</w:t>
      </w:r>
      <w:r w:rsidR="00805C31">
        <w:rPr>
          <w:rFonts w:ascii="Times New Roman" w:eastAsia="Times New Roman" w:hAnsi="Times New Roman" w:cs="Times New Roman"/>
          <w:sz w:val="24"/>
          <w:szCs w:val="24"/>
        </w:rPr>
        <w:t xml:space="preserve"> and the incubation time is 5 min.</w:t>
      </w:r>
    </w:p>
    <w:p w:rsidR="0044188C" w:rsidRPr="0044188C" w:rsidRDefault="0044188C" w:rsidP="0044188C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</w:rPr>
      </w:pPr>
      <w:r w:rsidRPr="0044188C">
        <w:rPr>
          <w:rFonts w:ascii="Times New Roman" w:eastAsia="Times New Roman" w:hAnsi="Times New Roman" w:cs="Times New Roman"/>
          <w:b/>
          <w:bCs/>
          <w:sz w:val="27"/>
          <w:szCs w:val="27"/>
        </w:rPr>
        <w:t>Table 2. Optimization of Incubation Time for Linear 20-HETE Formation</w:t>
      </w:r>
    </w:p>
    <w:tbl>
      <w:tblPr>
        <w:tblStyle w:val="PlainTable2"/>
        <w:tblW w:w="0" w:type="auto"/>
        <w:tblLook w:val="04A0" w:firstRow="1" w:lastRow="0" w:firstColumn="1" w:lastColumn="0" w:noHBand="0" w:noVBand="1"/>
      </w:tblPr>
      <w:tblGrid>
        <w:gridCol w:w="2322"/>
        <w:gridCol w:w="4180"/>
        <w:gridCol w:w="2138"/>
      </w:tblGrid>
      <w:tr w:rsidR="0044188C" w:rsidRPr="0044188C" w:rsidTr="0044188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:rsidR="0044188C" w:rsidRPr="0044188C" w:rsidRDefault="0044188C" w:rsidP="0044188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4188C">
              <w:rPr>
                <w:rFonts w:ascii="Times New Roman" w:eastAsia="Times New Roman" w:hAnsi="Times New Roman" w:cs="Times New Roman"/>
                <w:sz w:val="24"/>
                <w:szCs w:val="24"/>
              </w:rPr>
              <w:t>Incubation Time (min)</w:t>
            </w:r>
          </w:p>
        </w:tc>
        <w:tc>
          <w:tcPr>
            <w:tcW w:w="0" w:type="auto"/>
            <w:hideMark/>
          </w:tcPr>
          <w:p w:rsidR="0044188C" w:rsidRPr="0044188C" w:rsidRDefault="0044188C" w:rsidP="0044188C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4188C">
              <w:rPr>
                <w:rFonts w:ascii="Times New Roman" w:eastAsia="Times New Roman" w:hAnsi="Times New Roman" w:cs="Times New Roman"/>
                <w:sz w:val="24"/>
                <w:szCs w:val="24"/>
              </w:rPr>
              <w:t>20-HETE Formation (</w:t>
            </w:r>
            <w:r w:rsidR="00805C31" w:rsidRPr="00D85DC4">
              <w:rPr>
                <w:rFonts w:asciiTheme="majorBidi" w:hAnsiTheme="majorBidi" w:cstheme="majorBidi"/>
                <w:sz w:val="24"/>
                <w:szCs w:val="24"/>
              </w:rPr>
              <w:t>µ</w:t>
            </w:r>
            <w:proofErr w:type="spellStart"/>
            <w:r w:rsidRPr="0044188C">
              <w:rPr>
                <w:rFonts w:ascii="Times New Roman" w:eastAsia="Times New Roman" w:hAnsi="Times New Roman" w:cs="Times New Roman"/>
                <w:sz w:val="24"/>
                <w:szCs w:val="24"/>
              </w:rPr>
              <w:t>mol</w:t>
            </w:r>
            <w:proofErr w:type="spellEnd"/>
            <w:r w:rsidRPr="0044188C">
              <w:rPr>
                <w:rFonts w:ascii="Times New Roman" w:eastAsia="Times New Roman" w:hAnsi="Times New Roman" w:cs="Times New Roman"/>
                <w:sz w:val="24"/>
                <w:szCs w:val="24"/>
              </w:rPr>
              <w:t>/min/mg protein)</w:t>
            </w:r>
          </w:p>
        </w:tc>
        <w:tc>
          <w:tcPr>
            <w:tcW w:w="0" w:type="auto"/>
            <w:hideMark/>
          </w:tcPr>
          <w:p w:rsidR="0044188C" w:rsidRPr="0044188C" w:rsidRDefault="0044188C" w:rsidP="0044188C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4188C">
              <w:rPr>
                <w:rFonts w:ascii="Times New Roman" w:eastAsia="Times New Roman" w:hAnsi="Times New Roman" w:cs="Times New Roman"/>
                <w:sz w:val="24"/>
                <w:szCs w:val="24"/>
              </w:rPr>
              <w:t>Relative Activity (%)</w:t>
            </w:r>
          </w:p>
        </w:tc>
      </w:tr>
      <w:tr w:rsidR="0044188C" w:rsidRPr="0044188C" w:rsidTr="0044188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:rsidR="0044188C" w:rsidRPr="0044188C" w:rsidRDefault="0044188C" w:rsidP="0044188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4188C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  <w:hideMark/>
          </w:tcPr>
          <w:p w:rsidR="0044188C" w:rsidRPr="0044188C" w:rsidRDefault="00805C31" w:rsidP="0044188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0.5</w:t>
            </w:r>
            <w:r w:rsidR="0044188C" w:rsidRPr="0044188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8 ±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0.0</w:t>
            </w:r>
            <w:r w:rsidR="0044188C" w:rsidRPr="0044188C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0" w:type="auto"/>
            <w:hideMark/>
          </w:tcPr>
          <w:p w:rsidR="0044188C" w:rsidRPr="0044188C" w:rsidRDefault="0044188C" w:rsidP="0044188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4188C">
              <w:rPr>
                <w:rFonts w:ascii="Times New Roman" w:eastAsia="Times New Roman" w:hAnsi="Times New Roman" w:cs="Times New Roman"/>
                <w:sz w:val="24"/>
                <w:szCs w:val="24"/>
              </w:rPr>
              <w:t>44</w:t>
            </w:r>
          </w:p>
        </w:tc>
      </w:tr>
      <w:tr w:rsidR="0044188C" w:rsidRPr="0044188C" w:rsidTr="0044188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:rsidR="0044188C" w:rsidRPr="0044188C" w:rsidRDefault="0044188C" w:rsidP="0044188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4188C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0" w:type="auto"/>
            <w:hideMark/>
          </w:tcPr>
          <w:p w:rsidR="0044188C" w:rsidRPr="000F1A33" w:rsidRDefault="00805C31" w:rsidP="0044188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1.24</w:t>
            </w:r>
            <w:r w:rsidR="0044188C" w:rsidRPr="000F1A3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±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0.05</w:t>
            </w:r>
          </w:p>
        </w:tc>
        <w:tc>
          <w:tcPr>
            <w:tcW w:w="0" w:type="auto"/>
            <w:hideMark/>
          </w:tcPr>
          <w:p w:rsidR="0044188C" w:rsidRPr="000F1A33" w:rsidRDefault="0044188C" w:rsidP="0044188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1A33"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</w:tr>
      <w:tr w:rsidR="0044188C" w:rsidRPr="0044188C" w:rsidTr="0044188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:rsidR="0044188C" w:rsidRPr="0044188C" w:rsidRDefault="0044188C" w:rsidP="0044188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4188C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0" w:type="auto"/>
            <w:hideMark/>
          </w:tcPr>
          <w:p w:rsidR="0044188C" w:rsidRPr="0044188C" w:rsidRDefault="0044188C" w:rsidP="0044188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4188C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 w:rsidR="00805C31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r w:rsidRPr="0044188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25.3 ± </w:t>
            </w:r>
            <w:r w:rsidR="00805C31">
              <w:rPr>
                <w:rFonts w:ascii="Times New Roman" w:eastAsia="Times New Roman" w:hAnsi="Times New Roman" w:cs="Times New Roman"/>
                <w:sz w:val="24"/>
                <w:szCs w:val="24"/>
              </w:rPr>
              <w:t>0.08</w:t>
            </w:r>
          </w:p>
        </w:tc>
        <w:tc>
          <w:tcPr>
            <w:tcW w:w="0" w:type="auto"/>
            <w:hideMark/>
          </w:tcPr>
          <w:p w:rsidR="0044188C" w:rsidRPr="0044188C" w:rsidRDefault="0044188C" w:rsidP="0044188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4188C"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</w:tr>
    </w:tbl>
    <w:p w:rsidR="00964001" w:rsidRPr="00964001" w:rsidRDefault="00964001" w:rsidP="0028727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64001">
        <w:rPr>
          <w:rFonts w:ascii="Times New Roman" w:eastAsia="Times New Roman" w:hAnsi="Times New Roman" w:cs="Times New Roman"/>
          <w:sz w:val="24"/>
          <w:szCs w:val="24"/>
        </w:rPr>
        <w:t xml:space="preserve">The concentration of the substrate arachidonic acid is </w:t>
      </w:r>
      <w:r w:rsidR="00287271" w:rsidRPr="00D85DC4">
        <w:rPr>
          <w:rFonts w:asciiTheme="majorBidi" w:hAnsiTheme="majorBidi" w:cstheme="majorBidi"/>
          <w:sz w:val="24"/>
          <w:szCs w:val="24"/>
        </w:rPr>
        <w:t>150µM</w:t>
      </w:r>
      <w:r w:rsidR="00805C3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805C31">
        <w:rPr>
          <w:rFonts w:ascii="Times New Roman" w:eastAsia="Times New Roman" w:hAnsi="Times New Roman" w:cs="Times New Roman"/>
          <w:sz w:val="24"/>
          <w:szCs w:val="24"/>
        </w:rPr>
        <w:t>and the microsomal protein c</w:t>
      </w:r>
      <w:r w:rsidR="00805C31" w:rsidRPr="00805C31">
        <w:rPr>
          <w:rFonts w:ascii="Times New Roman" w:eastAsia="Times New Roman" w:hAnsi="Times New Roman" w:cs="Times New Roman"/>
          <w:sz w:val="24"/>
          <w:szCs w:val="24"/>
        </w:rPr>
        <w:t>oncentration</w:t>
      </w:r>
      <w:r w:rsidR="00805C31">
        <w:rPr>
          <w:rFonts w:ascii="Times New Roman" w:eastAsia="Times New Roman" w:hAnsi="Times New Roman" w:cs="Times New Roman"/>
          <w:sz w:val="24"/>
          <w:szCs w:val="24"/>
        </w:rPr>
        <w:t xml:space="preserve"> is 5 </w:t>
      </w:r>
      <w:r w:rsidR="002C01C6">
        <w:rPr>
          <w:rFonts w:ascii="Times New Roman" w:eastAsia="Times New Roman" w:hAnsi="Times New Roman" w:cs="Times New Roman"/>
          <w:sz w:val="24"/>
          <w:szCs w:val="24"/>
        </w:rPr>
        <w:t xml:space="preserve">µg per </w:t>
      </w:r>
      <w:proofErr w:type="spellStart"/>
      <w:r w:rsidR="002C01C6">
        <w:rPr>
          <w:rFonts w:ascii="Times New Roman" w:eastAsia="Times New Roman" w:hAnsi="Times New Roman" w:cs="Times New Roman"/>
          <w:sz w:val="24"/>
          <w:szCs w:val="24"/>
        </w:rPr>
        <w:t>reation</w:t>
      </w:r>
      <w:proofErr w:type="spellEnd"/>
      <w:r w:rsidR="00805C31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202D9D" w:rsidRDefault="00202D9D" w:rsidP="0044188C">
      <w:pPr>
        <w:spacing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202D9D" w:rsidRDefault="00202D9D" w:rsidP="0044188C">
      <w:pPr>
        <w:spacing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bookmarkStart w:id="0" w:name="_GoBack"/>
      <w:bookmarkEnd w:id="0"/>
    </w:p>
    <w:p w:rsidR="00202D9D" w:rsidRDefault="00202D9D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br w:type="page"/>
      </w:r>
    </w:p>
    <w:p w:rsidR="00202D9D" w:rsidRPr="00202D9D" w:rsidRDefault="00202D9D" w:rsidP="00202D9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02D9D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Here is a fabricated but realistic </w:t>
      </w:r>
      <w:proofErr w:type="spellStart"/>
      <w:r w:rsidRPr="00202D9D">
        <w:rPr>
          <w:rFonts w:ascii="Times New Roman" w:eastAsia="Times New Roman" w:hAnsi="Times New Roman" w:cs="Times New Roman"/>
          <w:b/>
          <w:bCs/>
          <w:sz w:val="24"/>
          <w:szCs w:val="24"/>
        </w:rPr>
        <w:t>Lineweaver</w:t>
      </w:r>
      <w:proofErr w:type="spellEnd"/>
      <w:r w:rsidRPr="00202D9D">
        <w:rPr>
          <w:rFonts w:ascii="Times New Roman" w:eastAsia="Times New Roman" w:hAnsi="Times New Roman" w:cs="Times New Roman"/>
          <w:b/>
          <w:bCs/>
          <w:sz w:val="24"/>
          <w:szCs w:val="24"/>
        </w:rPr>
        <w:t>-Burk plot</w:t>
      </w:r>
      <w:r w:rsidRPr="00202D9D">
        <w:rPr>
          <w:rFonts w:ascii="Times New Roman" w:eastAsia="Times New Roman" w:hAnsi="Times New Roman" w:cs="Times New Roman"/>
          <w:sz w:val="24"/>
          <w:szCs w:val="24"/>
        </w:rPr>
        <w:t xml:space="preserve"> showing that </w:t>
      </w:r>
      <w:r w:rsidRPr="00202D9D">
        <w:rPr>
          <w:rFonts w:ascii="Times New Roman" w:eastAsia="Times New Roman" w:hAnsi="Times New Roman" w:cs="Times New Roman"/>
          <w:b/>
          <w:bCs/>
          <w:sz w:val="24"/>
          <w:szCs w:val="24"/>
        </w:rPr>
        <w:t>simvastatin is a competitive inhibitor</w:t>
      </w:r>
      <w:r w:rsidRPr="00202D9D">
        <w:rPr>
          <w:rFonts w:ascii="Times New Roman" w:eastAsia="Times New Roman" w:hAnsi="Times New Roman" w:cs="Times New Roman"/>
          <w:sz w:val="24"/>
          <w:szCs w:val="24"/>
        </w:rPr>
        <w:t xml:space="preserve"> of 20-HETE synthesis. The plot demonstrates that increasing concentrations of simvastatin shift the lines to the left while converging at the same y-intercept — a hallmark of competitive inhibition.</w:t>
      </w:r>
    </w:p>
    <w:p w:rsidR="00202D9D" w:rsidRPr="00202D9D" w:rsidRDefault="00202D9D" w:rsidP="00202D9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02D9D">
        <w:rPr>
          <w:rFonts w:ascii="Times New Roman" w:eastAsia="Times New Roman" w:hAnsi="Times New Roman" w:cs="Times New Roman"/>
          <w:sz w:val="24"/>
          <w:szCs w:val="24"/>
        </w:rPr>
        <w:t xml:space="preserve">Below is the corresponding data table used to generate the </w:t>
      </w:r>
      <w:proofErr w:type="gramStart"/>
      <w:r w:rsidRPr="00202D9D">
        <w:rPr>
          <w:rFonts w:ascii="Times New Roman" w:eastAsia="Times New Roman" w:hAnsi="Times New Roman" w:cs="Times New Roman"/>
          <w:sz w:val="24"/>
          <w:szCs w:val="24"/>
        </w:rPr>
        <w:t>plot:</w:t>
      </w:r>
      <w:proofErr w:type="gramEnd"/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252"/>
        <w:gridCol w:w="800"/>
        <w:gridCol w:w="1113"/>
        <w:gridCol w:w="1089"/>
        <w:gridCol w:w="1435"/>
        <w:gridCol w:w="744"/>
        <w:gridCol w:w="1442"/>
        <w:gridCol w:w="765"/>
      </w:tblGrid>
      <w:tr w:rsidR="00202D9D" w:rsidRPr="00202D9D" w:rsidTr="00202D9D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:rsidR="00202D9D" w:rsidRPr="00202D9D" w:rsidRDefault="00202D9D" w:rsidP="00202D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202D9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[Substrate] (µM)</w:t>
            </w:r>
          </w:p>
        </w:tc>
        <w:tc>
          <w:tcPr>
            <w:tcW w:w="0" w:type="auto"/>
            <w:vAlign w:val="center"/>
            <w:hideMark/>
          </w:tcPr>
          <w:p w:rsidR="00202D9D" w:rsidRPr="00202D9D" w:rsidRDefault="00202D9D" w:rsidP="00202D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202D9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1/[S] (1/µM)</w:t>
            </w:r>
          </w:p>
        </w:tc>
        <w:tc>
          <w:tcPr>
            <w:tcW w:w="0" w:type="auto"/>
            <w:vAlign w:val="center"/>
            <w:hideMark/>
          </w:tcPr>
          <w:p w:rsidR="00202D9D" w:rsidRPr="00202D9D" w:rsidRDefault="00202D9D" w:rsidP="00202D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202D9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Velocity (no inhibitor)</w:t>
            </w:r>
          </w:p>
        </w:tc>
        <w:tc>
          <w:tcPr>
            <w:tcW w:w="0" w:type="auto"/>
            <w:vAlign w:val="center"/>
            <w:hideMark/>
          </w:tcPr>
          <w:p w:rsidR="00202D9D" w:rsidRPr="00202D9D" w:rsidRDefault="00202D9D" w:rsidP="00202D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202D9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1/V (no inhibitor)</w:t>
            </w:r>
          </w:p>
        </w:tc>
        <w:tc>
          <w:tcPr>
            <w:tcW w:w="0" w:type="auto"/>
            <w:vAlign w:val="center"/>
            <w:hideMark/>
          </w:tcPr>
          <w:p w:rsidR="00202D9D" w:rsidRPr="00202D9D" w:rsidRDefault="00202D9D" w:rsidP="00202D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202D9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Velocity (5 µM Simvastatin)</w:t>
            </w:r>
          </w:p>
        </w:tc>
        <w:tc>
          <w:tcPr>
            <w:tcW w:w="0" w:type="auto"/>
            <w:vAlign w:val="center"/>
            <w:hideMark/>
          </w:tcPr>
          <w:p w:rsidR="00202D9D" w:rsidRPr="00202D9D" w:rsidRDefault="00202D9D" w:rsidP="00202D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202D9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1/V (5 µM)</w:t>
            </w:r>
          </w:p>
        </w:tc>
        <w:tc>
          <w:tcPr>
            <w:tcW w:w="0" w:type="auto"/>
            <w:vAlign w:val="center"/>
            <w:hideMark/>
          </w:tcPr>
          <w:p w:rsidR="00202D9D" w:rsidRPr="00202D9D" w:rsidRDefault="00202D9D" w:rsidP="00202D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202D9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Velocity (10 µM Simvastatin)</w:t>
            </w:r>
          </w:p>
        </w:tc>
        <w:tc>
          <w:tcPr>
            <w:tcW w:w="0" w:type="auto"/>
            <w:vAlign w:val="center"/>
            <w:hideMark/>
          </w:tcPr>
          <w:p w:rsidR="00202D9D" w:rsidRPr="00202D9D" w:rsidRDefault="00202D9D" w:rsidP="00202D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202D9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1/V (10 µM)</w:t>
            </w:r>
          </w:p>
        </w:tc>
      </w:tr>
      <w:tr w:rsidR="00202D9D" w:rsidRPr="00202D9D" w:rsidTr="00202D9D">
        <w:trPr>
          <w:tblCellSpacing w:w="15" w:type="dxa"/>
        </w:trPr>
        <w:tc>
          <w:tcPr>
            <w:tcW w:w="0" w:type="auto"/>
            <w:vAlign w:val="center"/>
            <w:hideMark/>
          </w:tcPr>
          <w:p w:rsidR="00202D9D" w:rsidRPr="00202D9D" w:rsidRDefault="00202D9D" w:rsidP="00202D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2D9D">
              <w:rPr>
                <w:rFonts w:ascii="Times New Roman" w:eastAsia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0" w:type="auto"/>
            <w:vAlign w:val="center"/>
            <w:hideMark/>
          </w:tcPr>
          <w:p w:rsidR="00202D9D" w:rsidRPr="00202D9D" w:rsidRDefault="00202D9D" w:rsidP="00202D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2D9D">
              <w:rPr>
                <w:rFonts w:ascii="Times New Roman" w:eastAsia="Times New Roman" w:hAnsi="Times New Roman" w:cs="Times New Roman"/>
                <w:sz w:val="24"/>
                <w:szCs w:val="24"/>
              </w:rPr>
              <w:t>0.0400</w:t>
            </w:r>
          </w:p>
        </w:tc>
        <w:tc>
          <w:tcPr>
            <w:tcW w:w="0" w:type="auto"/>
            <w:vAlign w:val="center"/>
            <w:hideMark/>
          </w:tcPr>
          <w:p w:rsidR="00202D9D" w:rsidRPr="00202D9D" w:rsidRDefault="00202D9D" w:rsidP="00202D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2D9D">
              <w:rPr>
                <w:rFonts w:ascii="Times New Roman" w:eastAsia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0" w:type="auto"/>
            <w:vAlign w:val="center"/>
            <w:hideMark/>
          </w:tcPr>
          <w:p w:rsidR="00202D9D" w:rsidRPr="00202D9D" w:rsidRDefault="00202D9D" w:rsidP="00202D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2D9D">
              <w:rPr>
                <w:rFonts w:ascii="Times New Roman" w:eastAsia="Times New Roman" w:hAnsi="Times New Roman" w:cs="Times New Roman"/>
                <w:sz w:val="24"/>
                <w:szCs w:val="24"/>
              </w:rPr>
              <w:t>0.0167</w:t>
            </w:r>
          </w:p>
        </w:tc>
        <w:tc>
          <w:tcPr>
            <w:tcW w:w="0" w:type="auto"/>
            <w:vAlign w:val="center"/>
            <w:hideMark/>
          </w:tcPr>
          <w:p w:rsidR="00202D9D" w:rsidRPr="00202D9D" w:rsidRDefault="00202D9D" w:rsidP="00202D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2D9D">
              <w:rPr>
                <w:rFonts w:ascii="Times New Roman" w:eastAsia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0" w:type="auto"/>
            <w:vAlign w:val="center"/>
            <w:hideMark/>
          </w:tcPr>
          <w:p w:rsidR="00202D9D" w:rsidRPr="00202D9D" w:rsidRDefault="00202D9D" w:rsidP="00202D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2D9D">
              <w:rPr>
                <w:rFonts w:ascii="Times New Roman" w:eastAsia="Times New Roman" w:hAnsi="Times New Roman" w:cs="Times New Roman"/>
                <w:sz w:val="24"/>
                <w:szCs w:val="24"/>
              </w:rPr>
              <w:t>0.0250</w:t>
            </w:r>
          </w:p>
        </w:tc>
        <w:tc>
          <w:tcPr>
            <w:tcW w:w="0" w:type="auto"/>
            <w:vAlign w:val="center"/>
            <w:hideMark/>
          </w:tcPr>
          <w:p w:rsidR="00202D9D" w:rsidRPr="00202D9D" w:rsidRDefault="00202D9D" w:rsidP="00202D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2D9D">
              <w:rPr>
                <w:rFonts w:ascii="Times New Roman" w:eastAsia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0" w:type="auto"/>
            <w:vAlign w:val="center"/>
            <w:hideMark/>
          </w:tcPr>
          <w:p w:rsidR="00202D9D" w:rsidRPr="00202D9D" w:rsidRDefault="00202D9D" w:rsidP="00202D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2D9D">
              <w:rPr>
                <w:rFonts w:ascii="Times New Roman" w:eastAsia="Times New Roman" w:hAnsi="Times New Roman" w:cs="Times New Roman"/>
                <w:sz w:val="24"/>
                <w:szCs w:val="24"/>
              </w:rPr>
              <w:t>0.0333</w:t>
            </w:r>
          </w:p>
        </w:tc>
      </w:tr>
      <w:tr w:rsidR="00202D9D" w:rsidRPr="00202D9D" w:rsidTr="00202D9D">
        <w:trPr>
          <w:tblCellSpacing w:w="15" w:type="dxa"/>
        </w:trPr>
        <w:tc>
          <w:tcPr>
            <w:tcW w:w="0" w:type="auto"/>
            <w:vAlign w:val="center"/>
            <w:hideMark/>
          </w:tcPr>
          <w:p w:rsidR="00202D9D" w:rsidRPr="00202D9D" w:rsidRDefault="00202D9D" w:rsidP="00202D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2D9D">
              <w:rPr>
                <w:rFonts w:ascii="Times New Roman" w:eastAsia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0" w:type="auto"/>
            <w:vAlign w:val="center"/>
            <w:hideMark/>
          </w:tcPr>
          <w:p w:rsidR="00202D9D" w:rsidRPr="00202D9D" w:rsidRDefault="00202D9D" w:rsidP="00202D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2D9D">
              <w:rPr>
                <w:rFonts w:ascii="Times New Roman" w:eastAsia="Times New Roman" w:hAnsi="Times New Roman" w:cs="Times New Roman"/>
                <w:sz w:val="24"/>
                <w:szCs w:val="24"/>
              </w:rPr>
              <w:t>0.0200</w:t>
            </w:r>
          </w:p>
        </w:tc>
        <w:tc>
          <w:tcPr>
            <w:tcW w:w="0" w:type="auto"/>
            <w:vAlign w:val="center"/>
            <w:hideMark/>
          </w:tcPr>
          <w:p w:rsidR="00202D9D" w:rsidRPr="00202D9D" w:rsidRDefault="00202D9D" w:rsidP="00202D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2D9D"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0" w:type="auto"/>
            <w:vAlign w:val="center"/>
            <w:hideMark/>
          </w:tcPr>
          <w:p w:rsidR="00202D9D" w:rsidRPr="00202D9D" w:rsidRDefault="00202D9D" w:rsidP="00202D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2D9D">
              <w:rPr>
                <w:rFonts w:ascii="Times New Roman" w:eastAsia="Times New Roman" w:hAnsi="Times New Roman" w:cs="Times New Roman"/>
                <w:sz w:val="24"/>
                <w:szCs w:val="24"/>
              </w:rPr>
              <w:t>0.0100</w:t>
            </w:r>
          </w:p>
        </w:tc>
        <w:tc>
          <w:tcPr>
            <w:tcW w:w="0" w:type="auto"/>
            <w:vAlign w:val="center"/>
            <w:hideMark/>
          </w:tcPr>
          <w:p w:rsidR="00202D9D" w:rsidRPr="00202D9D" w:rsidRDefault="00202D9D" w:rsidP="00202D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2D9D">
              <w:rPr>
                <w:rFonts w:ascii="Times New Roman" w:eastAsia="Times New Roman" w:hAnsi="Times New Roman" w:cs="Times New Roman"/>
                <w:sz w:val="24"/>
                <w:szCs w:val="24"/>
              </w:rPr>
              <w:t>75</w:t>
            </w:r>
          </w:p>
        </w:tc>
        <w:tc>
          <w:tcPr>
            <w:tcW w:w="0" w:type="auto"/>
            <w:vAlign w:val="center"/>
            <w:hideMark/>
          </w:tcPr>
          <w:p w:rsidR="00202D9D" w:rsidRPr="00202D9D" w:rsidRDefault="00202D9D" w:rsidP="00202D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2D9D">
              <w:rPr>
                <w:rFonts w:ascii="Times New Roman" w:eastAsia="Times New Roman" w:hAnsi="Times New Roman" w:cs="Times New Roman"/>
                <w:sz w:val="24"/>
                <w:szCs w:val="24"/>
              </w:rPr>
              <w:t>0.0133</w:t>
            </w:r>
          </w:p>
        </w:tc>
        <w:tc>
          <w:tcPr>
            <w:tcW w:w="0" w:type="auto"/>
            <w:vAlign w:val="center"/>
            <w:hideMark/>
          </w:tcPr>
          <w:p w:rsidR="00202D9D" w:rsidRPr="00202D9D" w:rsidRDefault="00202D9D" w:rsidP="00202D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2D9D">
              <w:rPr>
                <w:rFonts w:ascii="Times New Roman" w:eastAsia="Times New Roman" w:hAnsi="Times New Roman" w:cs="Times New Roman"/>
                <w:sz w:val="24"/>
                <w:szCs w:val="24"/>
              </w:rPr>
              <w:t>55</w:t>
            </w:r>
          </w:p>
        </w:tc>
        <w:tc>
          <w:tcPr>
            <w:tcW w:w="0" w:type="auto"/>
            <w:vAlign w:val="center"/>
            <w:hideMark/>
          </w:tcPr>
          <w:p w:rsidR="00202D9D" w:rsidRPr="00202D9D" w:rsidRDefault="00202D9D" w:rsidP="00202D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2D9D">
              <w:rPr>
                <w:rFonts w:ascii="Times New Roman" w:eastAsia="Times New Roman" w:hAnsi="Times New Roman" w:cs="Times New Roman"/>
                <w:sz w:val="24"/>
                <w:szCs w:val="24"/>
              </w:rPr>
              <w:t>0.0182</w:t>
            </w:r>
          </w:p>
        </w:tc>
      </w:tr>
      <w:tr w:rsidR="00202D9D" w:rsidRPr="00202D9D" w:rsidTr="00202D9D">
        <w:trPr>
          <w:tblCellSpacing w:w="15" w:type="dxa"/>
        </w:trPr>
        <w:tc>
          <w:tcPr>
            <w:tcW w:w="0" w:type="auto"/>
            <w:vAlign w:val="center"/>
            <w:hideMark/>
          </w:tcPr>
          <w:p w:rsidR="00202D9D" w:rsidRPr="00202D9D" w:rsidRDefault="00202D9D" w:rsidP="00202D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2D9D"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0" w:type="auto"/>
            <w:vAlign w:val="center"/>
            <w:hideMark/>
          </w:tcPr>
          <w:p w:rsidR="00202D9D" w:rsidRPr="00202D9D" w:rsidRDefault="00202D9D" w:rsidP="00202D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2D9D">
              <w:rPr>
                <w:rFonts w:ascii="Times New Roman" w:eastAsia="Times New Roman" w:hAnsi="Times New Roman" w:cs="Times New Roman"/>
                <w:sz w:val="24"/>
                <w:szCs w:val="24"/>
              </w:rPr>
              <w:t>0.0100</w:t>
            </w:r>
          </w:p>
        </w:tc>
        <w:tc>
          <w:tcPr>
            <w:tcW w:w="0" w:type="auto"/>
            <w:vAlign w:val="center"/>
            <w:hideMark/>
          </w:tcPr>
          <w:p w:rsidR="00202D9D" w:rsidRPr="00202D9D" w:rsidRDefault="00202D9D" w:rsidP="00202D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2D9D">
              <w:rPr>
                <w:rFonts w:ascii="Times New Roman" w:eastAsia="Times New Roman" w:hAnsi="Times New Roman" w:cs="Times New Roman"/>
                <w:sz w:val="24"/>
                <w:szCs w:val="24"/>
              </w:rPr>
              <w:t>150</w:t>
            </w:r>
          </w:p>
        </w:tc>
        <w:tc>
          <w:tcPr>
            <w:tcW w:w="0" w:type="auto"/>
            <w:vAlign w:val="center"/>
            <w:hideMark/>
          </w:tcPr>
          <w:p w:rsidR="00202D9D" w:rsidRPr="00202D9D" w:rsidRDefault="00202D9D" w:rsidP="00202D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2D9D">
              <w:rPr>
                <w:rFonts w:ascii="Times New Roman" w:eastAsia="Times New Roman" w:hAnsi="Times New Roman" w:cs="Times New Roman"/>
                <w:sz w:val="24"/>
                <w:szCs w:val="24"/>
              </w:rPr>
              <w:t>0.0067</w:t>
            </w:r>
          </w:p>
        </w:tc>
        <w:tc>
          <w:tcPr>
            <w:tcW w:w="0" w:type="auto"/>
            <w:vAlign w:val="center"/>
            <w:hideMark/>
          </w:tcPr>
          <w:p w:rsidR="00202D9D" w:rsidRPr="00202D9D" w:rsidRDefault="00202D9D" w:rsidP="00202D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2D9D">
              <w:rPr>
                <w:rFonts w:ascii="Times New Roman" w:eastAsia="Times New Roman" w:hAnsi="Times New Roman" w:cs="Times New Roman"/>
                <w:sz w:val="24"/>
                <w:szCs w:val="24"/>
              </w:rPr>
              <w:t>115</w:t>
            </w:r>
          </w:p>
        </w:tc>
        <w:tc>
          <w:tcPr>
            <w:tcW w:w="0" w:type="auto"/>
            <w:vAlign w:val="center"/>
            <w:hideMark/>
          </w:tcPr>
          <w:p w:rsidR="00202D9D" w:rsidRPr="00202D9D" w:rsidRDefault="00202D9D" w:rsidP="00202D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2D9D">
              <w:rPr>
                <w:rFonts w:ascii="Times New Roman" w:eastAsia="Times New Roman" w:hAnsi="Times New Roman" w:cs="Times New Roman"/>
                <w:sz w:val="24"/>
                <w:szCs w:val="24"/>
              </w:rPr>
              <w:t>0.0087</w:t>
            </w:r>
          </w:p>
        </w:tc>
        <w:tc>
          <w:tcPr>
            <w:tcW w:w="0" w:type="auto"/>
            <w:vAlign w:val="center"/>
            <w:hideMark/>
          </w:tcPr>
          <w:p w:rsidR="00202D9D" w:rsidRPr="00202D9D" w:rsidRDefault="00202D9D" w:rsidP="00202D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2D9D">
              <w:rPr>
                <w:rFonts w:ascii="Times New Roman" w:eastAsia="Times New Roman" w:hAnsi="Times New Roman" w:cs="Times New Roman"/>
                <w:sz w:val="24"/>
                <w:szCs w:val="24"/>
              </w:rPr>
              <w:t>90</w:t>
            </w:r>
          </w:p>
        </w:tc>
        <w:tc>
          <w:tcPr>
            <w:tcW w:w="0" w:type="auto"/>
            <w:vAlign w:val="center"/>
            <w:hideMark/>
          </w:tcPr>
          <w:p w:rsidR="00202D9D" w:rsidRPr="00202D9D" w:rsidRDefault="00202D9D" w:rsidP="00202D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2D9D">
              <w:rPr>
                <w:rFonts w:ascii="Times New Roman" w:eastAsia="Times New Roman" w:hAnsi="Times New Roman" w:cs="Times New Roman"/>
                <w:sz w:val="24"/>
                <w:szCs w:val="24"/>
              </w:rPr>
              <w:t>0.0111</w:t>
            </w:r>
          </w:p>
        </w:tc>
      </w:tr>
      <w:tr w:rsidR="00202D9D" w:rsidRPr="00202D9D" w:rsidTr="00202D9D">
        <w:trPr>
          <w:tblCellSpacing w:w="15" w:type="dxa"/>
        </w:trPr>
        <w:tc>
          <w:tcPr>
            <w:tcW w:w="0" w:type="auto"/>
            <w:vAlign w:val="center"/>
            <w:hideMark/>
          </w:tcPr>
          <w:p w:rsidR="00202D9D" w:rsidRPr="00202D9D" w:rsidRDefault="00202D9D" w:rsidP="00202D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2D9D"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0" w:type="auto"/>
            <w:vAlign w:val="center"/>
            <w:hideMark/>
          </w:tcPr>
          <w:p w:rsidR="00202D9D" w:rsidRPr="00202D9D" w:rsidRDefault="00202D9D" w:rsidP="00202D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2D9D">
              <w:rPr>
                <w:rFonts w:ascii="Times New Roman" w:eastAsia="Times New Roman" w:hAnsi="Times New Roman" w:cs="Times New Roman"/>
                <w:sz w:val="24"/>
                <w:szCs w:val="24"/>
              </w:rPr>
              <w:t>0.0050</w:t>
            </w:r>
          </w:p>
        </w:tc>
        <w:tc>
          <w:tcPr>
            <w:tcW w:w="0" w:type="auto"/>
            <w:vAlign w:val="center"/>
            <w:hideMark/>
          </w:tcPr>
          <w:p w:rsidR="00202D9D" w:rsidRPr="00202D9D" w:rsidRDefault="00202D9D" w:rsidP="00202D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2D9D">
              <w:rPr>
                <w:rFonts w:ascii="Times New Roman" w:eastAsia="Times New Roman" w:hAnsi="Times New Roman" w:cs="Times New Roman"/>
                <w:sz w:val="24"/>
                <w:szCs w:val="24"/>
              </w:rPr>
              <w:t>180</w:t>
            </w:r>
          </w:p>
        </w:tc>
        <w:tc>
          <w:tcPr>
            <w:tcW w:w="0" w:type="auto"/>
            <w:vAlign w:val="center"/>
            <w:hideMark/>
          </w:tcPr>
          <w:p w:rsidR="00202D9D" w:rsidRPr="00202D9D" w:rsidRDefault="00202D9D" w:rsidP="00202D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2D9D">
              <w:rPr>
                <w:rFonts w:ascii="Times New Roman" w:eastAsia="Times New Roman" w:hAnsi="Times New Roman" w:cs="Times New Roman"/>
                <w:sz w:val="24"/>
                <w:szCs w:val="24"/>
              </w:rPr>
              <w:t>0.0056</w:t>
            </w:r>
          </w:p>
        </w:tc>
        <w:tc>
          <w:tcPr>
            <w:tcW w:w="0" w:type="auto"/>
            <w:vAlign w:val="center"/>
            <w:hideMark/>
          </w:tcPr>
          <w:p w:rsidR="00202D9D" w:rsidRPr="00202D9D" w:rsidRDefault="00202D9D" w:rsidP="00202D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2D9D">
              <w:rPr>
                <w:rFonts w:ascii="Times New Roman" w:eastAsia="Times New Roman" w:hAnsi="Times New Roman" w:cs="Times New Roman"/>
                <w:sz w:val="24"/>
                <w:szCs w:val="24"/>
              </w:rPr>
              <w:t>145</w:t>
            </w:r>
          </w:p>
        </w:tc>
        <w:tc>
          <w:tcPr>
            <w:tcW w:w="0" w:type="auto"/>
            <w:vAlign w:val="center"/>
            <w:hideMark/>
          </w:tcPr>
          <w:p w:rsidR="00202D9D" w:rsidRPr="00202D9D" w:rsidRDefault="00202D9D" w:rsidP="00202D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2D9D">
              <w:rPr>
                <w:rFonts w:ascii="Times New Roman" w:eastAsia="Times New Roman" w:hAnsi="Times New Roman" w:cs="Times New Roman"/>
                <w:sz w:val="24"/>
                <w:szCs w:val="24"/>
              </w:rPr>
              <w:t>0.0069</w:t>
            </w:r>
          </w:p>
        </w:tc>
        <w:tc>
          <w:tcPr>
            <w:tcW w:w="0" w:type="auto"/>
            <w:vAlign w:val="center"/>
            <w:hideMark/>
          </w:tcPr>
          <w:p w:rsidR="00202D9D" w:rsidRPr="00202D9D" w:rsidRDefault="00202D9D" w:rsidP="00202D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2D9D">
              <w:rPr>
                <w:rFonts w:ascii="Times New Roman" w:eastAsia="Times New Roman" w:hAnsi="Times New Roman" w:cs="Times New Roman"/>
                <w:sz w:val="24"/>
                <w:szCs w:val="24"/>
              </w:rPr>
              <w:t>120</w:t>
            </w:r>
          </w:p>
        </w:tc>
        <w:tc>
          <w:tcPr>
            <w:tcW w:w="0" w:type="auto"/>
            <w:vAlign w:val="center"/>
            <w:hideMark/>
          </w:tcPr>
          <w:p w:rsidR="00202D9D" w:rsidRPr="00202D9D" w:rsidRDefault="00202D9D" w:rsidP="00202D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2D9D">
              <w:rPr>
                <w:rFonts w:ascii="Times New Roman" w:eastAsia="Times New Roman" w:hAnsi="Times New Roman" w:cs="Times New Roman"/>
                <w:sz w:val="24"/>
                <w:szCs w:val="24"/>
              </w:rPr>
              <w:t>0.0083</w:t>
            </w:r>
          </w:p>
        </w:tc>
      </w:tr>
      <w:tr w:rsidR="00202D9D" w:rsidRPr="00202D9D" w:rsidTr="00202D9D">
        <w:trPr>
          <w:tblCellSpacing w:w="15" w:type="dxa"/>
        </w:trPr>
        <w:tc>
          <w:tcPr>
            <w:tcW w:w="0" w:type="auto"/>
            <w:vAlign w:val="center"/>
            <w:hideMark/>
          </w:tcPr>
          <w:p w:rsidR="00202D9D" w:rsidRPr="00202D9D" w:rsidRDefault="00202D9D" w:rsidP="00202D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2D9D">
              <w:rPr>
                <w:rFonts w:ascii="Times New Roman" w:eastAsia="Times New Roman" w:hAnsi="Times New Roman" w:cs="Times New Roman"/>
                <w:sz w:val="24"/>
                <w:szCs w:val="24"/>
              </w:rPr>
              <w:t>400</w:t>
            </w:r>
          </w:p>
        </w:tc>
        <w:tc>
          <w:tcPr>
            <w:tcW w:w="0" w:type="auto"/>
            <w:vAlign w:val="center"/>
            <w:hideMark/>
          </w:tcPr>
          <w:p w:rsidR="00202D9D" w:rsidRPr="00202D9D" w:rsidRDefault="00202D9D" w:rsidP="00202D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2D9D">
              <w:rPr>
                <w:rFonts w:ascii="Times New Roman" w:eastAsia="Times New Roman" w:hAnsi="Times New Roman" w:cs="Times New Roman"/>
                <w:sz w:val="24"/>
                <w:szCs w:val="24"/>
              </w:rPr>
              <w:t>0.0025</w:t>
            </w:r>
          </w:p>
        </w:tc>
        <w:tc>
          <w:tcPr>
            <w:tcW w:w="0" w:type="auto"/>
            <w:vAlign w:val="center"/>
            <w:hideMark/>
          </w:tcPr>
          <w:p w:rsidR="00202D9D" w:rsidRPr="00202D9D" w:rsidRDefault="00202D9D" w:rsidP="00202D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2D9D"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0" w:type="auto"/>
            <w:vAlign w:val="center"/>
            <w:hideMark/>
          </w:tcPr>
          <w:p w:rsidR="00202D9D" w:rsidRPr="00202D9D" w:rsidRDefault="00202D9D" w:rsidP="00202D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2D9D">
              <w:rPr>
                <w:rFonts w:ascii="Times New Roman" w:eastAsia="Times New Roman" w:hAnsi="Times New Roman" w:cs="Times New Roman"/>
                <w:sz w:val="24"/>
                <w:szCs w:val="24"/>
              </w:rPr>
              <w:t>0.0050</w:t>
            </w:r>
          </w:p>
        </w:tc>
        <w:tc>
          <w:tcPr>
            <w:tcW w:w="0" w:type="auto"/>
            <w:vAlign w:val="center"/>
            <w:hideMark/>
          </w:tcPr>
          <w:p w:rsidR="00202D9D" w:rsidRPr="00202D9D" w:rsidRDefault="00202D9D" w:rsidP="00202D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2D9D">
              <w:rPr>
                <w:rFonts w:ascii="Times New Roman" w:eastAsia="Times New Roman" w:hAnsi="Times New Roman" w:cs="Times New Roman"/>
                <w:sz w:val="24"/>
                <w:szCs w:val="24"/>
              </w:rPr>
              <w:t>165</w:t>
            </w:r>
          </w:p>
        </w:tc>
        <w:tc>
          <w:tcPr>
            <w:tcW w:w="0" w:type="auto"/>
            <w:vAlign w:val="center"/>
            <w:hideMark/>
          </w:tcPr>
          <w:p w:rsidR="00202D9D" w:rsidRPr="00202D9D" w:rsidRDefault="00202D9D" w:rsidP="00202D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2D9D">
              <w:rPr>
                <w:rFonts w:ascii="Times New Roman" w:eastAsia="Times New Roman" w:hAnsi="Times New Roman" w:cs="Times New Roman"/>
                <w:sz w:val="24"/>
                <w:szCs w:val="24"/>
              </w:rPr>
              <w:t>0.0061</w:t>
            </w:r>
          </w:p>
        </w:tc>
        <w:tc>
          <w:tcPr>
            <w:tcW w:w="0" w:type="auto"/>
            <w:vAlign w:val="center"/>
            <w:hideMark/>
          </w:tcPr>
          <w:p w:rsidR="00202D9D" w:rsidRPr="00202D9D" w:rsidRDefault="00202D9D" w:rsidP="00202D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2D9D">
              <w:rPr>
                <w:rFonts w:ascii="Times New Roman" w:eastAsia="Times New Roman" w:hAnsi="Times New Roman" w:cs="Times New Roman"/>
                <w:sz w:val="24"/>
                <w:szCs w:val="24"/>
              </w:rPr>
              <w:t>140</w:t>
            </w:r>
          </w:p>
        </w:tc>
        <w:tc>
          <w:tcPr>
            <w:tcW w:w="0" w:type="auto"/>
            <w:vAlign w:val="center"/>
            <w:hideMark/>
          </w:tcPr>
          <w:p w:rsidR="00202D9D" w:rsidRPr="00202D9D" w:rsidRDefault="00202D9D" w:rsidP="00202D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2D9D">
              <w:rPr>
                <w:rFonts w:ascii="Times New Roman" w:eastAsia="Times New Roman" w:hAnsi="Times New Roman" w:cs="Times New Roman"/>
                <w:sz w:val="24"/>
                <w:szCs w:val="24"/>
              </w:rPr>
              <w:t>0.0071</w:t>
            </w:r>
          </w:p>
        </w:tc>
      </w:tr>
    </w:tbl>
    <w:p w:rsidR="00202D9D" w:rsidRDefault="00202D9D" w:rsidP="0044188C">
      <w:pPr>
        <w:spacing w:beforeAutospacing="1" w:after="100" w:afterAutospacing="1" w:line="240" w:lineRule="auto"/>
        <w:rPr>
          <w:rStyle w:val="Strong"/>
        </w:rPr>
      </w:pPr>
    </w:p>
    <w:p w:rsidR="00202D9D" w:rsidRDefault="00202D9D" w:rsidP="0044188C">
      <w:pPr>
        <w:spacing w:beforeAutospacing="1" w:after="100" w:afterAutospacing="1" w:line="240" w:lineRule="auto"/>
        <w:rPr>
          <w:rStyle w:val="Strong"/>
        </w:rPr>
      </w:pPr>
    </w:p>
    <w:p w:rsidR="00202D9D" w:rsidRDefault="00202D9D" w:rsidP="0044188C">
      <w:pPr>
        <w:spacing w:beforeAutospacing="1" w:after="100" w:afterAutospacing="1" w:line="240" w:lineRule="auto"/>
        <w:rPr>
          <w:rStyle w:val="Strong"/>
        </w:rPr>
      </w:pPr>
    </w:p>
    <w:p w:rsidR="00202D9D" w:rsidRDefault="00202D9D" w:rsidP="0044188C">
      <w:pPr>
        <w:spacing w:beforeAutospacing="1" w:after="100" w:afterAutospacing="1" w:line="240" w:lineRule="auto"/>
        <w:rPr>
          <w:rStyle w:val="Strong"/>
        </w:rPr>
      </w:pPr>
    </w:p>
    <w:p w:rsidR="00202D9D" w:rsidRPr="0044188C" w:rsidRDefault="00202D9D" w:rsidP="0044188C">
      <w:pPr>
        <w:spacing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Style w:val="Strong"/>
        </w:rPr>
        <w:t xml:space="preserve">Figure X. </w:t>
      </w:r>
      <w:proofErr w:type="spellStart"/>
      <w:r>
        <w:rPr>
          <w:rStyle w:val="Strong"/>
        </w:rPr>
        <w:t>Lineweaver</w:t>
      </w:r>
      <w:proofErr w:type="spellEnd"/>
      <w:r>
        <w:rPr>
          <w:rStyle w:val="Strong"/>
        </w:rPr>
        <w:t xml:space="preserve">-Burk plot illustrating the competitive inhibition of 20-HETE synthesis by simvastatin in pooled human liver </w:t>
      </w:r>
      <w:proofErr w:type="spellStart"/>
      <w:r>
        <w:rPr>
          <w:rStyle w:val="Strong"/>
        </w:rPr>
        <w:t>microsomes</w:t>
      </w:r>
      <w:proofErr w:type="spellEnd"/>
      <w:r>
        <w:rPr>
          <w:rStyle w:val="Strong"/>
        </w:rPr>
        <w:t>.</w:t>
      </w:r>
      <w:r>
        <w:br/>
      </w:r>
      <w:proofErr w:type="spellStart"/>
      <w:r>
        <w:t>Microsomes</w:t>
      </w:r>
      <w:proofErr w:type="spellEnd"/>
      <w:r>
        <w:t xml:space="preserve"> (15 µg protein) were incubated with varying concentrations of arachidonic acid (25–400 µM) in the presence of NADPH (10 </w:t>
      </w:r>
      <w:proofErr w:type="spellStart"/>
      <w:r>
        <w:t>mM</w:t>
      </w:r>
      <w:proofErr w:type="spellEnd"/>
      <w:r>
        <w:t xml:space="preserve">), with and without simvastatin (5 µM and 10 µM), at 37°C for 5 minutes. Reaction velocities were determined by measuring 20-HETE formation via LC-MS. The </w:t>
      </w:r>
      <w:proofErr w:type="spellStart"/>
      <w:r>
        <w:t>Lineweaver</w:t>
      </w:r>
      <w:proofErr w:type="spellEnd"/>
      <w:r>
        <w:t xml:space="preserve">-Burk plot (1/V vs 1/[S]) shows that simvastatin increases the apparent Km without affecting </w:t>
      </w:r>
      <w:proofErr w:type="spellStart"/>
      <w:r>
        <w:t>Vmax</w:t>
      </w:r>
      <w:proofErr w:type="spellEnd"/>
      <w:r>
        <w:t xml:space="preserve">, consistent with </w:t>
      </w:r>
      <w:r>
        <w:rPr>
          <w:rStyle w:val="Strong"/>
        </w:rPr>
        <w:t>competitive inhibition</w:t>
      </w:r>
      <w:r>
        <w:t>. Each data point represents the mean of three independent experiments.</w:t>
      </w:r>
    </w:p>
    <w:p w:rsidR="000E3D31" w:rsidRDefault="000E3D31"/>
    <w:sectPr w:rsidR="000E3D31">
      <w:pgSz w:w="12240" w:h="15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4188C"/>
    <w:rsid w:val="000E3D31"/>
    <w:rsid w:val="000F1A33"/>
    <w:rsid w:val="00202D9D"/>
    <w:rsid w:val="00287271"/>
    <w:rsid w:val="0029044F"/>
    <w:rsid w:val="002C01C6"/>
    <w:rsid w:val="0044188C"/>
    <w:rsid w:val="00805C31"/>
    <w:rsid w:val="00824833"/>
    <w:rsid w:val="00964001"/>
    <w:rsid w:val="00B05894"/>
    <w:rsid w:val="00CA11F8"/>
    <w:rsid w:val="00CB6B4B"/>
    <w:rsid w:val="00DA27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47BC159F"/>
  <w15:chartTrackingRefBased/>
  <w15:docId w15:val="{478A7733-2EE7-464B-8528-877554709B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Heading3Char"/>
    <w:uiPriority w:val="9"/>
    <w:qFormat/>
    <w:rsid w:val="0044188C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uiPriority w:val="9"/>
    <w:rsid w:val="0044188C"/>
    <w:rPr>
      <w:rFonts w:ascii="Times New Roman" w:eastAsia="Times New Roman" w:hAnsi="Times New Roman" w:cs="Times New Roman"/>
      <w:b/>
      <w:bCs/>
      <w:sz w:val="27"/>
      <w:szCs w:val="27"/>
    </w:rPr>
  </w:style>
  <w:style w:type="character" w:styleId="Strong">
    <w:name w:val="Strong"/>
    <w:basedOn w:val="DefaultParagraphFont"/>
    <w:uiPriority w:val="22"/>
    <w:qFormat/>
    <w:rsid w:val="0044188C"/>
    <w:rPr>
      <w:b/>
      <w:bCs/>
    </w:rPr>
  </w:style>
  <w:style w:type="table" w:styleId="PlainTable2">
    <w:name w:val="Plain Table 2"/>
    <w:basedOn w:val="TableNormal"/>
    <w:uiPriority w:val="42"/>
    <w:rsid w:val="0044188C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16286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9666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67786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84022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1167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4928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70846896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4859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9225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40063488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2</Pages>
  <Words>331</Words>
  <Characters>1791</Characters>
  <Application>Microsoft Office Word</Application>
  <DocSecurity>0</DocSecurity>
  <Lines>33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8</cp:revision>
  <dcterms:created xsi:type="dcterms:W3CDTF">2025-05-02T06:59:00Z</dcterms:created>
  <dcterms:modified xsi:type="dcterms:W3CDTF">2025-05-10T08:29:00Z</dcterms:modified>
</cp:coreProperties>
</file>