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DA9C" w14:textId="062822F2" w:rsidR="00040C04" w:rsidRDefault="002C640F" w:rsidP="002C640F">
      <w:pPr>
        <w:pStyle w:val="NormalWeb"/>
        <w:jc w:val="center"/>
      </w:pPr>
      <w:r w:rsidRPr="002C640F">
        <w:rPr>
          <w:b/>
          <w:bCs/>
        </w:rPr>
        <w:t>Supplementary Data A</w:t>
      </w:r>
      <w:r w:rsidR="00040C04">
        <w:rPr>
          <w:noProof/>
        </w:rPr>
        <mc:AlternateContent>
          <mc:Choice Requires="wps">
            <w:drawing>
              <wp:inline distT="0" distB="0" distL="0" distR="0" wp14:anchorId="731B435F" wp14:editId="77F49642">
                <wp:extent cx="304800" cy="304800"/>
                <wp:effectExtent l="0" t="0" r="0" b="0"/>
                <wp:docPr id="107027555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B17028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8D673B4" w14:textId="58ED9DE4" w:rsidR="00040C04" w:rsidRPr="005662B1" w:rsidRDefault="000E2352" w:rsidP="002C640F">
      <w:pPr>
        <w:pStyle w:val="NormalWeb"/>
        <w:spacing w:line="360" w:lineRule="auto"/>
        <w:jc w:val="both"/>
        <w:rPr>
          <w:rFonts w:asciiTheme="majorBidi" w:hAnsiTheme="majorBidi" w:cstheme="majorBidi"/>
          <w:noProof/>
        </w:rPr>
      </w:pPr>
      <w:bookmarkStart w:id="0" w:name="_Hlk213679307"/>
      <w:r>
        <w:rPr>
          <w:rFonts w:asciiTheme="majorBidi" w:hAnsiTheme="majorBidi" w:cstheme="majorBidi"/>
          <w:noProof/>
        </w:rPr>
        <w:t xml:space="preserve">   </w:t>
      </w:r>
      <w:r w:rsidR="005E42AA" w:rsidRPr="005662B1">
        <w:rPr>
          <w:rFonts w:asciiTheme="majorBidi" w:hAnsiTheme="majorBidi" w:cstheme="majorBidi"/>
          <w:noProof/>
        </w:rPr>
        <w:t xml:space="preserve">MTT assay </w:t>
      </w:r>
      <w:r w:rsidR="00AF7705" w:rsidRPr="005662B1">
        <w:rPr>
          <w:rFonts w:asciiTheme="majorBidi" w:hAnsiTheme="majorBidi" w:cstheme="majorBidi"/>
          <w:noProof/>
        </w:rPr>
        <w:t xml:space="preserve">results </w:t>
      </w:r>
      <w:r w:rsidR="005E42AA" w:rsidRPr="005662B1">
        <w:rPr>
          <w:rFonts w:asciiTheme="majorBidi" w:hAnsiTheme="majorBidi" w:cstheme="majorBidi"/>
          <w:noProof/>
        </w:rPr>
        <w:t xml:space="preserve">using a serial dilution of IVM ( 30 </w:t>
      </w:r>
      <w:r w:rsidR="005E42AA" w:rsidRPr="005662B1">
        <w:rPr>
          <w:rFonts w:asciiTheme="majorBidi" w:hAnsiTheme="majorBidi" w:cstheme="majorBidi"/>
        </w:rPr>
        <w:t>μM</w:t>
      </w:r>
      <w:r w:rsidR="005E42AA" w:rsidRPr="005662B1">
        <w:rPr>
          <w:rFonts w:asciiTheme="majorBidi" w:hAnsiTheme="majorBidi" w:cstheme="majorBidi"/>
          <w:noProof/>
        </w:rPr>
        <w:t xml:space="preserve"> -</w:t>
      </w:r>
      <w:r w:rsidR="005E42AA" w:rsidRPr="005662B1">
        <w:rPr>
          <w:rFonts w:asciiTheme="majorBidi" w:hAnsiTheme="majorBidi" w:cstheme="majorBidi"/>
        </w:rPr>
        <w:t>0.23 μM</w:t>
      </w:r>
      <w:r w:rsidR="005E42AA" w:rsidRPr="005662B1">
        <w:rPr>
          <w:rFonts w:asciiTheme="majorBidi" w:hAnsiTheme="majorBidi" w:cstheme="majorBidi"/>
          <w:noProof/>
        </w:rPr>
        <w:t>) combined with the IC</w:t>
      </w:r>
      <w:r w:rsidR="005E42AA" w:rsidRPr="005662B1">
        <w:rPr>
          <w:rFonts w:asciiTheme="majorBidi" w:hAnsiTheme="majorBidi" w:cstheme="majorBidi"/>
          <w:noProof/>
          <w:vertAlign w:val="subscript"/>
        </w:rPr>
        <w:t>20</w:t>
      </w:r>
      <w:r w:rsidR="005E42AA" w:rsidRPr="005662B1">
        <w:rPr>
          <w:rFonts w:asciiTheme="majorBidi" w:hAnsiTheme="majorBidi" w:cstheme="majorBidi"/>
          <w:noProof/>
        </w:rPr>
        <w:t xml:space="preserve"> value of DOX </w:t>
      </w:r>
      <w:r w:rsidR="00AF7705" w:rsidRPr="005662B1">
        <w:rPr>
          <w:rFonts w:asciiTheme="majorBidi" w:hAnsiTheme="majorBidi" w:cstheme="majorBidi"/>
          <w:noProof/>
        </w:rPr>
        <w:t>showed that the IC</w:t>
      </w:r>
      <w:r w:rsidR="00AF7705" w:rsidRPr="005662B1">
        <w:rPr>
          <w:rFonts w:asciiTheme="majorBidi" w:hAnsiTheme="majorBidi" w:cstheme="majorBidi"/>
          <w:noProof/>
          <w:vertAlign w:val="subscript"/>
        </w:rPr>
        <w:t>50</w:t>
      </w:r>
      <w:r w:rsidR="00AF7705" w:rsidRPr="005662B1">
        <w:rPr>
          <w:rFonts w:asciiTheme="majorBidi" w:hAnsiTheme="majorBidi" w:cstheme="majorBidi"/>
          <w:noProof/>
        </w:rPr>
        <w:t xml:space="preserve"> of DOX+IVM was 9 uM </w:t>
      </w:r>
      <w:r w:rsidR="002C640F">
        <w:rPr>
          <w:rFonts w:asciiTheme="majorBidi" w:hAnsiTheme="majorBidi" w:cstheme="majorBidi"/>
          <w:noProof/>
        </w:rPr>
        <w:t xml:space="preserve">in normal OEC, while was </w:t>
      </w:r>
      <w:r w:rsidR="00AF7705" w:rsidRPr="005662B1">
        <w:rPr>
          <w:rFonts w:asciiTheme="majorBidi" w:hAnsiTheme="majorBidi" w:cstheme="majorBidi"/>
          <w:noProof/>
        </w:rPr>
        <w:t>1.</w:t>
      </w:r>
      <w:r w:rsidR="00265BFE">
        <w:rPr>
          <w:rFonts w:asciiTheme="majorBidi" w:hAnsiTheme="majorBidi" w:cstheme="majorBidi"/>
          <w:noProof/>
        </w:rPr>
        <w:t>7</w:t>
      </w:r>
      <w:r w:rsidR="00AF7705" w:rsidRPr="005662B1">
        <w:rPr>
          <w:rFonts w:asciiTheme="majorBidi" w:hAnsiTheme="majorBidi" w:cstheme="majorBidi"/>
          <w:noProof/>
        </w:rPr>
        <w:t>9 uM</w:t>
      </w:r>
      <w:r>
        <w:rPr>
          <w:rFonts w:asciiTheme="majorBidi" w:hAnsiTheme="majorBidi" w:cstheme="majorBidi"/>
          <w:noProof/>
        </w:rPr>
        <w:t xml:space="preserve"> </w:t>
      </w:r>
      <w:r w:rsidR="002C640F">
        <w:rPr>
          <w:rFonts w:asciiTheme="majorBidi" w:hAnsiTheme="majorBidi" w:cstheme="majorBidi"/>
          <w:noProof/>
        </w:rPr>
        <w:t xml:space="preserve">in </w:t>
      </w:r>
      <w:r w:rsidRPr="005662B1">
        <w:rPr>
          <w:rFonts w:asciiTheme="majorBidi" w:hAnsiTheme="majorBidi" w:cstheme="majorBidi"/>
          <w:noProof/>
        </w:rPr>
        <w:t>HN9 cell lines</w:t>
      </w:r>
      <w:r w:rsidR="00AF7705" w:rsidRPr="005662B1">
        <w:rPr>
          <w:rFonts w:asciiTheme="majorBidi" w:hAnsiTheme="majorBidi" w:cstheme="majorBidi"/>
          <w:noProof/>
        </w:rPr>
        <w:t xml:space="preserve">. Findings </w:t>
      </w:r>
      <w:r w:rsidR="002C640F">
        <w:rPr>
          <w:rFonts w:asciiTheme="majorBidi" w:hAnsiTheme="majorBidi" w:cstheme="majorBidi"/>
          <w:noProof/>
        </w:rPr>
        <w:t>revealed</w:t>
      </w:r>
      <w:r w:rsidR="00AF7705" w:rsidRPr="005662B1">
        <w:rPr>
          <w:rFonts w:asciiTheme="majorBidi" w:hAnsiTheme="majorBidi" w:cstheme="majorBidi"/>
          <w:noProof/>
        </w:rPr>
        <w:t xml:space="preserve"> a </w:t>
      </w:r>
      <w:r w:rsidR="002C640F">
        <w:rPr>
          <w:rFonts w:asciiTheme="majorBidi" w:hAnsiTheme="majorBidi" w:cstheme="majorBidi"/>
          <w:noProof/>
        </w:rPr>
        <w:t>4.</w:t>
      </w:r>
      <w:r w:rsidR="00265BFE">
        <w:rPr>
          <w:rFonts w:asciiTheme="majorBidi" w:hAnsiTheme="majorBidi" w:cstheme="majorBidi"/>
          <w:noProof/>
        </w:rPr>
        <w:t>5</w:t>
      </w:r>
      <w:r w:rsidR="005662B1" w:rsidRPr="005662B1">
        <w:rPr>
          <w:rFonts w:asciiTheme="majorBidi" w:hAnsiTheme="majorBidi" w:cstheme="majorBidi"/>
          <w:noProof/>
        </w:rPr>
        <w:t xml:space="preserve">- </w:t>
      </w:r>
      <w:r w:rsidR="00AF7705" w:rsidRPr="005662B1">
        <w:rPr>
          <w:rFonts w:asciiTheme="majorBidi" w:hAnsiTheme="majorBidi" w:cstheme="majorBidi"/>
          <w:noProof/>
        </w:rPr>
        <w:t xml:space="preserve">fold elevation in </w:t>
      </w:r>
      <w:r w:rsidR="007B5EC9">
        <w:rPr>
          <w:rFonts w:asciiTheme="majorBidi" w:hAnsiTheme="majorBidi" w:cstheme="majorBidi"/>
          <w:noProof/>
        </w:rPr>
        <w:t>the IC</w:t>
      </w:r>
      <w:r w:rsidR="007B5EC9" w:rsidRPr="007B5EC9">
        <w:rPr>
          <w:rFonts w:asciiTheme="majorBidi" w:hAnsiTheme="majorBidi" w:cstheme="majorBidi"/>
          <w:noProof/>
          <w:vertAlign w:val="subscript"/>
        </w:rPr>
        <w:t>50</w:t>
      </w:r>
      <w:r w:rsidR="007B5EC9">
        <w:rPr>
          <w:rFonts w:asciiTheme="majorBidi" w:hAnsiTheme="majorBidi" w:cstheme="majorBidi"/>
          <w:noProof/>
        </w:rPr>
        <w:t xml:space="preserve"> of DOX+IVM in </w:t>
      </w:r>
      <w:r w:rsidR="00AF7705" w:rsidRPr="005662B1">
        <w:rPr>
          <w:rFonts w:asciiTheme="majorBidi" w:hAnsiTheme="majorBidi" w:cstheme="majorBidi"/>
          <w:noProof/>
        </w:rPr>
        <w:t>cancer cells com</w:t>
      </w:r>
      <w:r w:rsidR="00FF72D6">
        <w:rPr>
          <w:rFonts w:asciiTheme="majorBidi" w:hAnsiTheme="majorBidi" w:cstheme="majorBidi"/>
          <w:noProof/>
        </w:rPr>
        <w:t>pa</w:t>
      </w:r>
      <w:r w:rsidR="00AF7705" w:rsidRPr="005662B1">
        <w:rPr>
          <w:rFonts w:asciiTheme="majorBidi" w:hAnsiTheme="majorBidi" w:cstheme="majorBidi"/>
          <w:noProof/>
        </w:rPr>
        <w:t>red to normal</w:t>
      </w:r>
      <w:r w:rsidR="005662B1" w:rsidRPr="005662B1">
        <w:rPr>
          <w:rFonts w:asciiTheme="majorBidi" w:hAnsiTheme="majorBidi" w:cstheme="majorBidi"/>
          <w:noProof/>
        </w:rPr>
        <w:t xml:space="preserve"> cells </w:t>
      </w:r>
      <w:r w:rsidR="00AF7705" w:rsidRPr="005662B1">
        <w:rPr>
          <w:rFonts w:asciiTheme="majorBidi" w:hAnsiTheme="majorBidi" w:cstheme="majorBidi"/>
          <w:noProof/>
        </w:rPr>
        <w:t>. The IC</w:t>
      </w:r>
      <w:r w:rsidR="00AF7705" w:rsidRPr="005662B1">
        <w:rPr>
          <w:rFonts w:asciiTheme="majorBidi" w:hAnsiTheme="majorBidi" w:cstheme="majorBidi"/>
          <w:noProof/>
          <w:vertAlign w:val="subscript"/>
        </w:rPr>
        <w:t>50</w:t>
      </w:r>
      <w:r w:rsidR="00AF7705" w:rsidRPr="005662B1">
        <w:rPr>
          <w:rFonts w:asciiTheme="majorBidi" w:hAnsiTheme="majorBidi" w:cstheme="majorBidi"/>
          <w:noProof/>
        </w:rPr>
        <w:t xml:space="preserve"> of</w:t>
      </w:r>
      <w:r w:rsidR="005662B1" w:rsidRPr="005662B1">
        <w:rPr>
          <w:rFonts w:asciiTheme="majorBidi" w:hAnsiTheme="majorBidi" w:cstheme="majorBidi"/>
          <w:noProof/>
        </w:rPr>
        <w:t xml:space="preserve"> DOX+IVM in</w:t>
      </w:r>
      <w:r w:rsidR="00AF7705" w:rsidRPr="005662B1">
        <w:rPr>
          <w:rFonts w:asciiTheme="majorBidi" w:hAnsiTheme="majorBidi" w:cstheme="majorBidi"/>
          <w:noProof/>
        </w:rPr>
        <w:t xml:space="preserve"> OEC cell line showed &gt;80% cell viability</w:t>
      </w:r>
      <w:r w:rsidR="005662B1" w:rsidRPr="005662B1">
        <w:rPr>
          <w:rFonts w:asciiTheme="majorBidi" w:hAnsiTheme="majorBidi" w:cstheme="majorBidi"/>
          <w:noProof/>
        </w:rPr>
        <w:t>,</w:t>
      </w:r>
      <w:r w:rsidR="00AF7705" w:rsidRPr="005662B1">
        <w:rPr>
          <w:rFonts w:asciiTheme="majorBidi" w:hAnsiTheme="majorBidi" w:cstheme="majorBidi"/>
          <w:noProof/>
        </w:rPr>
        <w:t xml:space="preserve">  which is considered relatively safe according to the ISO </w:t>
      </w:r>
      <w:r w:rsidR="00A00AE0" w:rsidRPr="00A00AE0">
        <w:rPr>
          <w:rFonts w:asciiTheme="majorBidi" w:hAnsiTheme="majorBidi" w:cstheme="majorBidi"/>
          <w:noProof/>
        </w:rPr>
        <w:t>10993-5:2009</w:t>
      </w:r>
      <w:r w:rsidR="00A00AE0">
        <w:rPr>
          <w:rFonts w:asciiTheme="majorBidi" w:hAnsiTheme="majorBidi" w:cstheme="majorBidi"/>
          <w:noProof/>
        </w:rPr>
        <w:t xml:space="preserve"> </w:t>
      </w:r>
      <w:r w:rsidR="00AF7705" w:rsidRPr="00BD02C4">
        <w:rPr>
          <w:rFonts w:asciiTheme="majorBidi" w:hAnsiTheme="majorBidi" w:cstheme="majorBidi"/>
          <w:noProof/>
        </w:rPr>
        <w:t>guidelines</w:t>
      </w:r>
      <w:r w:rsidR="002C640F" w:rsidRPr="00BD02C4">
        <w:rPr>
          <w:rFonts w:asciiTheme="majorBidi" w:hAnsiTheme="majorBidi" w:cstheme="majorBidi"/>
          <w:noProof/>
        </w:rPr>
        <w:t xml:space="preserve"> (</w:t>
      </w:r>
      <w:r w:rsidR="00BD02C4" w:rsidRPr="00BD02C4">
        <w:rPr>
          <w:rFonts w:asciiTheme="majorBidi" w:hAnsiTheme="majorBidi" w:cstheme="majorBidi"/>
          <w:noProof/>
        </w:rPr>
        <w:t>1</w:t>
      </w:r>
      <w:r w:rsidR="002C640F" w:rsidRPr="00BD02C4">
        <w:rPr>
          <w:rFonts w:asciiTheme="majorBidi" w:hAnsiTheme="majorBidi" w:cstheme="majorBidi"/>
          <w:noProof/>
        </w:rPr>
        <w:t>)</w:t>
      </w:r>
      <w:r w:rsidR="00AF7705" w:rsidRPr="00BD02C4">
        <w:rPr>
          <w:rFonts w:asciiTheme="majorBidi" w:hAnsiTheme="majorBidi" w:cstheme="majorBidi"/>
          <w:noProof/>
        </w:rPr>
        <w:t>.</w:t>
      </w:r>
      <w:r w:rsidR="00AF7705" w:rsidRPr="005662B1">
        <w:rPr>
          <w:rFonts w:asciiTheme="majorBidi" w:hAnsiTheme="majorBidi" w:cstheme="majorBidi"/>
          <w:noProof/>
        </w:rPr>
        <w:t xml:space="preserve"> Thus, it was determined to perform the following assays </w:t>
      </w:r>
      <w:r w:rsidR="005662B1" w:rsidRPr="005662B1">
        <w:rPr>
          <w:rFonts w:asciiTheme="majorBidi" w:hAnsiTheme="majorBidi" w:cstheme="majorBidi"/>
          <w:noProof/>
        </w:rPr>
        <w:t>excluselively in cancer</w:t>
      </w:r>
      <w:r w:rsidR="00AF7705" w:rsidRPr="005662B1">
        <w:rPr>
          <w:rFonts w:asciiTheme="majorBidi" w:hAnsiTheme="majorBidi" w:cstheme="majorBidi"/>
          <w:noProof/>
        </w:rPr>
        <w:t xml:space="preserve"> cell line</w:t>
      </w:r>
      <w:r w:rsidR="005662B1" w:rsidRPr="005662B1">
        <w:rPr>
          <w:rFonts w:asciiTheme="majorBidi" w:hAnsiTheme="majorBidi" w:cstheme="majorBidi"/>
          <w:noProof/>
        </w:rPr>
        <w:t>s</w:t>
      </w:r>
      <w:r w:rsidR="00AF7705" w:rsidRPr="005662B1">
        <w:rPr>
          <w:rFonts w:asciiTheme="majorBidi" w:hAnsiTheme="majorBidi" w:cstheme="majorBidi"/>
          <w:noProof/>
        </w:rPr>
        <w:t>.</w:t>
      </w:r>
    </w:p>
    <w:bookmarkEnd w:id="0"/>
    <w:p w14:paraId="582AC4C2" w14:textId="7195CF2A" w:rsidR="001E21DE" w:rsidRPr="001E21DE" w:rsidRDefault="001E21DE" w:rsidP="001E21DE">
      <w:pPr>
        <w:pStyle w:val="NormalWeb"/>
        <w:jc w:val="center"/>
      </w:pPr>
      <w:r w:rsidRPr="001E21DE">
        <w:rPr>
          <w:noProof/>
        </w:rPr>
        <w:drawing>
          <wp:inline distT="0" distB="0" distL="0" distR="0" wp14:anchorId="7EC49F93" wp14:editId="28D709E5">
            <wp:extent cx="3307080" cy="1744980"/>
            <wp:effectExtent l="0" t="0" r="7620" b="7620"/>
            <wp:docPr id="2118592882" name="Picture 1" descr="A graph showing the value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592882" name="Picture 1" descr="A graph showing the value of a number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8" t="25983" r="36410" b="21823"/>
                    <a:stretch/>
                  </pic:blipFill>
                  <pic:spPr bwMode="auto">
                    <a:xfrm>
                      <a:off x="0" y="0"/>
                      <a:ext cx="33070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AAC4F" w14:textId="0B28A678" w:rsidR="00FF26C9" w:rsidRDefault="00FF26C9" w:rsidP="0082161B">
      <w:pPr>
        <w:pStyle w:val="NormalWeb"/>
        <w:jc w:val="center"/>
      </w:pPr>
    </w:p>
    <w:p w14:paraId="69B7FA4D" w14:textId="77777777" w:rsidR="00AF7705" w:rsidRDefault="00AF7705" w:rsidP="005E42AA">
      <w:pPr>
        <w:pStyle w:val="NormalWeb"/>
      </w:pPr>
    </w:p>
    <w:p w14:paraId="25E5396D" w14:textId="31922DDD" w:rsidR="005E42AA" w:rsidRDefault="008439A4" w:rsidP="00040C04">
      <w:pPr>
        <w:pStyle w:val="NormalWeb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Supplementary material 1.</w:t>
      </w:r>
      <w:r w:rsidR="0082161B">
        <w:rPr>
          <w:rFonts w:asciiTheme="majorBidi" w:hAnsiTheme="majorBidi" w:cstheme="majorBidi"/>
          <w:b/>
          <w:bCs/>
          <w:sz w:val="20"/>
          <w:szCs w:val="20"/>
        </w:rPr>
        <w:t xml:space="preserve">  </w:t>
      </w:r>
      <w:r w:rsidR="00040C04" w:rsidRPr="00166B4A">
        <w:rPr>
          <w:rFonts w:asciiTheme="majorBidi" w:hAnsiTheme="majorBidi" w:cstheme="majorBidi"/>
          <w:sz w:val="20"/>
          <w:szCs w:val="20"/>
        </w:rPr>
        <w:t xml:space="preserve">MTT assay showing results of the effect of using a serial dilution of </w:t>
      </w:r>
      <w:r w:rsidR="00040C04" w:rsidRPr="008439A4">
        <w:rPr>
          <w:rFonts w:asciiTheme="majorBidi" w:hAnsiTheme="majorBidi" w:cstheme="majorBidi"/>
          <w:sz w:val="20"/>
          <w:szCs w:val="20"/>
        </w:rPr>
        <w:t>IVM</w:t>
      </w:r>
      <w:r w:rsidRPr="008439A4">
        <w:rPr>
          <w:rFonts w:asciiTheme="majorBidi" w:hAnsiTheme="majorBidi" w:cstheme="majorBidi"/>
          <w:sz w:val="20"/>
          <w:szCs w:val="20"/>
        </w:rPr>
        <w:t xml:space="preserve"> </w:t>
      </w:r>
      <w:r w:rsidRPr="008439A4">
        <w:rPr>
          <w:rFonts w:asciiTheme="majorBidi" w:hAnsiTheme="majorBidi" w:cstheme="majorBidi"/>
          <w:noProof/>
          <w:sz w:val="20"/>
          <w:szCs w:val="20"/>
        </w:rPr>
        <w:t xml:space="preserve">( 30 </w:t>
      </w:r>
      <w:r w:rsidRPr="008439A4">
        <w:rPr>
          <w:rFonts w:asciiTheme="majorBidi" w:hAnsiTheme="majorBidi" w:cstheme="majorBidi"/>
          <w:sz w:val="20"/>
          <w:szCs w:val="20"/>
        </w:rPr>
        <w:t>μM</w:t>
      </w:r>
      <w:r w:rsidRPr="008439A4">
        <w:rPr>
          <w:rFonts w:asciiTheme="majorBidi" w:hAnsiTheme="majorBidi" w:cstheme="majorBidi"/>
          <w:noProof/>
          <w:sz w:val="20"/>
          <w:szCs w:val="20"/>
        </w:rPr>
        <w:t xml:space="preserve"> -</w:t>
      </w:r>
      <w:r w:rsidRPr="008439A4">
        <w:rPr>
          <w:rFonts w:asciiTheme="majorBidi" w:hAnsiTheme="majorBidi" w:cstheme="majorBidi"/>
          <w:sz w:val="20"/>
          <w:szCs w:val="20"/>
        </w:rPr>
        <w:t>0.23 μM</w:t>
      </w:r>
      <w:r w:rsidRPr="008439A4">
        <w:rPr>
          <w:rFonts w:asciiTheme="majorBidi" w:hAnsiTheme="majorBidi" w:cstheme="majorBidi"/>
          <w:noProof/>
          <w:sz w:val="20"/>
          <w:szCs w:val="20"/>
        </w:rPr>
        <w:t xml:space="preserve">) </w:t>
      </w:r>
      <w:r w:rsidRPr="008439A4">
        <w:rPr>
          <w:rFonts w:asciiTheme="majorBidi" w:hAnsiTheme="majorBidi" w:cstheme="majorBidi"/>
          <w:sz w:val="20"/>
          <w:szCs w:val="20"/>
        </w:rPr>
        <w:t>combined</w:t>
      </w:r>
      <w:r w:rsidR="00040C04" w:rsidRPr="00166B4A">
        <w:rPr>
          <w:rFonts w:asciiTheme="majorBidi" w:hAnsiTheme="majorBidi" w:cstheme="majorBidi"/>
          <w:sz w:val="20"/>
          <w:szCs w:val="20"/>
        </w:rPr>
        <w:t xml:space="preserve"> with The </w:t>
      </w:r>
      <w:r w:rsidR="00040C04" w:rsidRPr="00231F3B">
        <w:rPr>
          <w:rFonts w:asciiTheme="majorBidi" w:hAnsiTheme="majorBidi" w:cstheme="majorBidi"/>
          <w:sz w:val="20"/>
          <w:szCs w:val="20"/>
        </w:rPr>
        <w:t>IC</w:t>
      </w:r>
      <w:r w:rsidR="00040C04" w:rsidRPr="00231F3B">
        <w:rPr>
          <w:rFonts w:asciiTheme="majorBidi" w:hAnsiTheme="majorBidi" w:cstheme="majorBidi"/>
          <w:b/>
          <w:bCs/>
          <w:sz w:val="20"/>
          <w:szCs w:val="20"/>
          <w:vertAlign w:val="subscript"/>
        </w:rPr>
        <w:t>20</w:t>
      </w:r>
      <w:r w:rsidR="00040C04" w:rsidRPr="00166B4A">
        <w:rPr>
          <w:rFonts w:asciiTheme="majorBidi" w:hAnsiTheme="majorBidi" w:cstheme="majorBidi"/>
          <w:sz w:val="20"/>
          <w:szCs w:val="20"/>
        </w:rPr>
        <w:t xml:space="preserve"> value of DOX on</w:t>
      </w:r>
      <w:r w:rsidR="00040C04">
        <w:rPr>
          <w:rFonts w:asciiTheme="majorBidi" w:hAnsiTheme="majorBidi" w:cstheme="majorBidi"/>
          <w:sz w:val="20"/>
          <w:szCs w:val="20"/>
        </w:rPr>
        <w:t xml:space="preserve"> OEC </w:t>
      </w:r>
      <w:r w:rsidR="005E42AA">
        <w:rPr>
          <w:rFonts w:asciiTheme="majorBidi" w:hAnsiTheme="majorBidi" w:cstheme="majorBidi"/>
          <w:sz w:val="20"/>
          <w:szCs w:val="20"/>
        </w:rPr>
        <w:t xml:space="preserve">and </w:t>
      </w:r>
      <w:r w:rsidR="005E42AA" w:rsidRPr="00166B4A">
        <w:rPr>
          <w:rFonts w:asciiTheme="majorBidi" w:hAnsiTheme="majorBidi" w:cstheme="majorBidi"/>
          <w:sz w:val="20"/>
          <w:szCs w:val="20"/>
        </w:rPr>
        <w:t>HN</w:t>
      </w:r>
      <w:r w:rsidR="00040C04" w:rsidRPr="00166B4A">
        <w:rPr>
          <w:rFonts w:asciiTheme="majorBidi" w:hAnsiTheme="majorBidi" w:cstheme="majorBidi"/>
          <w:sz w:val="20"/>
          <w:szCs w:val="20"/>
        </w:rPr>
        <w:t>9 cell line</w:t>
      </w:r>
      <w:r w:rsidR="00040C04">
        <w:rPr>
          <w:rFonts w:asciiTheme="majorBidi" w:hAnsiTheme="majorBidi" w:cstheme="majorBidi"/>
          <w:sz w:val="20"/>
          <w:szCs w:val="20"/>
        </w:rPr>
        <w:t>s</w:t>
      </w:r>
      <w:r w:rsidR="00040C04" w:rsidRPr="00166B4A">
        <w:rPr>
          <w:rFonts w:asciiTheme="majorBidi" w:hAnsiTheme="majorBidi" w:cstheme="majorBidi"/>
          <w:sz w:val="20"/>
          <w:szCs w:val="20"/>
        </w:rPr>
        <w:t xml:space="preserve">.        </w:t>
      </w:r>
    </w:p>
    <w:p w14:paraId="4FF63B78" w14:textId="34544FAC" w:rsidR="00BD02C4" w:rsidRDefault="00BD02C4" w:rsidP="00040C04">
      <w:pPr>
        <w:pStyle w:val="NormalWeb"/>
        <w:rPr>
          <w:rFonts w:asciiTheme="majorBidi" w:hAnsiTheme="majorBidi" w:cstheme="majorBidi"/>
          <w:sz w:val="20"/>
          <w:szCs w:val="20"/>
        </w:rPr>
      </w:pPr>
    </w:p>
    <w:p w14:paraId="21815499" w14:textId="7997469F" w:rsidR="00BD02C4" w:rsidRDefault="00BD02C4" w:rsidP="00040C04">
      <w:pPr>
        <w:pStyle w:val="NormalWeb"/>
        <w:rPr>
          <w:rFonts w:asciiTheme="majorBidi" w:hAnsiTheme="majorBidi" w:cstheme="majorBidi"/>
          <w:sz w:val="20"/>
          <w:szCs w:val="20"/>
        </w:rPr>
      </w:pPr>
    </w:p>
    <w:p w14:paraId="3B7D482F" w14:textId="504707D1" w:rsidR="00BD02C4" w:rsidRDefault="00BD02C4" w:rsidP="00040C04">
      <w:pPr>
        <w:pStyle w:val="NormalWeb"/>
        <w:rPr>
          <w:rFonts w:asciiTheme="majorBidi" w:hAnsiTheme="majorBidi" w:cstheme="majorBidi"/>
          <w:sz w:val="20"/>
          <w:szCs w:val="20"/>
        </w:rPr>
      </w:pPr>
    </w:p>
    <w:p w14:paraId="5003C779" w14:textId="77777777" w:rsidR="00BD02C4" w:rsidRDefault="00BD02C4" w:rsidP="00040C04">
      <w:pPr>
        <w:pStyle w:val="NormalWeb"/>
        <w:rPr>
          <w:rFonts w:asciiTheme="majorBidi" w:hAnsiTheme="majorBidi" w:cstheme="majorBidi"/>
          <w:sz w:val="20"/>
          <w:szCs w:val="20"/>
        </w:rPr>
      </w:pPr>
    </w:p>
    <w:p w14:paraId="559441E7" w14:textId="4A80282D" w:rsidR="00381929" w:rsidRDefault="00BD02C4" w:rsidP="00040C04">
      <w:pPr>
        <w:pStyle w:val="NormalWeb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Reference 1:</w:t>
      </w:r>
      <w:r w:rsidR="00381929">
        <w:rPr>
          <w:rFonts w:asciiTheme="majorBidi" w:hAnsiTheme="majorBidi" w:cstheme="majorBidi"/>
          <w:sz w:val="20"/>
          <w:szCs w:val="20"/>
        </w:rPr>
        <w:t xml:space="preserve"> </w:t>
      </w:r>
    </w:p>
    <w:sdt>
      <w:sdtPr>
        <w:rPr>
          <w:rFonts w:asciiTheme="majorBidi" w:eastAsia="Times New Roman" w:hAnsiTheme="majorBidi" w:cstheme="majorBidi"/>
          <w:color w:val="000000"/>
          <w:sz w:val="20"/>
          <w:szCs w:val="20"/>
        </w:rPr>
        <w:tag w:val="MENDELEY_BIBLIOGRAPHY"/>
        <w:id w:val="-1837602766"/>
        <w:placeholder>
          <w:docPart w:val="DefaultPlaceholder_-1854013440"/>
        </w:placeholder>
      </w:sdtPr>
      <w:sdtEndPr/>
      <w:sdtContent>
        <w:p w14:paraId="6F98D1A4" w14:textId="77777777" w:rsidR="00381929" w:rsidRPr="00BD02C4" w:rsidRDefault="00381929" w:rsidP="00BD02C4">
          <w:pPr>
            <w:autoSpaceDE w:val="0"/>
            <w:autoSpaceDN w:val="0"/>
            <w:ind w:hanging="480"/>
            <w:jc w:val="both"/>
            <w:divId w:val="1371763414"/>
            <w:rPr>
              <w:rFonts w:asciiTheme="majorBidi" w:eastAsia="Times New Roman" w:hAnsiTheme="majorBidi" w:cstheme="majorBidi"/>
              <w:color w:val="000000"/>
              <w:sz w:val="24"/>
              <w:szCs w:val="24"/>
            </w:rPr>
          </w:pPr>
          <w:r w:rsidRPr="00BD02C4">
            <w:rPr>
              <w:rFonts w:asciiTheme="majorBidi" w:eastAsia="Times New Roman" w:hAnsiTheme="majorBidi" w:cstheme="majorBidi"/>
              <w:color w:val="000000"/>
            </w:rPr>
            <w:t xml:space="preserve">Gruber, S., &amp; Nickel, A. (2023). Toxic or not toxic? The specifications of the standard ISO 10993-5 are not explicit enough to yield comparable results in the cytotoxicity assessment of an identical medical device. </w:t>
          </w:r>
          <w:r w:rsidRPr="00BD02C4">
            <w:rPr>
              <w:rFonts w:asciiTheme="majorBidi" w:eastAsia="Times New Roman" w:hAnsiTheme="majorBidi" w:cstheme="majorBidi"/>
              <w:i/>
              <w:iCs/>
              <w:color w:val="000000"/>
            </w:rPr>
            <w:t>Frontiers in Medical Technology</w:t>
          </w:r>
          <w:r w:rsidRPr="00BD02C4">
            <w:rPr>
              <w:rFonts w:asciiTheme="majorBidi" w:eastAsia="Times New Roman" w:hAnsiTheme="majorBidi" w:cstheme="majorBidi"/>
              <w:color w:val="000000"/>
            </w:rPr>
            <w:t xml:space="preserve">, </w:t>
          </w:r>
          <w:r w:rsidRPr="00BD02C4">
            <w:rPr>
              <w:rFonts w:asciiTheme="majorBidi" w:eastAsia="Times New Roman" w:hAnsiTheme="majorBidi" w:cstheme="majorBidi"/>
              <w:i/>
              <w:iCs/>
              <w:color w:val="000000"/>
            </w:rPr>
            <w:t>5</w:t>
          </w:r>
          <w:r w:rsidRPr="00BD02C4">
            <w:rPr>
              <w:rFonts w:asciiTheme="majorBidi" w:eastAsia="Times New Roman" w:hAnsiTheme="majorBidi" w:cstheme="majorBidi"/>
              <w:color w:val="000000"/>
            </w:rPr>
            <w:t>, 1195529. https://doi.org/10.3389/FMEDT.2023.1195529</w:t>
          </w:r>
        </w:p>
        <w:p w14:paraId="3DE6E125" w14:textId="54AF61E9" w:rsidR="00381929" w:rsidRDefault="00381929" w:rsidP="00040C04">
          <w:pPr>
            <w:pStyle w:val="NormalWeb"/>
            <w:rPr>
              <w:rFonts w:asciiTheme="majorBidi" w:hAnsiTheme="majorBidi" w:cstheme="majorBidi"/>
              <w:sz w:val="20"/>
              <w:szCs w:val="20"/>
            </w:rPr>
          </w:pPr>
          <w:r w:rsidRPr="00381929">
            <w:rPr>
              <w:color w:val="000000"/>
            </w:rPr>
            <w:t> </w:t>
          </w:r>
        </w:p>
      </w:sdtContent>
    </w:sdt>
    <w:p w14:paraId="662EA654" w14:textId="31B272A7" w:rsidR="00040C04" w:rsidRDefault="00040C04" w:rsidP="00040C04">
      <w:pPr>
        <w:pStyle w:val="NormalWeb"/>
      </w:pPr>
      <w:r w:rsidRPr="00166B4A">
        <w:rPr>
          <w:rFonts w:asciiTheme="majorBidi" w:hAnsiTheme="majorBidi" w:cstheme="majorBidi"/>
          <w:sz w:val="20"/>
          <w:szCs w:val="20"/>
        </w:rPr>
        <w:t xml:space="preserve">                                                    </w:t>
      </w:r>
    </w:p>
    <w:p w14:paraId="6DE7AF35" w14:textId="77777777" w:rsidR="00443D3B" w:rsidRDefault="00443D3B"/>
    <w:sectPr w:rsidR="00443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B4"/>
    <w:rsid w:val="00040C04"/>
    <w:rsid w:val="000E2352"/>
    <w:rsid w:val="001E21DE"/>
    <w:rsid w:val="00265BFE"/>
    <w:rsid w:val="002C640F"/>
    <w:rsid w:val="00381929"/>
    <w:rsid w:val="00443D3B"/>
    <w:rsid w:val="004F5B95"/>
    <w:rsid w:val="005662B1"/>
    <w:rsid w:val="005E42AA"/>
    <w:rsid w:val="00682AB4"/>
    <w:rsid w:val="007B5EC9"/>
    <w:rsid w:val="0082161B"/>
    <w:rsid w:val="008439A4"/>
    <w:rsid w:val="00984228"/>
    <w:rsid w:val="00A00AE0"/>
    <w:rsid w:val="00AF7705"/>
    <w:rsid w:val="00BD02C4"/>
    <w:rsid w:val="00C007E1"/>
    <w:rsid w:val="00D1492E"/>
    <w:rsid w:val="00FF26C9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0D814"/>
  <w15:chartTrackingRefBased/>
  <w15:docId w15:val="{2B4F70D5-1E6C-4B67-BAF5-5D50F646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0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81929"/>
    <w:rPr>
      <w:color w:val="808080"/>
    </w:rPr>
  </w:style>
  <w:style w:type="paragraph" w:customStyle="1" w:styleId="msonormal0">
    <w:name w:val="msonormal"/>
    <w:basedOn w:val="Normal"/>
    <w:rsid w:val="0038192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34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69BA3-56A0-426A-9F65-1910C5DC0E20}"/>
      </w:docPartPr>
      <w:docPartBody>
        <w:p w:rsidR="00EC2C17" w:rsidRDefault="00EA6E79">
          <w:r w:rsidRPr="00F6168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79"/>
    <w:rsid w:val="001338F5"/>
    <w:rsid w:val="00C007E1"/>
    <w:rsid w:val="00EA6E79"/>
    <w:rsid w:val="00E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6E7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36F017-8319-4E9A-B9D6-E3EB388C55C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BIBLIOGRAPHY_IS_DIRTY" value="true"/>
    <we:property name="MENDELEY_BIBLIOGRAPHY_LAST_MODIFIED" value="1762780338621"/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Rana.Khalifa</dc:creator>
  <cp:keywords/>
  <dc:description/>
  <cp:lastModifiedBy>shereen nader</cp:lastModifiedBy>
  <cp:revision>2</cp:revision>
  <dcterms:created xsi:type="dcterms:W3CDTF">2025-11-10T16:12:00Z</dcterms:created>
  <dcterms:modified xsi:type="dcterms:W3CDTF">2025-11-10T16:12:00Z</dcterms:modified>
</cp:coreProperties>
</file>