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B8E9" w14:textId="5811B945" w:rsidR="00875B73" w:rsidRPr="00EF4DD2" w:rsidRDefault="00EF4DD2">
      <w:pPr>
        <w:rPr>
          <w:rFonts w:ascii="Times New Roman" w:hAnsi="Times New Roman" w:cs="Times New Roman"/>
        </w:rPr>
      </w:pPr>
      <w:r w:rsidRPr="00EF4DD2">
        <w:rPr>
          <w:rFonts w:ascii="Times New Roman" w:hAnsi="Times New Roman" w:cs="Times New Roman"/>
          <w:b/>
          <w:bCs/>
        </w:rPr>
        <w:t>Supplementary FLOWCHART 1A</w:t>
      </w:r>
      <w:r w:rsidRPr="00EF4DD2">
        <w:rPr>
          <w:rFonts w:ascii="Times New Roman" w:hAnsi="Times New Roman" w:cs="Times New Roman"/>
        </w:rPr>
        <w:t xml:space="preserve"> Study Procedures – Fasting study</w:t>
      </w:r>
    </w:p>
    <w:tbl>
      <w:tblPr>
        <w:tblW w:w="1483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5"/>
        <w:gridCol w:w="1146"/>
        <w:gridCol w:w="576"/>
        <w:gridCol w:w="868"/>
        <w:gridCol w:w="426"/>
        <w:gridCol w:w="576"/>
        <w:gridCol w:w="576"/>
        <w:gridCol w:w="576"/>
        <w:gridCol w:w="576"/>
        <w:gridCol w:w="576"/>
        <w:gridCol w:w="576"/>
        <w:gridCol w:w="576"/>
        <w:gridCol w:w="576"/>
        <w:gridCol w:w="579"/>
        <w:gridCol w:w="576"/>
        <w:gridCol w:w="576"/>
        <w:gridCol w:w="576"/>
        <w:gridCol w:w="576"/>
        <w:gridCol w:w="720"/>
        <w:gridCol w:w="869"/>
        <w:gridCol w:w="6"/>
      </w:tblGrid>
      <w:tr w:rsidR="00EF4DD2" w:rsidRPr="00EF4DD2" w14:paraId="54DF08BB" w14:textId="77777777" w:rsidTr="00EF4DD2">
        <w:trPr>
          <w:trHeight w:val="242"/>
          <w:tblHeader/>
        </w:trPr>
        <w:tc>
          <w:tcPr>
            <w:tcW w:w="2735" w:type="dxa"/>
            <w:tcBorders>
              <w:top w:val="single" w:sz="4" w:space="0" w:color="auto"/>
            </w:tcBorders>
            <w:vAlign w:val="center"/>
          </w:tcPr>
          <w:p w14:paraId="5268AB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Stage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147C88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Screening</w:t>
            </w:r>
          </w:p>
        </w:tc>
        <w:tc>
          <w:tcPr>
            <w:tcW w:w="10956" w:type="dxa"/>
            <w:gridSpan w:val="19"/>
            <w:tcBorders>
              <w:top w:val="single" w:sz="4" w:space="0" w:color="auto"/>
            </w:tcBorders>
            <w:vAlign w:val="center"/>
          </w:tcPr>
          <w:p w14:paraId="087D95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Period I-II</w:t>
            </w:r>
          </w:p>
        </w:tc>
      </w:tr>
      <w:tr w:rsidR="00EF4DD2" w:rsidRPr="00EF4DD2" w14:paraId="31FC3285" w14:textId="77777777" w:rsidTr="00EF4DD2">
        <w:trPr>
          <w:gridAfter w:val="1"/>
          <w:wAfter w:w="6" w:type="dxa"/>
          <w:trHeight w:val="242"/>
          <w:tblHeader/>
        </w:trPr>
        <w:tc>
          <w:tcPr>
            <w:tcW w:w="2735" w:type="dxa"/>
            <w:vAlign w:val="center"/>
          </w:tcPr>
          <w:p w14:paraId="0B5EC4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Day</w:t>
            </w:r>
          </w:p>
        </w:tc>
        <w:tc>
          <w:tcPr>
            <w:tcW w:w="1146" w:type="dxa"/>
            <w:vMerge w:val="restart"/>
            <w:vAlign w:val="center"/>
          </w:tcPr>
          <w:p w14:paraId="4DB2AD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Day-15~-1</w:t>
            </w:r>
          </w:p>
        </w:tc>
        <w:tc>
          <w:tcPr>
            <w:tcW w:w="576" w:type="dxa"/>
            <w:vMerge w:val="restart"/>
            <w:vAlign w:val="center"/>
          </w:tcPr>
          <w:p w14:paraId="5ABC73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D-1</w:t>
            </w: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br/>
              <w:t>D7</w:t>
            </w:r>
          </w:p>
        </w:tc>
        <w:tc>
          <w:tcPr>
            <w:tcW w:w="6481" w:type="dxa"/>
            <w:gridSpan w:val="11"/>
            <w:vAlign w:val="center"/>
          </w:tcPr>
          <w:p w14:paraId="0AAB9A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D1, D8</w:t>
            </w:r>
          </w:p>
        </w:tc>
        <w:tc>
          <w:tcPr>
            <w:tcW w:w="1728" w:type="dxa"/>
            <w:gridSpan w:val="3"/>
            <w:vAlign w:val="center"/>
          </w:tcPr>
          <w:p w14:paraId="745541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D2, D9</w:t>
            </w:r>
          </w:p>
        </w:tc>
        <w:tc>
          <w:tcPr>
            <w:tcW w:w="1296" w:type="dxa"/>
            <w:gridSpan w:val="2"/>
            <w:vAlign w:val="center"/>
          </w:tcPr>
          <w:p w14:paraId="05D01DF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D3, D10</w:t>
            </w:r>
          </w:p>
        </w:tc>
        <w:tc>
          <w:tcPr>
            <w:tcW w:w="869" w:type="dxa"/>
            <w:vAlign w:val="center"/>
          </w:tcPr>
          <w:p w14:paraId="1C1A24A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D4, D11</w:t>
            </w:r>
          </w:p>
        </w:tc>
      </w:tr>
      <w:tr w:rsidR="00EF4DD2" w:rsidRPr="00EF4DD2" w14:paraId="0AF34348" w14:textId="77777777" w:rsidTr="00EF4DD2">
        <w:trPr>
          <w:gridAfter w:val="1"/>
          <w:wAfter w:w="6" w:type="dxa"/>
          <w:trHeight w:val="242"/>
          <w:tblHeader/>
        </w:trPr>
        <w:tc>
          <w:tcPr>
            <w:tcW w:w="2735" w:type="dxa"/>
            <w:vAlign w:val="center"/>
          </w:tcPr>
          <w:p w14:paraId="332ADF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hour</w:t>
            </w:r>
          </w:p>
        </w:tc>
        <w:tc>
          <w:tcPr>
            <w:tcW w:w="1146" w:type="dxa"/>
            <w:vMerge/>
            <w:vAlign w:val="center"/>
          </w:tcPr>
          <w:p w14:paraId="0ED59A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Merge/>
            <w:vAlign w:val="center"/>
          </w:tcPr>
          <w:p w14:paraId="3382752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ED6248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Pre-dose</w:t>
            </w:r>
          </w:p>
        </w:tc>
        <w:tc>
          <w:tcPr>
            <w:tcW w:w="426" w:type="dxa"/>
            <w:vAlign w:val="center"/>
          </w:tcPr>
          <w:p w14:paraId="684324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576" w:type="dxa"/>
            <w:vAlign w:val="center"/>
          </w:tcPr>
          <w:p w14:paraId="72DF390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0.5 h</w:t>
            </w:r>
          </w:p>
        </w:tc>
        <w:tc>
          <w:tcPr>
            <w:tcW w:w="576" w:type="dxa"/>
            <w:vAlign w:val="center"/>
          </w:tcPr>
          <w:p w14:paraId="789C88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 h</w:t>
            </w:r>
          </w:p>
        </w:tc>
        <w:tc>
          <w:tcPr>
            <w:tcW w:w="576" w:type="dxa"/>
            <w:vAlign w:val="center"/>
          </w:tcPr>
          <w:p w14:paraId="282037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2 h</w:t>
            </w:r>
          </w:p>
        </w:tc>
        <w:tc>
          <w:tcPr>
            <w:tcW w:w="576" w:type="dxa"/>
            <w:vAlign w:val="center"/>
          </w:tcPr>
          <w:p w14:paraId="7704DD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4 h</w:t>
            </w:r>
          </w:p>
        </w:tc>
        <w:tc>
          <w:tcPr>
            <w:tcW w:w="576" w:type="dxa"/>
            <w:vAlign w:val="center"/>
          </w:tcPr>
          <w:p w14:paraId="10A91F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6 h</w:t>
            </w:r>
          </w:p>
        </w:tc>
        <w:tc>
          <w:tcPr>
            <w:tcW w:w="576" w:type="dxa"/>
            <w:vAlign w:val="center"/>
          </w:tcPr>
          <w:p w14:paraId="4317C7F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8 h</w:t>
            </w:r>
          </w:p>
        </w:tc>
        <w:tc>
          <w:tcPr>
            <w:tcW w:w="576" w:type="dxa"/>
            <w:vAlign w:val="center"/>
          </w:tcPr>
          <w:p w14:paraId="025F8E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10 h</w:t>
            </w:r>
          </w:p>
        </w:tc>
        <w:tc>
          <w:tcPr>
            <w:tcW w:w="576" w:type="dxa"/>
            <w:vAlign w:val="center"/>
          </w:tcPr>
          <w:p w14:paraId="26E6AA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12 h</w:t>
            </w:r>
          </w:p>
        </w:tc>
        <w:tc>
          <w:tcPr>
            <w:tcW w:w="579" w:type="dxa"/>
            <w:vAlign w:val="center"/>
          </w:tcPr>
          <w:p w14:paraId="7A3952E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14 h</w:t>
            </w:r>
          </w:p>
        </w:tc>
        <w:tc>
          <w:tcPr>
            <w:tcW w:w="576" w:type="dxa"/>
            <w:vAlign w:val="center"/>
          </w:tcPr>
          <w:p w14:paraId="042EF1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24 h</w:t>
            </w:r>
          </w:p>
        </w:tc>
        <w:tc>
          <w:tcPr>
            <w:tcW w:w="576" w:type="dxa"/>
            <w:vAlign w:val="center"/>
          </w:tcPr>
          <w:p w14:paraId="17E0F2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30 h</w:t>
            </w:r>
          </w:p>
        </w:tc>
        <w:tc>
          <w:tcPr>
            <w:tcW w:w="576" w:type="dxa"/>
            <w:vAlign w:val="center"/>
          </w:tcPr>
          <w:p w14:paraId="2BCFA6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36 h</w:t>
            </w:r>
          </w:p>
        </w:tc>
        <w:tc>
          <w:tcPr>
            <w:tcW w:w="576" w:type="dxa"/>
            <w:vAlign w:val="center"/>
          </w:tcPr>
          <w:p w14:paraId="5827B2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48 h</w:t>
            </w:r>
          </w:p>
        </w:tc>
        <w:tc>
          <w:tcPr>
            <w:tcW w:w="720" w:type="dxa"/>
            <w:vAlign w:val="center"/>
          </w:tcPr>
          <w:p w14:paraId="05F5709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60 h</w:t>
            </w:r>
          </w:p>
        </w:tc>
        <w:tc>
          <w:tcPr>
            <w:tcW w:w="869" w:type="dxa"/>
            <w:vAlign w:val="center"/>
          </w:tcPr>
          <w:p w14:paraId="33EC4A8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72 </w:t>
            </w:r>
            <w:proofErr w:type="spellStart"/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h</w:t>
            </w:r>
            <w:r w:rsidRPr="00EF4DD2">
              <w:rPr>
                <w:rFonts w:ascii="Times New Roman" w:eastAsia="SimSun" w:hAnsi="Times New Roman" w:cs="Times New Roman"/>
                <w:b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B</w:t>
            </w:r>
            <w:proofErr w:type="spellEnd"/>
          </w:p>
        </w:tc>
      </w:tr>
      <w:tr w:rsidR="00EF4DD2" w:rsidRPr="00EF4DD2" w14:paraId="2A944F33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3168E3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Informed consent</w:t>
            </w:r>
          </w:p>
        </w:tc>
        <w:tc>
          <w:tcPr>
            <w:tcW w:w="1146" w:type="dxa"/>
            <w:vAlign w:val="center"/>
          </w:tcPr>
          <w:p w14:paraId="1FF6C2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588CA7F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7153BB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74A1057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05C921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A5D0B4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E860F2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800817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673AFD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F2C828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9981E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E478A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76F632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DF884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1EE5F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0DC4D1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85A3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7D2B87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49FA83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E379B6F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16AF0E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Demographics</w:t>
            </w:r>
          </w:p>
        </w:tc>
        <w:tc>
          <w:tcPr>
            <w:tcW w:w="1146" w:type="dxa"/>
            <w:vAlign w:val="center"/>
          </w:tcPr>
          <w:p w14:paraId="54D5B09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4E39C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4AEBE4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56B3C1F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924F24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96E731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D4129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7E769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3D83BF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98023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3E0CF5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27FCEE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5C31E6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6BB5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C130F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234BE3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C72F3B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40FC11C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2143B9B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62EE87A8" w14:textId="77777777" w:rsidTr="00EF4DD2">
        <w:trPr>
          <w:gridAfter w:val="1"/>
          <w:wAfter w:w="6" w:type="dxa"/>
          <w:trHeight w:val="254"/>
        </w:trPr>
        <w:tc>
          <w:tcPr>
            <w:tcW w:w="2735" w:type="dxa"/>
            <w:vAlign w:val="center"/>
          </w:tcPr>
          <w:p w14:paraId="7652CCE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Medical history and drug use</w:t>
            </w:r>
          </w:p>
        </w:tc>
        <w:tc>
          <w:tcPr>
            <w:tcW w:w="1146" w:type="dxa"/>
            <w:vAlign w:val="center"/>
          </w:tcPr>
          <w:p w14:paraId="618AF8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B7D966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0C0017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7AA3D55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A3D35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94B1A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14159C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31F12F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A288E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0EF20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0C89A0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AC9D96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1CA737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607A1C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DD6A4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71AA0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9958F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9B8F9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28586A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05528AE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73D718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Smoking, drinking</w:t>
            </w:r>
          </w:p>
        </w:tc>
        <w:tc>
          <w:tcPr>
            <w:tcW w:w="1146" w:type="dxa"/>
            <w:vAlign w:val="center"/>
          </w:tcPr>
          <w:p w14:paraId="1DC6DE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15EF6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6333DDB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57CE1D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95598B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3D186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822597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8CEBFB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9E6E2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EF4CCE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06466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6C772A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2C8637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4082F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9218C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7245C6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8FAE9B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3CE5C2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555887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5F5DC676" w14:textId="77777777" w:rsidTr="00EF4DD2">
        <w:trPr>
          <w:gridAfter w:val="1"/>
          <w:wAfter w:w="6" w:type="dxa"/>
          <w:trHeight w:val="263"/>
        </w:trPr>
        <w:tc>
          <w:tcPr>
            <w:tcW w:w="2735" w:type="dxa"/>
            <w:vAlign w:val="center"/>
          </w:tcPr>
          <w:p w14:paraId="1E0669B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Prior/concomitant medication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1146" w:type="dxa"/>
            <w:vAlign w:val="center"/>
          </w:tcPr>
          <w:p w14:paraId="771338E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76" w:type="dxa"/>
            <w:vAlign w:val="center"/>
          </w:tcPr>
          <w:p w14:paraId="377B979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1B735E6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26" w:type="dxa"/>
            <w:vAlign w:val="center"/>
          </w:tcPr>
          <w:p w14:paraId="33F8D05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B5D3A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2AB4F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11979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963540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29AF86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E38E7F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8284A1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CB05B1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9" w:type="dxa"/>
            <w:vAlign w:val="center"/>
          </w:tcPr>
          <w:p w14:paraId="44A3FE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265E52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A1620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DEE91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444AA0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20" w:type="dxa"/>
            <w:vAlign w:val="center"/>
          </w:tcPr>
          <w:p w14:paraId="593C26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9" w:type="dxa"/>
            <w:vAlign w:val="center"/>
          </w:tcPr>
          <w:p w14:paraId="738C106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02FB86EA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2B9379B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Height/weight</w:t>
            </w:r>
          </w:p>
        </w:tc>
        <w:tc>
          <w:tcPr>
            <w:tcW w:w="1146" w:type="dxa"/>
            <w:vAlign w:val="center"/>
          </w:tcPr>
          <w:p w14:paraId="53B0CA4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404BED9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3BE77D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ABCB23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40E3A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0F3B61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09DCA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064EC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AC01FF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7970DF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90072D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14334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6A41A60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38C50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8FC5AB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431F32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B4B027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07AAE9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42C10C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CF13919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06737D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Physical examination</w:t>
            </w:r>
          </w:p>
        </w:tc>
        <w:tc>
          <w:tcPr>
            <w:tcW w:w="1146" w:type="dxa"/>
            <w:vAlign w:val="center"/>
          </w:tcPr>
          <w:p w14:paraId="17A53D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76" w:type="dxa"/>
            <w:vAlign w:val="center"/>
          </w:tcPr>
          <w:p w14:paraId="39384B0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3FA3D25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0AC9B7B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798B17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7DD8DA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990351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C5132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203C5B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5C495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1B2079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5DB37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35FD5EC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429F6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8ECD4C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0ABE81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DF4196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87FEDE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3ED643B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143F02C3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0D2837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Vital sign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D</w:t>
            </w:r>
          </w:p>
        </w:tc>
        <w:tc>
          <w:tcPr>
            <w:tcW w:w="1146" w:type="dxa"/>
            <w:vAlign w:val="center"/>
          </w:tcPr>
          <w:p w14:paraId="5AE98E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76" w:type="dxa"/>
            <w:vAlign w:val="center"/>
          </w:tcPr>
          <w:p w14:paraId="4D1DB3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0785C4C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1DB2C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04386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986B64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00B1A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50B66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15E3AF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7097C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FD52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E4BE6B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70DF970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CB306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B0A2D5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079F66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EE0C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244F6C9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16068C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755559CC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5059BD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12-lead ECG</w:t>
            </w:r>
          </w:p>
        </w:tc>
        <w:tc>
          <w:tcPr>
            <w:tcW w:w="1146" w:type="dxa"/>
            <w:vAlign w:val="center"/>
          </w:tcPr>
          <w:p w14:paraId="1DC0BB6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5E1EBE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4723F16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48F1F4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52EA6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9AD859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0EA30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351494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75D82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3F3220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16CF4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BE6248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47149C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CD2EFA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340AEF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383FBF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964FC5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23204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63E578B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K</w:t>
            </w:r>
          </w:p>
        </w:tc>
      </w:tr>
      <w:tr w:rsidR="00EF4DD2" w:rsidRPr="00EF4DD2" w14:paraId="54E283CC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662EC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Chest x-ray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E</w:t>
            </w:r>
          </w:p>
        </w:tc>
        <w:tc>
          <w:tcPr>
            <w:tcW w:w="1722" w:type="dxa"/>
            <w:gridSpan w:val="2"/>
            <w:vAlign w:val="center"/>
          </w:tcPr>
          <w:p w14:paraId="7C1151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3F65B11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B4811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6DB14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DBCDF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1D00F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5F447D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775C1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9A96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48C58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739B7C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7C4C2E8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1A2A8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82213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E5546F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891434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27CF06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4C2C27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6A23B0AE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10E708C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Abdomen ultrasound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F</w:t>
            </w:r>
          </w:p>
        </w:tc>
        <w:tc>
          <w:tcPr>
            <w:tcW w:w="1146" w:type="dxa"/>
            <w:vAlign w:val="center"/>
          </w:tcPr>
          <w:p w14:paraId="0A492BD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42488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788792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03FF1A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CB686B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15C2DE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85982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CE5FB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DF531C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2838AE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7420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10ACAA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560D69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B8E43E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BD0024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5F5612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19DB21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79C720B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673EAA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B5A6606" w14:textId="77777777" w:rsidTr="00EF4DD2">
        <w:trPr>
          <w:gridAfter w:val="1"/>
          <w:wAfter w:w="6" w:type="dxa"/>
          <w:trHeight w:val="254"/>
        </w:trPr>
        <w:tc>
          <w:tcPr>
            <w:tcW w:w="2735" w:type="dxa"/>
            <w:vAlign w:val="center"/>
          </w:tcPr>
          <w:p w14:paraId="763E02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Hematology</w:t>
            </w:r>
          </w:p>
        </w:tc>
        <w:tc>
          <w:tcPr>
            <w:tcW w:w="1146" w:type="dxa"/>
            <w:vAlign w:val="center"/>
          </w:tcPr>
          <w:p w14:paraId="43E4ED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407375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85DA91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2C2CDA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FD4D4E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2F992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6FF2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0AFD7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4F208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4344C0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554C15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F8B086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13CEBF7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D944D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D64E80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326CC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28526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2914EA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22845F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K</w:t>
            </w:r>
          </w:p>
        </w:tc>
      </w:tr>
      <w:tr w:rsidR="00EF4DD2" w:rsidRPr="00EF4DD2" w14:paraId="1AF160B0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608D82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Urinalysis</w:t>
            </w:r>
          </w:p>
        </w:tc>
        <w:tc>
          <w:tcPr>
            <w:tcW w:w="1146" w:type="dxa"/>
            <w:vAlign w:val="center"/>
          </w:tcPr>
          <w:p w14:paraId="7C58760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8B4D7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7CAA751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25A16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521A4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6A34B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18DA33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1BB5C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DF68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4A6FF8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5A5CB3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471C9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5C487F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44137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4F469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F7C971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9BD452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3D13471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279BB16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K</w:t>
            </w:r>
          </w:p>
        </w:tc>
      </w:tr>
      <w:tr w:rsidR="00EF4DD2" w:rsidRPr="00EF4DD2" w14:paraId="32F91007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3916F01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Chemistry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G</w:t>
            </w:r>
          </w:p>
        </w:tc>
        <w:tc>
          <w:tcPr>
            <w:tcW w:w="1146" w:type="dxa"/>
            <w:vAlign w:val="center"/>
          </w:tcPr>
          <w:p w14:paraId="400680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548AB9E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690B03B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669BAA0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CD5A64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57E6C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63E228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8C0AAD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26764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383C3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E8FC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53CE02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1B7004E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3789F0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579C7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BEA522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75E96C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2CA5C3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38410F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K</w:t>
            </w:r>
          </w:p>
        </w:tc>
      </w:tr>
      <w:tr w:rsidR="00EF4DD2" w:rsidRPr="00EF4DD2" w14:paraId="155B04AE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17E8B11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Coagulation</w:t>
            </w:r>
          </w:p>
        </w:tc>
        <w:tc>
          <w:tcPr>
            <w:tcW w:w="1146" w:type="dxa"/>
            <w:vAlign w:val="center"/>
          </w:tcPr>
          <w:p w14:paraId="54DD887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51C8BB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1CD11D1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1D56E78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9FC37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E52C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1F66BE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5966C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6C9DCC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9276F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8F107F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1CC52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768E469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360DD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3BD603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3222FB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18E8AB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246CE15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000D32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F393A7E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5FCF4CA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Alcohol screening</w:t>
            </w:r>
          </w:p>
        </w:tc>
        <w:tc>
          <w:tcPr>
            <w:tcW w:w="1146" w:type="dxa"/>
            <w:vAlign w:val="center"/>
          </w:tcPr>
          <w:p w14:paraId="2EBD323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3CB7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L</w:t>
            </w:r>
          </w:p>
        </w:tc>
        <w:tc>
          <w:tcPr>
            <w:tcW w:w="868" w:type="dxa"/>
            <w:vAlign w:val="center"/>
          </w:tcPr>
          <w:p w14:paraId="534E3C4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7B6C6F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9FB82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C7D47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D2D86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694B1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712C5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DBECE0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F408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BE73C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2100A5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0E81E7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3E5E6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5BDB9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A74D9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7FCC80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636C5D0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288A9F35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185DE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Urine drug screening</w:t>
            </w:r>
          </w:p>
        </w:tc>
        <w:tc>
          <w:tcPr>
            <w:tcW w:w="1146" w:type="dxa"/>
            <w:vAlign w:val="center"/>
          </w:tcPr>
          <w:p w14:paraId="67A3556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00F7C3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6D1C841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7A0394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66BE5A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455F6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E568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DE10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13D64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B4309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5E0E93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05FE9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7A8FA8C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449C8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D9D13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DF41A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8B04D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E97C5C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7F8B92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07A063B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90A6FA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Infectious diseases 9 items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H</w:t>
            </w:r>
          </w:p>
        </w:tc>
        <w:tc>
          <w:tcPr>
            <w:tcW w:w="1146" w:type="dxa"/>
            <w:vAlign w:val="center"/>
          </w:tcPr>
          <w:p w14:paraId="506AF4E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3241E6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5258FB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2D0868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69D053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0DDA9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2CAFE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95EF9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315AD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1A932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2F72E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FACE3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668DAD3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43B5A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404C3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5DB11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0471D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337EF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23F31B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28C9416F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244DD05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Pregnancy test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I</w:t>
            </w:r>
          </w:p>
        </w:tc>
        <w:tc>
          <w:tcPr>
            <w:tcW w:w="1146" w:type="dxa"/>
            <w:vAlign w:val="center"/>
          </w:tcPr>
          <w:p w14:paraId="583F4BD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F4D38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080EF9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0D75566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9810E6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713575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C0AAC7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0869D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75BF7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E2920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AC9F45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0AF351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6C94E03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66A79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DC5A2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E9EDF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65BAB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05C1990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6F18E2F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5EDB1467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4BE008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Inclusion/exclusion criteria</w:t>
            </w:r>
          </w:p>
        </w:tc>
        <w:tc>
          <w:tcPr>
            <w:tcW w:w="1146" w:type="dxa"/>
            <w:vAlign w:val="center"/>
          </w:tcPr>
          <w:p w14:paraId="6CAE4EE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615A9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380E5C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19EF2D4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7A8D7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36434D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64C0C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E8E0F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AF766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023DA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A8400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5161D4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2C6F19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D3C6BA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1FA3A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7A655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32419E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6B02C16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63C3853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BC66E30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15AAA9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Hospitalization</w:t>
            </w:r>
          </w:p>
        </w:tc>
        <w:tc>
          <w:tcPr>
            <w:tcW w:w="1146" w:type="dxa"/>
            <w:vAlign w:val="center"/>
          </w:tcPr>
          <w:p w14:paraId="4F411D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010C8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6ED6EB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4607B72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10AC67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56C6E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D97D8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1B14B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9B9CF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848584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A6E49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410DF1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264B24A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C94C4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6480B3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868E4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0F3AE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02548B7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00760C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6BB325A6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167DFCB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Randomization</w:t>
            </w:r>
          </w:p>
        </w:tc>
        <w:tc>
          <w:tcPr>
            <w:tcW w:w="1722" w:type="dxa"/>
            <w:gridSpan w:val="2"/>
            <w:vAlign w:val="center"/>
          </w:tcPr>
          <w:p w14:paraId="7A5440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J</w:t>
            </w:r>
          </w:p>
        </w:tc>
        <w:tc>
          <w:tcPr>
            <w:tcW w:w="868" w:type="dxa"/>
            <w:vAlign w:val="center"/>
          </w:tcPr>
          <w:p w14:paraId="0D4A007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6B015B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222D8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0387C5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205E9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7E41D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55EA3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AA178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F986D0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59AF3D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348A55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9EEBA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671EEF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E942A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AE36F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6C7E79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4AFD1F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FDE2C84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0CF89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Study drug administration</w:t>
            </w:r>
          </w:p>
        </w:tc>
        <w:tc>
          <w:tcPr>
            <w:tcW w:w="1146" w:type="dxa"/>
            <w:vAlign w:val="center"/>
          </w:tcPr>
          <w:p w14:paraId="14EB7B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8FC295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6CCB278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48B84AF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120FFB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9FEA7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959D2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5FD370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E3496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2883F1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FE8E1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42828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63A8D22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E9445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94B10F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FD721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B1B24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2B5108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5EAD77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B635585" w14:textId="77777777" w:rsidTr="00EF4DD2">
        <w:trPr>
          <w:gridAfter w:val="1"/>
          <w:wAfter w:w="6" w:type="dxa"/>
          <w:trHeight w:val="254"/>
        </w:trPr>
        <w:tc>
          <w:tcPr>
            <w:tcW w:w="2735" w:type="dxa"/>
            <w:vAlign w:val="center"/>
          </w:tcPr>
          <w:p w14:paraId="495E9BF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Adverse event </w:t>
            </w:r>
          </w:p>
        </w:tc>
        <w:tc>
          <w:tcPr>
            <w:tcW w:w="1146" w:type="dxa"/>
            <w:vAlign w:val="center"/>
          </w:tcPr>
          <w:p w14:paraId="4D9349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67862E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8" w:type="dxa"/>
            <w:vAlign w:val="center"/>
          </w:tcPr>
          <w:p w14:paraId="737663B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26" w:type="dxa"/>
            <w:vAlign w:val="center"/>
          </w:tcPr>
          <w:p w14:paraId="1FDB9D9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4738D8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ACD3D3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5EB2F7C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2D90E3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C0374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B9E08C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8C2737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6D3405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9" w:type="dxa"/>
            <w:vAlign w:val="center"/>
          </w:tcPr>
          <w:p w14:paraId="215738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A2C93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B1073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13411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5A20C7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20" w:type="dxa"/>
            <w:vAlign w:val="center"/>
          </w:tcPr>
          <w:p w14:paraId="04C431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9" w:type="dxa"/>
            <w:vAlign w:val="center"/>
          </w:tcPr>
          <w:p w14:paraId="75AAFA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2F1BF008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6CD4B63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Biosample</w:t>
            </w:r>
            <w:proofErr w:type="spellEnd"/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collection</w:t>
            </w:r>
          </w:p>
        </w:tc>
        <w:tc>
          <w:tcPr>
            <w:tcW w:w="1146" w:type="dxa"/>
            <w:vAlign w:val="center"/>
          </w:tcPr>
          <w:p w14:paraId="375E5EB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A63DE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24524CA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26" w:type="dxa"/>
            <w:vAlign w:val="center"/>
          </w:tcPr>
          <w:p w14:paraId="0453E2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12768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FEAA80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83CEE4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48F17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008767A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5A0F7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6B3423B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4A4C150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9" w:type="dxa"/>
            <w:vAlign w:val="center"/>
          </w:tcPr>
          <w:p w14:paraId="63CF81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2AAF161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9EFC32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1E1DA11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76" w:type="dxa"/>
            <w:vAlign w:val="center"/>
          </w:tcPr>
          <w:p w14:paraId="71BA53A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20" w:type="dxa"/>
            <w:vAlign w:val="center"/>
          </w:tcPr>
          <w:p w14:paraId="142865D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69" w:type="dxa"/>
            <w:vAlign w:val="center"/>
          </w:tcPr>
          <w:p w14:paraId="6CD7D53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43C876F7" w14:textId="77777777" w:rsidTr="00EF4DD2">
        <w:trPr>
          <w:gridAfter w:val="1"/>
          <w:wAfter w:w="6" w:type="dxa"/>
          <w:trHeight w:val="242"/>
        </w:trPr>
        <w:tc>
          <w:tcPr>
            <w:tcW w:w="2735" w:type="dxa"/>
            <w:vAlign w:val="center"/>
          </w:tcPr>
          <w:p w14:paraId="5DD4345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Discharge </w:t>
            </w:r>
          </w:p>
        </w:tc>
        <w:tc>
          <w:tcPr>
            <w:tcW w:w="1146" w:type="dxa"/>
            <w:vAlign w:val="center"/>
          </w:tcPr>
          <w:p w14:paraId="30E94B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0103EE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8" w:type="dxa"/>
            <w:vAlign w:val="center"/>
          </w:tcPr>
          <w:p w14:paraId="0ED18C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180C86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3893B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32C851C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9F4F0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54CAAE5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E8E13D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B9D1F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45D0B1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228F6D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9" w:type="dxa"/>
            <w:vAlign w:val="center"/>
          </w:tcPr>
          <w:p w14:paraId="28926F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14CC29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75E80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7F7103F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76" w:type="dxa"/>
            <w:vAlign w:val="center"/>
          </w:tcPr>
          <w:p w14:paraId="2DB3555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53DD75E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69" w:type="dxa"/>
            <w:vAlign w:val="center"/>
          </w:tcPr>
          <w:p w14:paraId="7201A29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</w:tbl>
    <w:p w14:paraId="1D5C9912" w14:textId="77777777" w:rsidR="00EF4DD2" w:rsidRDefault="00EF4DD2" w:rsidP="00EF4DD2">
      <w:pPr>
        <w:spacing w:line="360" w:lineRule="auto"/>
        <w:ind w:left="360"/>
        <w:contextualSpacing/>
        <w:rPr>
          <w:rFonts w:ascii="Times New Roman" w:eastAsia="DengXian" w:hAnsi="Times New Roman" w:cs="Times New Roman"/>
          <w:sz w:val="20"/>
          <w:szCs w:val="20"/>
        </w:rPr>
      </w:pPr>
    </w:p>
    <w:p w14:paraId="0848C8A7" w14:textId="0B92E4B5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lastRenderedPageBreak/>
        <w:t xml:space="preserve">If the test is performed within 7 days before the first dose, the corresponding tests on Day -1 can be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waived;</w:t>
      </w:r>
      <w:proofErr w:type="gramEnd"/>
    </w:p>
    <w:p w14:paraId="6B466477" w14:textId="28086C69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If the subject terminated </w:t>
      </w:r>
      <w:r w:rsidR="00126180">
        <w:rPr>
          <w:rFonts w:ascii="Times New Roman" w:eastAsia="DengXian" w:hAnsi="Times New Roman" w:cs="Times New Roman" w:hint="eastAsia"/>
          <w:sz w:val="20"/>
          <w:szCs w:val="20"/>
        </w:rPr>
        <w:t>early</w:t>
      </w:r>
      <w:r w:rsidRPr="00EF4DD2">
        <w:rPr>
          <w:rFonts w:ascii="Times New Roman" w:eastAsia="DengXian" w:hAnsi="Times New Roman" w:cs="Times New Roman"/>
          <w:sz w:val="20"/>
          <w:szCs w:val="20"/>
        </w:rPr>
        <w:t>, an exit-study assessment is required (refer to the test items 72 hours after taking the drug, excluding the collection of biological samples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);</w:t>
      </w:r>
      <w:proofErr w:type="gramEnd"/>
    </w:p>
    <w:p w14:paraId="0689131C" w14:textId="770C3548" w:rsidR="00EF4DD2" w:rsidRPr="00EF4DD2" w:rsidRDefault="00126180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Enquire</w:t>
      </w:r>
      <w:r w:rsidR="00EF4DD2" w:rsidRPr="00EF4DD2">
        <w:rPr>
          <w:rFonts w:ascii="Times New Roman" w:eastAsia="DengXian" w:hAnsi="Times New Roman" w:cs="Times New Roman"/>
          <w:sz w:val="20"/>
          <w:szCs w:val="20"/>
        </w:rPr>
        <w:t xml:space="preserve"> during the screening visit and record the subject's medication within 28 days before screening in the original medical </w:t>
      </w:r>
      <w:proofErr w:type="gramStart"/>
      <w:r w:rsidR="00EF4DD2" w:rsidRPr="00EF4DD2">
        <w:rPr>
          <w:rFonts w:ascii="Times New Roman" w:eastAsia="DengXian" w:hAnsi="Times New Roman" w:cs="Times New Roman"/>
          <w:sz w:val="20"/>
          <w:szCs w:val="20"/>
        </w:rPr>
        <w:t>records;</w:t>
      </w:r>
      <w:proofErr w:type="gramEnd"/>
    </w:p>
    <w:p w14:paraId="53AEBF9C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Measure sitting vital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signs;</w:t>
      </w:r>
      <w:proofErr w:type="gramEnd"/>
    </w:p>
    <w:p w14:paraId="71F9A47A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results of the </w:t>
      </w:r>
      <w:proofErr w:type="spellStart"/>
      <w:r w:rsidRPr="00EF4DD2">
        <w:rPr>
          <w:rFonts w:ascii="Times New Roman" w:eastAsia="DengXian" w:hAnsi="Times New Roman" w:cs="Times New Roman"/>
          <w:sz w:val="20"/>
          <w:szCs w:val="20"/>
        </w:rPr>
        <w:t>center's</w:t>
      </w:r>
      <w:proofErr w:type="spellEnd"/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 chest X-ray (frontal view) within 3 months before the first dose are acceptable; the chest X-ray can be completed during the screening period or 1 day before the first cycle of study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medication;</w:t>
      </w:r>
      <w:proofErr w:type="gramEnd"/>
    </w:p>
    <w:p w14:paraId="1127D03D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abdominal B-ultrasound examination sites are the liver, gallbladder, pancreas, spleen and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kidneys;</w:t>
      </w:r>
      <w:proofErr w:type="gramEnd"/>
    </w:p>
    <w:p w14:paraId="3F6C67A3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Fasting for at least 10 hours overnight before blood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collections;</w:t>
      </w:r>
      <w:proofErr w:type="gramEnd"/>
    </w:p>
    <w:p w14:paraId="3CD0A9E3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>Transmission 9-items: including hepatitis B surface antigen (HBsAg), hepatitis C virus antibody (HCV), syphilis, human immunodeficiency virus antibody (HIV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)</w:t>
      </w:r>
      <w:r w:rsidRPr="00EF4DD2">
        <w:rPr>
          <w:rFonts w:ascii="Times New Roman" w:eastAsia="DengXian" w:hAnsi="Times New Roman" w:cs="Times New Roman"/>
          <w:sz w:val="20"/>
          <w:szCs w:val="20"/>
        </w:rPr>
        <w:t>；</w:t>
      </w:r>
      <w:proofErr w:type="gramEnd"/>
    </w:p>
    <w:p w14:paraId="2C1242DB" w14:textId="04690C8D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female subject must complete a urine pregnancy test during the screening and at the completion of period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2;</w:t>
      </w:r>
      <w:proofErr w:type="gramEnd"/>
    </w:p>
    <w:p w14:paraId="539B99C8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Applicable to period 1 pre-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dose;</w:t>
      </w:r>
      <w:proofErr w:type="gramEnd"/>
    </w:p>
    <w:p w14:paraId="13677FC6" w14:textId="77777777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Only perform at Period 2 Day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11;</w:t>
      </w:r>
      <w:proofErr w:type="gramEnd"/>
    </w:p>
    <w:p w14:paraId="049D9AE9" w14:textId="63CE1858" w:rsidR="00EF4DD2" w:rsidRPr="00EF4DD2" w:rsidRDefault="00EF4DD2" w:rsidP="00EF4DD2">
      <w:pPr>
        <w:numPr>
          <w:ilvl w:val="0"/>
          <w:numId w:val="1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If the breath alcohol test (can be repeated once if a false positive) was positive, the investigator required the subject to withdraw from the study.</w:t>
      </w:r>
    </w:p>
    <w:p w14:paraId="4D2D9D06" w14:textId="77777777" w:rsidR="00EF4DD2" w:rsidRDefault="00EF4DD2"/>
    <w:p w14:paraId="623CF6E0" w14:textId="77777777" w:rsidR="00EF4DD2" w:rsidRDefault="00EF4DD2"/>
    <w:p w14:paraId="3072D6DA" w14:textId="77777777" w:rsidR="00EF4DD2" w:rsidRDefault="00EF4DD2"/>
    <w:p w14:paraId="389A40A6" w14:textId="77777777" w:rsidR="00EF4DD2" w:rsidRDefault="00EF4DD2"/>
    <w:p w14:paraId="2340B4CE" w14:textId="77777777" w:rsidR="00EF4DD2" w:rsidRDefault="00EF4DD2"/>
    <w:p w14:paraId="34663D67" w14:textId="77777777" w:rsidR="00EF4DD2" w:rsidRDefault="00EF4DD2"/>
    <w:p w14:paraId="066D479E" w14:textId="77777777" w:rsidR="00EF4DD2" w:rsidRDefault="00EF4DD2"/>
    <w:p w14:paraId="11E82A83" w14:textId="77777777" w:rsidR="00EF4DD2" w:rsidRDefault="00EF4DD2"/>
    <w:p w14:paraId="113B1BE2" w14:textId="77777777" w:rsidR="00EF4DD2" w:rsidRDefault="00EF4DD2"/>
    <w:p w14:paraId="26A44BD3" w14:textId="7CD473CD" w:rsidR="00EF4DD2" w:rsidRPr="00126180" w:rsidRDefault="00126180">
      <w:pPr>
        <w:rPr>
          <w:rFonts w:ascii="Times New Roman" w:hAnsi="Times New Roman" w:cs="Times New Roman"/>
        </w:rPr>
      </w:pPr>
      <w:r w:rsidRPr="00EF4DD2">
        <w:rPr>
          <w:rFonts w:ascii="Times New Roman" w:hAnsi="Times New Roman" w:cs="Times New Roman"/>
          <w:b/>
          <w:bCs/>
        </w:rPr>
        <w:lastRenderedPageBreak/>
        <w:t>Supplementary FLOWCHART 1</w:t>
      </w:r>
      <w:r>
        <w:rPr>
          <w:rFonts w:ascii="Times New Roman" w:hAnsi="Times New Roman" w:cs="Times New Roman" w:hint="eastAsia"/>
          <w:b/>
          <w:bCs/>
        </w:rPr>
        <w:t>B</w:t>
      </w:r>
      <w:r w:rsidRPr="00EF4DD2">
        <w:rPr>
          <w:rFonts w:ascii="Times New Roman" w:hAnsi="Times New Roman" w:cs="Times New Roman"/>
        </w:rPr>
        <w:t xml:space="preserve"> Study Procedures – </w:t>
      </w:r>
      <w:r>
        <w:rPr>
          <w:rFonts w:ascii="Times New Roman" w:hAnsi="Times New Roman" w:cs="Times New Roman" w:hint="eastAsia"/>
        </w:rPr>
        <w:t>Fed</w:t>
      </w:r>
      <w:r w:rsidRPr="00EF4DD2">
        <w:rPr>
          <w:rFonts w:ascii="Times New Roman" w:hAnsi="Times New Roman" w:cs="Times New Roman"/>
        </w:rPr>
        <w:t xml:space="preserve"> stud</w:t>
      </w:r>
      <w:r>
        <w:rPr>
          <w:rFonts w:ascii="Times New Roman" w:hAnsi="Times New Roman" w:cs="Times New Roman" w:hint="eastAsia"/>
        </w:rPr>
        <w:t>y</w:t>
      </w:r>
    </w:p>
    <w:tbl>
      <w:tblPr>
        <w:tblW w:w="152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6"/>
        <w:gridCol w:w="1176"/>
        <w:gridCol w:w="591"/>
        <w:gridCol w:w="891"/>
        <w:gridCol w:w="437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8"/>
        <w:gridCol w:w="582"/>
        <w:gridCol w:w="590"/>
        <w:gridCol w:w="590"/>
        <w:gridCol w:w="10"/>
        <w:gridCol w:w="580"/>
        <w:gridCol w:w="738"/>
        <w:gridCol w:w="11"/>
        <w:gridCol w:w="881"/>
        <w:gridCol w:w="14"/>
      </w:tblGrid>
      <w:tr w:rsidR="00EF4DD2" w:rsidRPr="00EF4DD2" w14:paraId="539DBC4C" w14:textId="77777777" w:rsidTr="00EF4DD2">
        <w:trPr>
          <w:trHeight w:val="241"/>
          <w:tblHeader/>
        </w:trPr>
        <w:tc>
          <w:tcPr>
            <w:tcW w:w="2807" w:type="dxa"/>
            <w:tcBorders>
              <w:top w:val="single" w:sz="4" w:space="0" w:color="auto"/>
            </w:tcBorders>
            <w:vAlign w:val="center"/>
          </w:tcPr>
          <w:p w14:paraId="5469865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Stage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6F5499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Screening</w:t>
            </w:r>
          </w:p>
        </w:tc>
        <w:tc>
          <w:tcPr>
            <w:tcW w:w="11232" w:type="dxa"/>
            <w:gridSpan w:val="22"/>
            <w:tcBorders>
              <w:top w:val="single" w:sz="4" w:space="0" w:color="auto"/>
            </w:tcBorders>
            <w:vAlign w:val="center"/>
          </w:tcPr>
          <w:p w14:paraId="1B8B8C9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Period I-II</w:t>
            </w:r>
          </w:p>
        </w:tc>
      </w:tr>
      <w:tr w:rsidR="00EF4DD2" w:rsidRPr="00EF4DD2" w14:paraId="031A901A" w14:textId="77777777" w:rsidTr="00EF4DD2">
        <w:trPr>
          <w:trHeight w:val="241"/>
          <w:tblHeader/>
        </w:trPr>
        <w:tc>
          <w:tcPr>
            <w:tcW w:w="2807" w:type="dxa"/>
            <w:vAlign w:val="center"/>
          </w:tcPr>
          <w:p w14:paraId="654D8C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Day</w:t>
            </w:r>
          </w:p>
        </w:tc>
        <w:tc>
          <w:tcPr>
            <w:tcW w:w="1176" w:type="dxa"/>
            <w:vMerge w:val="restart"/>
            <w:vAlign w:val="center"/>
          </w:tcPr>
          <w:p w14:paraId="6B25EC5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Day-15~-1</w:t>
            </w:r>
          </w:p>
        </w:tc>
        <w:tc>
          <w:tcPr>
            <w:tcW w:w="590" w:type="dxa"/>
            <w:vMerge w:val="restart"/>
            <w:vAlign w:val="center"/>
          </w:tcPr>
          <w:p w14:paraId="28E9D00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D-1</w:t>
            </w: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br/>
              <w:t>D7</w:t>
            </w:r>
          </w:p>
        </w:tc>
        <w:tc>
          <w:tcPr>
            <w:tcW w:w="6646" w:type="dxa"/>
            <w:gridSpan w:val="12"/>
            <w:vAlign w:val="center"/>
          </w:tcPr>
          <w:p w14:paraId="2CDE7C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D1, D8</w:t>
            </w:r>
          </w:p>
        </w:tc>
        <w:tc>
          <w:tcPr>
            <w:tcW w:w="1772" w:type="dxa"/>
            <w:gridSpan w:val="4"/>
            <w:vAlign w:val="center"/>
          </w:tcPr>
          <w:p w14:paraId="6E5654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D2, D9</w:t>
            </w:r>
          </w:p>
        </w:tc>
        <w:tc>
          <w:tcPr>
            <w:tcW w:w="1329" w:type="dxa"/>
            <w:gridSpan w:val="3"/>
            <w:vAlign w:val="center"/>
          </w:tcPr>
          <w:p w14:paraId="0104F1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D3, D10</w:t>
            </w:r>
          </w:p>
        </w:tc>
        <w:tc>
          <w:tcPr>
            <w:tcW w:w="892" w:type="dxa"/>
            <w:gridSpan w:val="2"/>
            <w:vAlign w:val="center"/>
          </w:tcPr>
          <w:p w14:paraId="35A12BD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D4, D11</w:t>
            </w:r>
          </w:p>
        </w:tc>
      </w:tr>
      <w:tr w:rsidR="00EF4DD2" w:rsidRPr="00EF4DD2" w14:paraId="53D3902B" w14:textId="77777777" w:rsidTr="00EF4DD2">
        <w:trPr>
          <w:gridAfter w:val="1"/>
          <w:wAfter w:w="14" w:type="dxa"/>
          <w:trHeight w:val="241"/>
          <w:tblHeader/>
        </w:trPr>
        <w:tc>
          <w:tcPr>
            <w:tcW w:w="2807" w:type="dxa"/>
            <w:vAlign w:val="center"/>
          </w:tcPr>
          <w:p w14:paraId="2D16E39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hour</w:t>
            </w:r>
          </w:p>
        </w:tc>
        <w:tc>
          <w:tcPr>
            <w:tcW w:w="1176" w:type="dxa"/>
            <w:vMerge/>
            <w:vAlign w:val="center"/>
          </w:tcPr>
          <w:p w14:paraId="6226609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Merge/>
            <w:vAlign w:val="center"/>
          </w:tcPr>
          <w:p w14:paraId="755462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416462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Pre-dose</w:t>
            </w:r>
          </w:p>
        </w:tc>
        <w:tc>
          <w:tcPr>
            <w:tcW w:w="437" w:type="dxa"/>
            <w:vAlign w:val="center"/>
          </w:tcPr>
          <w:p w14:paraId="4314AC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590" w:type="dxa"/>
            <w:vAlign w:val="center"/>
          </w:tcPr>
          <w:p w14:paraId="0B2E876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0.5 h</w:t>
            </w:r>
          </w:p>
        </w:tc>
        <w:tc>
          <w:tcPr>
            <w:tcW w:w="590" w:type="dxa"/>
            <w:vAlign w:val="center"/>
          </w:tcPr>
          <w:p w14:paraId="130C82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 h</w:t>
            </w:r>
          </w:p>
        </w:tc>
        <w:tc>
          <w:tcPr>
            <w:tcW w:w="590" w:type="dxa"/>
            <w:vAlign w:val="center"/>
          </w:tcPr>
          <w:p w14:paraId="61FB638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2 h</w:t>
            </w:r>
          </w:p>
        </w:tc>
        <w:tc>
          <w:tcPr>
            <w:tcW w:w="590" w:type="dxa"/>
            <w:vAlign w:val="center"/>
          </w:tcPr>
          <w:p w14:paraId="0425149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4 h</w:t>
            </w:r>
          </w:p>
        </w:tc>
        <w:tc>
          <w:tcPr>
            <w:tcW w:w="590" w:type="dxa"/>
            <w:vAlign w:val="center"/>
          </w:tcPr>
          <w:p w14:paraId="1D94D9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6 h</w:t>
            </w:r>
          </w:p>
        </w:tc>
        <w:tc>
          <w:tcPr>
            <w:tcW w:w="590" w:type="dxa"/>
            <w:vAlign w:val="center"/>
          </w:tcPr>
          <w:p w14:paraId="726ABC2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8 h</w:t>
            </w:r>
          </w:p>
        </w:tc>
        <w:tc>
          <w:tcPr>
            <w:tcW w:w="590" w:type="dxa"/>
            <w:vAlign w:val="center"/>
          </w:tcPr>
          <w:p w14:paraId="03C029E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10 h</w:t>
            </w:r>
          </w:p>
        </w:tc>
        <w:tc>
          <w:tcPr>
            <w:tcW w:w="590" w:type="dxa"/>
            <w:vAlign w:val="center"/>
          </w:tcPr>
          <w:p w14:paraId="7E13B28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12 h</w:t>
            </w:r>
          </w:p>
        </w:tc>
        <w:tc>
          <w:tcPr>
            <w:tcW w:w="590" w:type="dxa"/>
            <w:vAlign w:val="center"/>
          </w:tcPr>
          <w:p w14:paraId="54B475F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14 h</w:t>
            </w:r>
          </w:p>
        </w:tc>
        <w:tc>
          <w:tcPr>
            <w:tcW w:w="590" w:type="dxa"/>
            <w:gridSpan w:val="2"/>
            <w:vAlign w:val="center"/>
          </w:tcPr>
          <w:p w14:paraId="2A1ED3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24 h</w:t>
            </w:r>
          </w:p>
        </w:tc>
        <w:tc>
          <w:tcPr>
            <w:tcW w:w="590" w:type="dxa"/>
            <w:vAlign w:val="center"/>
          </w:tcPr>
          <w:p w14:paraId="7BAE8E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30 h</w:t>
            </w:r>
          </w:p>
        </w:tc>
        <w:tc>
          <w:tcPr>
            <w:tcW w:w="590" w:type="dxa"/>
            <w:vAlign w:val="center"/>
          </w:tcPr>
          <w:p w14:paraId="729B848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36 h</w:t>
            </w:r>
          </w:p>
        </w:tc>
        <w:tc>
          <w:tcPr>
            <w:tcW w:w="590" w:type="dxa"/>
            <w:gridSpan w:val="2"/>
            <w:vAlign w:val="center"/>
          </w:tcPr>
          <w:p w14:paraId="533721A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48 h</w:t>
            </w:r>
          </w:p>
        </w:tc>
        <w:tc>
          <w:tcPr>
            <w:tcW w:w="738" w:type="dxa"/>
            <w:vAlign w:val="center"/>
          </w:tcPr>
          <w:p w14:paraId="0512E6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60 h</w:t>
            </w:r>
          </w:p>
        </w:tc>
        <w:tc>
          <w:tcPr>
            <w:tcW w:w="892" w:type="dxa"/>
            <w:gridSpan w:val="2"/>
            <w:vAlign w:val="center"/>
          </w:tcPr>
          <w:p w14:paraId="4132C5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72 </w:t>
            </w:r>
            <w:proofErr w:type="spellStart"/>
            <w:r w:rsidRPr="00EF4DD2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h</w:t>
            </w:r>
            <w:r w:rsidRPr="00EF4DD2">
              <w:rPr>
                <w:rFonts w:ascii="Times New Roman" w:eastAsia="SimSun" w:hAnsi="Times New Roman" w:cs="Times New Roman"/>
                <w:b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B</w:t>
            </w:r>
            <w:proofErr w:type="spellEnd"/>
          </w:p>
        </w:tc>
      </w:tr>
      <w:tr w:rsidR="00EF4DD2" w:rsidRPr="00EF4DD2" w14:paraId="04BD1F29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764E98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Informed consent</w:t>
            </w:r>
          </w:p>
        </w:tc>
        <w:tc>
          <w:tcPr>
            <w:tcW w:w="1176" w:type="dxa"/>
            <w:vAlign w:val="center"/>
          </w:tcPr>
          <w:p w14:paraId="404474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D2F6C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3F67BD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09D4FD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B052DE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0BF286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7E9CD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453A34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7AB6C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7318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89138E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64013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3401B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D75AC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66C7D8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B1839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B700E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74DDA8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7699C8E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6B40A388" w14:textId="77777777" w:rsidTr="00EF4DD2">
        <w:trPr>
          <w:gridAfter w:val="1"/>
          <w:wAfter w:w="14" w:type="dxa"/>
          <w:trHeight w:val="251"/>
        </w:trPr>
        <w:tc>
          <w:tcPr>
            <w:tcW w:w="2807" w:type="dxa"/>
            <w:vAlign w:val="center"/>
          </w:tcPr>
          <w:p w14:paraId="666128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Demographics</w:t>
            </w:r>
          </w:p>
        </w:tc>
        <w:tc>
          <w:tcPr>
            <w:tcW w:w="1176" w:type="dxa"/>
            <w:vAlign w:val="center"/>
          </w:tcPr>
          <w:p w14:paraId="385246F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77852A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6E07DF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3F0F93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3A303F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FDADEF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AA855D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6F2D89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D6C533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FC0C1C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0D647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78D8E3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C96A34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3A02FB4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F6F22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593C8B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118795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1988EA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4924A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5F21448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29CE77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Medical history and drug use</w:t>
            </w:r>
          </w:p>
        </w:tc>
        <w:tc>
          <w:tcPr>
            <w:tcW w:w="1176" w:type="dxa"/>
            <w:vAlign w:val="center"/>
          </w:tcPr>
          <w:p w14:paraId="70CAE3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3289978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638806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747E21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5CB20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C9D2E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501E63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4E9B2B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479A4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9B0ED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3A56B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C1CE09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AE1A4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D69F4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4CEC4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B51A2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5DC5E0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321150E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D594D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7125197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7300E7B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Smoking, drinking</w:t>
            </w:r>
          </w:p>
        </w:tc>
        <w:tc>
          <w:tcPr>
            <w:tcW w:w="1176" w:type="dxa"/>
            <w:vAlign w:val="center"/>
          </w:tcPr>
          <w:p w14:paraId="04C573D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25F94FA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68727A8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0AD2C53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2E394D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FD28E4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BA8B87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2B8BD1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439EBE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D1ABAC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57C4C4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C87B7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D9A9CE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1F8238B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1C776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C2AAB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C05372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7F221D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ACEB5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7F5DF21E" w14:textId="77777777" w:rsidTr="00EF4DD2">
        <w:trPr>
          <w:gridAfter w:val="1"/>
          <w:wAfter w:w="14" w:type="dxa"/>
          <w:trHeight w:val="482"/>
        </w:trPr>
        <w:tc>
          <w:tcPr>
            <w:tcW w:w="2807" w:type="dxa"/>
            <w:vAlign w:val="center"/>
          </w:tcPr>
          <w:p w14:paraId="24D0DC8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Prior/concomitant medication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C</w:t>
            </w:r>
          </w:p>
        </w:tc>
        <w:tc>
          <w:tcPr>
            <w:tcW w:w="1176" w:type="dxa"/>
            <w:vAlign w:val="center"/>
          </w:tcPr>
          <w:p w14:paraId="7BA91C9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90" w:type="dxa"/>
            <w:vAlign w:val="center"/>
          </w:tcPr>
          <w:p w14:paraId="21BB3F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279023D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37" w:type="dxa"/>
            <w:vAlign w:val="center"/>
          </w:tcPr>
          <w:p w14:paraId="5FBCBB0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6603BB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4E0719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173777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5BAEB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2EE923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10D86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3EE99E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235FEAA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31BAC5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65477E6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2C8C1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AA50F8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5951D5B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38" w:type="dxa"/>
            <w:vAlign w:val="center"/>
          </w:tcPr>
          <w:p w14:paraId="33816B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2" w:type="dxa"/>
            <w:gridSpan w:val="2"/>
            <w:vAlign w:val="center"/>
          </w:tcPr>
          <w:p w14:paraId="0702540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5B25C22B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521E72D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Height/weight</w:t>
            </w:r>
          </w:p>
        </w:tc>
        <w:tc>
          <w:tcPr>
            <w:tcW w:w="1176" w:type="dxa"/>
            <w:vAlign w:val="center"/>
          </w:tcPr>
          <w:p w14:paraId="75288B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2F77E9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2656BD5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68AB411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CED2B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1A242C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8E862B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1F2C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4F7DD7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3F6DFF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FBBF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4F371B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A5E0E0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054C5A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D28E5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4F8008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39388C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4967DFA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0FC53C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069C07FA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5296C82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Physical examination</w:t>
            </w:r>
          </w:p>
        </w:tc>
        <w:tc>
          <w:tcPr>
            <w:tcW w:w="1176" w:type="dxa"/>
            <w:vAlign w:val="center"/>
          </w:tcPr>
          <w:p w14:paraId="7D898CE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90" w:type="dxa"/>
            <w:vAlign w:val="center"/>
          </w:tcPr>
          <w:p w14:paraId="20EE989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7C608E4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1F3F273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4CF3D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D81868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D12F2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AF5174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78A508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0417B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B2714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54F16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2092D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AAEDCE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15CB79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CFB44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E7C71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171436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7D74D85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7DE9B470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2AEAC63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Vital sign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D</w:t>
            </w:r>
          </w:p>
        </w:tc>
        <w:tc>
          <w:tcPr>
            <w:tcW w:w="1176" w:type="dxa"/>
            <w:vAlign w:val="center"/>
          </w:tcPr>
          <w:p w14:paraId="0BC3990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590" w:type="dxa"/>
            <w:vAlign w:val="center"/>
          </w:tcPr>
          <w:p w14:paraId="69D37CD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7168F3E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626207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5B8AD4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8DCFF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140932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55A17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C5035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C200B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45A45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625116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71A655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AAF16F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A1109C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AB1D1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2CEF30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184EE29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2556619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7AB9C92D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09BC38C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12-lead ECG</w:t>
            </w:r>
          </w:p>
        </w:tc>
        <w:tc>
          <w:tcPr>
            <w:tcW w:w="1176" w:type="dxa"/>
            <w:vAlign w:val="center"/>
          </w:tcPr>
          <w:p w14:paraId="14DC04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5795A4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22CAE0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C0314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D4630F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8D088E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3201F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25F33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93E3E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402A1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4019E8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D2A6BD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F78F58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E70C3C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71404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601A19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67A23F8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566B238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673F1948" w14:textId="364AC4E0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L</w:t>
            </w:r>
          </w:p>
        </w:tc>
      </w:tr>
      <w:tr w:rsidR="00EF4DD2" w:rsidRPr="00EF4DD2" w14:paraId="1E2EE8E6" w14:textId="77777777" w:rsidTr="00EF4DD2">
        <w:trPr>
          <w:gridAfter w:val="1"/>
          <w:wAfter w:w="13" w:type="dxa"/>
          <w:trHeight w:val="241"/>
        </w:trPr>
        <w:tc>
          <w:tcPr>
            <w:tcW w:w="2807" w:type="dxa"/>
            <w:vAlign w:val="center"/>
          </w:tcPr>
          <w:p w14:paraId="4467C4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Chest x-ray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E</w:t>
            </w:r>
          </w:p>
        </w:tc>
        <w:tc>
          <w:tcPr>
            <w:tcW w:w="1767" w:type="dxa"/>
            <w:gridSpan w:val="2"/>
            <w:vAlign w:val="center"/>
          </w:tcPr>
          <w:p w14:paraId="5BE5689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0AEB7C2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07057B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85A914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584194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7C978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72489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FB45BC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5312D4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AA36DD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AB9918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C11636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622035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8C26D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5F30A2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7DA55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0E18E5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6C29E47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7DAFF310" w14:textId="77777777" w:rsidTr="00EF4DD2">
        <w:trPr>
          <w:gridAfter w:val="1"/>
          <w:wAfter w:w="14" w:type="dxa"/>
          <w:trHeight w:val="251"/>
        </w:trPr>
        <w:tc>
          <w:tcPr>
            <w:tcW w:w="2807" w:type="dxa"/>
            <w:vAlign w:val="center"/>
          </w:tcPr>
          <w:p w14:paraId="08A98B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Abdomen ultrasound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F</w:t>
            </w:r>
          </w:p>
        </w:tc>
        <w:tc>
          <w:tcPr>
            <w:tcW w:w="1176" w:type="dxa"/>
            <w:vAlign w:val="center"/>
          </w:tcPr>
          <w:p w14:paraId="6B5DA12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1FC724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4CB97D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030A41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B718D9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E52BF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77D8EA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6D633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2863E6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31432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8E5571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14A18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293BF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935F10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56BCFB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40D62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0911D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0A29D1A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015D91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74F2C97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620C9B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Hematology</w:t>
            </w:r>
          </w:p>
        </w:tc>
        <w:tc>
          <w:tcPr>
            <w:tcW w:w="1176" w:type="dxa"/>
            <w:vAlign w:val="center"/>
          </w:tcPr>
          <w:p w14:paraId="18B5AE0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CE11A8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32C48A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38F9DE0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4C84FC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3AA0BF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D9AE2A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9F69A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48E4AE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1DCE9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2FB40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BF36E4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4DA28B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05860D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9884E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D34C30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C299A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432A9F8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537589C" w14:textId="6AB53B42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L</w:t>
            </w:r>
          </w:p>
        </w:tc>
      </w:tr>
      <w:tr w:rsidR="00EF4DD2" w:rsidRPr="00EF4DD2" w14:paraId="78CB4DD8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436E87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Urinalysis</w:t>
            </w:r>
          </w:p>
        </w:tc>
        <w:tc>
          <w:tcPr>
            <w:tcW w:w="1176" w:type="dxa"/>
            <w:vAlign w:val="center"/>
          </w:tcPr>
          <w:p w14:paraId="02503F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5B9BD0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038CCA8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4B415DA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5B3932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5205EA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5DC550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0B6F37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5A600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C668A6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4D851A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9C080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91FE6F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7EC286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9D805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F5B2E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8186F8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3C7AE80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2253767" w14:textId="7078F001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L</w:t>
            </w:r>
          </w:p>
        </w:tc>
      </w:tr>
      <w:tr w:rsidR="00EF4DD2" w:rsidRPr="00EF4DD2" w14:paraId="6D5C2E1A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2A76591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Chemistry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G</w:t>
            </w:r>
          </w:p>
        </w:tc>
        <w:tc>
          <w:tcPr>
            <w:tcW w:w="1176" w:type="dxa"/>
            <w:vAlign w:val="center"/>
          </w:tcPr>
          <w:p w14:paraId="1944D0D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00CFA9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0CF619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840B28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50E22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A5C013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6A6F2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DC3EE1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0917B3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831A44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37939A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CA666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6B945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3C9BF4E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60ECC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0D8BB3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5926D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6D74C1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31FFDE6" w14:textId="0792AE61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L</w:t>
            </w:r>
          </w:p>
        </w:tc>
      </w:tr>
      <w:tr w:rsidR="00EF4DD2" w:rsidRPr="00EF4DD2" w14:paraId="2811273B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04619B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Coagulation</w:t>
            </w:r>
          </w:p>
        </w:tc>
        <w:tc>
          <w:tcPr>
            <w:tcW w:w="1176" w:type="dxa"/>
            <w:vAlign w:val="center"/>
          </w:tcPr>
          <w:p w14:paraId="2F9A21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6FAA60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18C1796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15BF4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FB6618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2C7E11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913FF6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F3A2B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5B1E3D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47EF3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55E650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156FE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17C09A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6E8BFD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B95688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DD8245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67F7E0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2B68700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609DFD7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2EEEE6E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351ABEF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Alcohol screening</w:t>
            </w:r>
          </w:p>
        </w:tc>
        <w:tc>
          <w:tcPr>
            <w:tcW w:w="1176" w:type="dxa"/>
            <w:vAlign w:val="center"/>
          </w:tcPr>
          <w:p w14:paraId="5E1D4DA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5397296" w14:textId="25828B1D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M</w:t>
            </w:r>
          </w:p>
        </w:tc>
        <w:tc>
          <w:tcPr>
            <w:tcW w:w="891" w:type="dxa"/>
            <w:vAlign w:val="center"/>
          </w:tcPr>
          <w:p w14:paraId="27EDB9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65F95C9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A6119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A17EE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32CBC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63D61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BD224F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7E1242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334886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16236B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FD97C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58322F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2E1468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75B23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6E7EEDA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166F16D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ECC69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44ABF0A7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633DC9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Urine drug screening</w:t>
            </w:r>
          </w:p>
        </w:tc>
        <w:tc>
          <w:tcPr>
            <w:tcW w:w="1176" w:type="dxa"/>
            <w:vAlign w:val="center"/>
          </w:tcPr>
          <w:p w14:paraId="546A0D0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382811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409FF8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40DEEF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596569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384FA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F8FE48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E3EFA6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11999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E25EA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FA6115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0F489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5585D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BFD0D1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5ECA9E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33E44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6D9B6D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0947034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0454CF9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5F12FFC7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133BFD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Infectious diseases 9 items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H</w:t>
            </w:r>
          </w:p>
        </w:tc>
        <w:tc>
          <w:tcPr>
            <w:tcW w:w="1176" w:type="dxa"/>
            <w:vAlign w:val="center"/>
          </w:tcPr>
          <w:p w14:paraId="7F7DBD7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5DB408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17462B1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79F0F5B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C0F42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836E4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D2B24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B2B4D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7595CB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A465C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866D8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C9E6DC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4E609F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818213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BE28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A35A51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70ACFF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74D875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2F1F4E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7E5DA42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76EB647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Pregnancy test 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I</w:t>
            </w:r>
          </w:p>
        </w:tc>
        <w:tc>
          <w:tcPr>
            <w:tcW w:w="1176" w:type="dxa"/>
            <w:vAlign w:val="center"/>
          </w:tcPr>
          <w:p w14:paraId="3F7AD82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6C3AB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7B9680E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7DCC58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B91FC1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A8105D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2C9591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16B1D8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559501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E615C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81C3C2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E3B6AD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87FBF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7DA17E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4D4D91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498C9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1472647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03859F2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8372D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2896F5E8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07F2F1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Inclusion/exclusion criteria</w:t>
            </w:r>
          </w:p>
        </w:tc>
        <w:tc>
          <w:tcPr>
            <w:tcW w:w="1176" w:type="dxa"/>
            <w:vAlign w:val="center"/>
          </w:tcPr>
          <w:p w14:paraId="0E20740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E0F6AC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008076B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5B5802B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A6CAF9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9A523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950A73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62C2C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7A46E4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A26B62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A26469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96EDB9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CEABC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46047D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CB0E3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913165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1C4CAD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44A3DD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5D873F5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041881A" w14:textId="77777777" w:rsidTr="00EF4DD2">
        <w:trPr>
          <w:gridAfter w:val="1"/>
          <w:wAfter w:w="14" w:type="dxa"/>
          <w:trHeight w:val="251"/>
        </w:trPr>
        <w:tc>
          <w:tcPr>
            <w:tcW w:w="2807" w:type="dxa"/>
            <w:vAlign w:val="center"/>
          </w:tcPr>
          <w:p w14:paraId="4264895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Hospitalization</w:t>
            </w:r>
          </w:p>
        </w:tc>
        <w:tc>
          <w:tcPr>
            <w:tcW w:w="1176" w:type="dxa"/>
            <w:vAlign w:val="center"/>
          </w:tcPr>
          <w:p w14:paraId="25F4BF9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966010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1942643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230ADFA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331FA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F7455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CFA3B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6C8877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602D44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5956F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0D98F1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554337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A470D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2D388D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8359C5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BBB6F3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0A6D1B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5AC77A6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31AF61A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76CC46DA" w14:textId="77777777" w:rsidTr="00EF4DD2">
        <w:trPr>
          <w:gridAfter w:val="1"/>
          <w:wAfter w:w="13" w:type="dxa"/>
          <w:trHeight w:val="241"/>
        </w:trPr>
        <w:tc>
          <w:tcPr>
            <w:tcW w:w="2807" w:type="dxa"/>
            <w:vAlign w:val="center"/>
          </w:tcPr>
          <w:p w14:paraId="5D0F17C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Randomization</w:t>
            </w:r>
          </w:p>
        </w:tc>
        <w:tc>
          <w:tcPr>
            <w:tcW w:w="1767" w:type="dxa"/>
            <w:gridSpan w:val="2"/>
            <w:vAlign w:val="center"/>
          </w:tcPr>
          <w:p w14:paraId="270FE7F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  <w:r w:rsidRPr="00EF4DD2">
              <w:rPr>
                <w:rFonts w:ascii="Times New Roman" w:eastAsia="SimSun" w:hAnsi="Times New Roman" w:cs="Times New Roman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J</w:t>
            </w:r>
          </w:p>
        </w:tc>
        <w:tc>
          <w:tcPr>
            <w:tcW w:w="891" w:type="dxa"/>
            <w:vAlign w:val="center"/>
          </w:tcPr>
          <w:p w14:paraId="2842AAD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20A02E0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C139A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72AD5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15ECE6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D211A5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9FB41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70084E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9F7BA8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FBADB3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E791D4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37652B7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F4286F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640BE2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CCB7A6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152420C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260A5E3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575FAF50" w14:textId="77777777" w:rsidTr="00EF4DD2">
        <w:trPr>
          <w:gridAfter w:val="1"/>
          <w:wAfter w:w="13" w:type="dxa"/>
          <w:trHeight w:val="241"/>
        </w:trPr>
        <w:tc>
          <w:tcPr>
            <w:tcW w:w="2807" w:type="dxa"/>
            <w:vAlign w:val="center"/>
          </w:tcPr>
          <w:p w14:paraId="15C71D39" w14:textId="0FB30944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val="en-US"/>
                <w14:ligatures w14:val="none"/>
              </w:rPr>
              <w:t xml:space="preserve">High calorie/fat diet </w:t>
            </w:r>
            <w:r>
              <w:rPr>
                <w:rFonts w:ascii="Times New Roman" w:eastAsia="SimSun" w:hAnsi="Times New Roman" w:cs="Times New Roman" w:hint="eastAsia"/>
                <w:color w:val="FF0000"/>
                <w:kern w:val="0"/>
                <w:sz w:val="22"/>
                <w:szCs w:val="22"/>
                <w:vertAlign w:val="superscript"/>
                <w:lang w:val="en-US"/>
                <w14:ligatures w14:val="none"/>
              </w:rPr>
              <w:t>K</w:t>
            </w:r>
          </w:p>
        </w:tc>
        <w:tc>
          <w:tcPr>
            <w:tcW w:w="1767" w:type="dxa"/>
            <w:gridSpan w:val="2"/>
            <w:vAlign w:val="center"/>
          </w:tcPr>
          <w:p w14:paraId="12B8C9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560EA42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37" w:type="dxa"/>
            <w:vAlign w:val="center"/>
          </w:tcPr>
          <w:p w14:paraId="0ABB38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B7B9D3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04A636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0D430E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764B02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CC6EF1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6CFD35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5DEADBE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04564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F6F0F0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2A057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C4CD96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B3C277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3DC205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576264B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74BED0D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6C85FBF5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0CD561D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Study drug administration</w:t>
            </w:r>
          </w:p>
        </w:tc>
        <w:tc>
          <w:tcPr>
            <w:tcW w:w="1176" w:type="dxa"/>
            <w:vAlign w:val="center"/>
          </w:tcPr>
          <w:p w14:paraId="7116228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938920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0A47EF4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04B3B96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7DDBB3B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08AB93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4F05A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3C54EC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36B3B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3E79A1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470F42C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F812D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9CC877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06759EF3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95F850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07F329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7AC4848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601DE9D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769FD39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EF4DD2" w:rsidRPr="00EF4DD2" w14:paraId="3D4BB834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6B1FE2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Adverse event </w:t>
            </w:r>
          </w:p>
        </w:tc>
        <w:tc>
          <w:tcPr>
            <w:tcW w:w="1176" w:type="dxa"/>
            <w:vAlign w:val="center"/>
          </w:tcPr>
          <w:p w14:paraId="4145573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C2F72A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1" w:type="dxa"/>
            <w:vAlign w:val="center"/>
          </w:tcPr>
          <w:p w14:paraId="634F62A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37" w:type="dxa"/>
            <w:vAlign w:val="center"/>
          </w:tcPr>
          <w:p w14:paraId="7788EB5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5AB99C2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DA7A64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3A3018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5F7D9A8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709E707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94D078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B279E5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9F23B9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CE4A42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3A7A9B5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CA6991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6E4C1FE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7971009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38" w:type="dxa"/>
            <w:vAlign w:val="center"/>
          </w:tcPr>
          <w:p w14:paraId="7F307DB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2" w:type="dxa"/>
            <w:gridSpan w:val="2"/>
            <w:vAlign w:val="center"/>
          </w:tcPr>
          <w:p w14:paraId="0252CB3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74F82F33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1CE682F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Biosample</w:t>
            </w:r>
            <w:proofErr w:type="spellEnd"/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collection</w:t>
            </w:r>
          </w:p>
        </w:tc>
        <w:tc>
          <w:tcPr>
            <w:tcW w:w="1176" w:type="dxa"/>
            <w:vAlign w:val="center"/>
          </w:tcPr>
          <w:p w14:paraId="523A8FE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BAE57E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5A6FC08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437" w:type="dxa"/>
            <w:vAlign w:val="center"/>
          </w:tcPr>
          <w:p w14:paraId="0C39623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07AB9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4F30AF9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19CD9DC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02ADEA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07AC2361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71D605F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3AB0F3F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318C7B3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755EB13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4CC1371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2B6C2CE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vAlign w:val="center"/>
          </w:tcPr>
          <w:p w14:paraId="70044E5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590" w:type="dxa"/>
            <w:gridSpan w:val="2"/>
            <w:vAlign w:val="center"/>
          </w:tcPr>
          <w:p w14:paraId="703D91E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738" w:type="dxa"/>
            <w:vAlign w:val="center"/>
          </w:tcPr>
          <w:p w14:paraId="05133D56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  <w:tc>
          <w:tcPr>
            <w:tcW w:w="892" w:type="dxa"/>
            <w:gridSpan w:val="2"/>
            <w:vAlign w:val="center"/>
          </w:tcPr>
          <w:p w14:paraId="4E24CDC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  <w:tr w:rsidR="00EF4DD2" w:rsidRPr="00EF4DD2" w14:paraId="45E87D81" w14:textId="77777777" w:rsidTr="00EF4DD2">
        <w:trPr>
          <w:gridAfter w:val="1"/>
          <w:wAfter w:w="14" w:type="dxa"/>
          <w:trHeight w:val="241"/>
        </w:trPr>
        <w:tc>
          <w:tcPr>
            <w:tcW w:w="2807" w:type="dxa"/>
            <w:vAlign w:val="center"/>
          </w:tcPr>
          <w:p w14:paraId="7037AFC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both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Discharge </w:t>
            </w:r>
          </w:p>
        </w:tc>
        <w:tc>
          <w:tcPr>
            <w:tcW w:w="1176" w:type="dxa"/>
            <w:vAlign w:val="center"/>
          </w:tcPr>
          <w:p w14:paraId="235FA064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698E53C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1" w:type="dxa"/>
            <w:vAlign w:val="center"/>
          </w:tcPr>
          <w:p w14:paraId="529EFE8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37" w:type="dxa"/>
            <w:vAlign w:val="center"/>
          </w:tcPr>
          <w:p w14:paraId="3897185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78DD49E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722736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FB25D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38CB5F8A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6D1CFB4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0BE1FF29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78068C4D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E415FF5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D0B08C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B5BAA48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16A061A7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vAlign w:val="center"/>
          </w:tcPr>
          <w:p w14:paraId="21CF00D0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1D5EE76F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38" w:type="dxa"/>
            <w:vAlign w:val="center"/>
          </w:tcPr>
          <w:p w14:paraId="5CE145D2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92" w:type="dxa"/>
            <w:gridSpan w:val="2"/>
            <w:vAlign w:val="center"/>
          </w:tcPr>
          <w:p w14:paraId="4940617B" w14:textId="77777777" w:rsidR="00EF4DD2" w:rsidRPr="00EF4DD2" w:rsidRDefault="00EF4DD2" w:rsidP="00EF4DD2">
            <w:pPr>
              <w:spacing w:after="0" w:line="240" w:lineRule="auto"/>
              <w:ind w:leftChars="-30" w:left="-72" w:rightChars="-30" w:right="-72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F4DD2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X</w:t>
            </w:r>
          </w:p>
        </w:tc>
      </w:tr>
    </w:tbl>
    <w:p w14:paraId="2B586FBD" w14:textId="77777777" w:rsidR="00EF4DD2" w:rsidRDefault="00EF4DD2"/>
    <w:p w14:paraId="78E0461F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lastRenderedPageBreak/>
        <w:t xml:space="preserve">If the test is performed within 7 days before the first dose, the corresponding tests on Day -1 can be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waived;</w:t>
      </w:r>
      <w:proofErr w:type="gramEnd"/>
    </w:p>
    <w:p w14:paraId="4EEEFD0F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>If the subject terminated early, an exit-study assessment is required (refer to the test items 72 hours after taking the drug, excluding the collection of biological samples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);</w:t>
      </w:r>
      <w:proofErr w:type="gramEnd"/>
    </w:p>
    <w:p w14:paraId="416F1492" w14:textId="6FF01174" w:rsidR="00EF4DD2" w:rsidRPr="00EF4DD2" w:rsidRDefault="00126180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Enquire</w:t>
      </w:r>
      <w:r w:rsidR="00EF4DD2" w:rsidRPr="00EF4DD2">
        <w:rPr>
          <w:rFonts w:ascii="Times New Roman" w:eastAsia="DengXian" w:hAnsi="Times New Roman" w:cs="Times New Roman"/>
          <w:sz w:val="20"/>
          <w:szCs w:val="20"/>
        </w:rPr>
        <w:t xml:space="preserve"> during the screening visit and record the subject's medication within 28 days before screening in the original medical </w:t>
      </w:r>
      <w:proofErr w:type="gramStart"/>
      <w:r w:rsidR="00EF4DD2" w:rsidRPr="00EF4DD2">
        <w:rPr>
          <w:rFonts w:ascii="Times New Roman" w:eastAsia="DengXian" w:hAnsi="Times New Roman" w:cs="Times New Roman"/>
          <w:sz w:val="20"/>
          <w:szCs w:val="20"/>
        </w:rPr>
        <w:t>records;</w:t>
      </w:r>
      <w:proofErr w:type="gramEnd"/>
    </w:p>
    <w:p w14:paraId="5D7502FF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Measure sitting vital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signs;</w:t>
      </w:r>
      <w:proofErr w:type="gramEnd"/>
    </w:p>
    <w:p w14:paraId="6D00E84B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results of the </w:t>
      </w:r>
      <w:proofErr w:type="spellStart"/>
      <w:r w:rsidRPr="00EF4DD2">
        <w:rPr>
          <w:rFonts w:ascii="Times New Roman" w:eastAsia="DengXian" w:hAnsi="Times New Roman" w:cs="Times New Roman"/>
          <w:sz w:val="20"/>
          <w:szCs w:val="20"/>
        </w:rPr>
        <w:t>center's</w:t>
      </w:r>
      <w:proofErr w:type="spellEnd"/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 chest X-ray (frontal view) within 3 months before the first dose are acceptable; the chest X-ray can be completed during the screening period or 1 day before the first cycle of study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medication;</w:t>
      </w:r>
      <w:proofErr w:type="gramEnd"/>
    </w:p>
    <w:p w14:paraId="56DC8885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abdominal B-ultrasound examination sites are the liver, gallbladder, pancreas, spleen and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kidneys;</w:t>
      </w:r>
      <w:proofErr w:type="gramEnd"/>
    </w:p>
    <w:p w14:paraId="656E3925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Fasting for at least 10 hours overnight before blood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collections;</w:t>
      </w:r>
      <w:proofErr w:type="gramEnd"/>
    </w:p>
    <w:p w14:paraId="509330AF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>Transmission 9-items: including hepatitis B surface antigen (HBsAg), hepatitis C virus antibody (HCV), syphilis, human immunodeficiency virus antibody (HIV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)</w:t>
      </w:r>
      <w:r w:rsidRPr="00EF4DD2">
        <w:rPr>
          <w:rFonts w:ascii="Times New Roman" w:eastAsia="DengXian" w:hAnsi="Times New Roman" w:cs="Times New Roman"/>
          <w:sz w:val="20"/>
          <w:szCs w:val="20"/>
        </w:rPr>
        <w:t>；</w:t>
      </w:r>
      <w:proofErr w:type="gramEnd"/>
    </w:p>
    <w:p w14:paraId="39BF8729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The female subject must complete a urine pregnancy test during the screening and at the completion of period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2;</w:t>
      </w:r>
      <w:proofErr w:type="gramEnd"/>
    </w:p>
    <w:p w14:paraId="03B104B8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Applicable to period 1 pre-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dose;</w:t>
      </w:r>
      <w:proofErr w:type="gramEnd"/>
    </w:p>
    <w:p w14:paraId="437959CE" w14:textId="00B21C57" w:rsidR="00EF4DD2" w:rsidRPr="00EF4DD2" w:rsidRDefault="00126180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H</w:t>
      </w:r>
      <w:r w:rsidR="00EF4DD2">
        <w:rPr>
          <w:rFonts w:ascii="Times New Roman" w:eastAsia="DengXian" w:hAnsi="Times New Roman" w:cs="Times New Roman" w:hint="eastAsia"/>
          <w:sz w:val="20"/>
          <w:szCs w:val="20"/>
        </w:rPr>
        <w:t xml:space="preserve">igh-fat </w:t>
      </w:r>
      <w:r>
        <w:rPr>
          <w:rFonts w:ascii="Times New Roman" w:eastAsia="DengXian" w:hAnsi="Times New Roman" w:cs="Times New Roman" w:hint="eastAsia"/>
          <w:sz w:val="20"/>
          <w:szCs w:val="20"/>
        </w:rPr>
        <w:t xml:space="preserve">breakfast intake only for the fed study </w:t>
      </w:r>
      <w:proofErr w:type="gramStart"/>
      <w:r>
        <w:rPr>
          <w:rFonts w:ascii="Times New Roman" w:eastAsia="DengXian" w:hAnsi="Times New Roman" w:cs="Times New Roman" w:hint="eastAsia"/>
          <w:sz w:val="20"/>
          <w:szCs w:val="20"/>
        </w:rPr>
        <w:t>cohort;</w:t>
      </w:r>
      <w:proofErr w:type="gramEnd"/>
    </w:p>
    <w:p w14:paraId="390EABA2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</w:rPr>
        <w:t xml:space="preserve">Only perform at Period 2 Day </w:t>
      </w:r>
      <w:proofErr w:type="gramStart"/>
      <w:r w:rsidRPr="00EF4DD2">
        <w:rPr>
          <w:rFonts w:ascii="Times New Roman" w:eastAsia="DengXian" w:hAnsi="Times New Roman" w:cs="Times New Roman"/>
          <w:sz w:val="20"/>
          <w:szCs w:val="20"/>
        </w:rPr>
        <w:t>11;</w:t>
      </w:r>
      <w:proofErr w:type="gramEnd"/>
    </w:p>
    <w:p w14:paraId="02DB46D0" w14:textId="77777777" w:rsidR="00EF4DD2" w:rsidRPr="00EF4DD2" w:rsidRDefault="00EF4DD2" w:rsidP="00EF4DD2">
      <w:pPr>
        <w:numPr>
          <w:ilvl w:val="0"/>
          <w:numId w:val="3"/>
        </w:numPr>
        <w:spacing w:line="360" w:lineRule="auto"/>
        <w:ind w:left="426"/>
        <w:contextualSpacing/>
        <w:rPr>
          <w:rFonts w:ascii="Times New Roman" w:eastAsia="DengXian" w:hAnsi="Times New Roman" w:cs="Times New Roman"/>
          <w:sz w:val="20"/>
          <w:szCs w:val="20"/>
        </w:rPr>
      </w:pPr>
      <w:r w:rsidRPr="00EF4DD2">
        <w:rPr>
          <w:rFonts w:ascii="Times New Roman" w:eastAsia="DengXian" w:hAnsi="Times New Roman" w:cs="Times New Roman"/>
          <w:sz w:val="20"/>
          <w:szCs w:val="20"/>
          <w:lang w:val="en-US"/>
        </w:rPr>
        <w:t>If the breath alcohol test (can be repeated once if a false positive) was positive, the investigator required the subject to withdraw from the study.</w:t>
      </w:r>
    </w:p>
    <w:p w14:paraId="395B1F09" w14:textId="77777777" w:rsidR="00EF4DD2" w:rsidRDefault="00EF4DD2"/>
    <w:p w14:paraId="77AA7F54" w14:textId="77777777" w:rsidR="00EF4DD2" w:rsidRDefault="00EF4DD2"/>
    <w:p w14:paraId="5261BBBB" w14:textId="77777777" w:rsidR="00EF4DD2" w:rsidRDefault="00EF4DD2"/>
    <w:p w14:paraId="67F3508D" w14:textId="77777777" w:rsidR="00EF4DD2" w:rsidRDefault="00EF4DD2"/>
    <w:p w14:paraId="76CDDC6A" w14:textId="77777777" w:rsidR="00EF4DD2" w:rsidRDefault="00EF4DD2"/>
    <w:p w14:paraId="0E182018" w14:textId="77777777" w:rsidR="00EF4DD2" w:rsidRDefault="00EF4DD2"/>
    <w:p w14:paraId="1B51F1EB" w14:textId="77777777" w:rsidR="00EF4DD2" w:rsidRDefault="00EF4DD2"/>
    <w:p w14:paraId="6A208A14" w14:textId="77777777" w:rsidR="00EF4DD2" w:rsidRDefault="00EF4DD2"/>
    <w:sectPr w:rsidR="00EF4DD2" w:rsidSect="00EF4D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7C86" w14:textId="77777777" w:rsidR="00557376" w:rsidRDefault="00557376" w:rsidP="00557376">
      <w:pPr>
        <w:spacing w:after="0" w:line="240" w:lineRule="auto"/>
      </w:pPr>
      <w:r>
        <w:separator/>
      </w:r>
    </w:p>
  </w:endnote>
  <w:endnote w:type="continuationSeparator" w:id="0">
    <w:p w14:paraId="585C558B" w14:textId="77777777" w:rsidR="00557376" w:rsidRDefault="00557376" w:rsidP="0055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1E7A1" w14:textId="77777777" w:rsidR="00557376" w:rsidRDefault="00557376" w:rsidP="00557376">
      <w:pPr>
        <w:spacing w:after="0" w:line="240" w:lineRule="auto"/>
      </w:pPr>
      <w:r>
        <w:separator/>
      </w:r>
    </w:p>
  </w:footnote>
  <w:footnote w:type="continuationSeparator" w:id="0">
    <w:p w14:paraId="0EBB8744" w14:textId="77777777" w:rsidR="00557376" w:rsidRDefault="00557376" w:rsidP="00557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3465"/>
    <w:multiLevelType w:val="multilevel"/>
    <w:tmpl w:val="19D8377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3771"/>
    <w:multiLevelType w:val="multilevel"/>
    <w:tmpl w:val="19D8377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05B14"/>
    <w:multiLevelType w:val="multilevel"/>
    <w:tmpl w:val="19D8377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92772">
    <w:abstractNumId w:val="1"/>
  </w:num>
  <w:num w:numId="2" w16cid:durableId="1584334685">
    <w:abstractNumId w:val="2"/>
  </w:num>
  <w:num w:numId="3" w16cid:durableId="102363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KxNLIwNrcwtTC0MDdS0lEKTi0uzszPAykwqgUAkOsL8CwAAAA="/>
  </w:docVars>
  <w:rsids>
    <w:rsidRoot w:val="00EF4DD2"/>
    <w:rsid w:val="00126180"/>
    <w:rsid w:val="00210902"/>
    <w:rsid w:val="00557376"/>
    <w:rsid w:val="00732CF3"/>
    <w:rsid w:val="00875B73"/>
    <w:rsid w:val="00EF4DD2"/>
    <w:rsid w:val="00F66477"/>
    <w:rsid w:val="00F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29EBC1"/>
  <w15:chartTrackingRefBased/>
  <w15:docId w15:val="{45A37959-BAA6-4E55-94B5-95B2EF7B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EF4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F4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F4D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F4DD2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F4D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F4DD2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4D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F4D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4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4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4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4D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4D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4D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4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4D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4DD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557376"/>
  </w:style>
  <w:style w:type="paragraph" w:styleId="af0">
    <w:name w:val="footer"/>
    <w:basedOn w:val="a"/>
    <w:link w:val="af1"/>
    <w:uiPriority w:val="99"/>
    <w:unhideWhenUsed/>
    <w:rsid w:val="0055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55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855</Words>
  <Characters>3705</Characters>
  <Application>Microsoft Office Word</Application>
  <DocSecurity>0</DocSecurity>
  <Lines>1167</Lines>
  <Paragraphs>309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 Wang</dc:creator>
  <cp:keywords/>
  <dc:description/>
  <cp:lastModifiedBy>Jue Wang</cp:lastModifiedBy>
  <cp:revision>3</cp:revision>
  <dcterms:created xsi:type="dcterms:W3CDTF">2025-05-23T16:53:00Z</dcterms:created>
  <dcterms:modified xsi:type="dcterms:W3CDTF">2025-10-08T21:16:00Z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5f57d156-d2d2-4ce5-a5d9-b63f62c61718</vt:lpwstr>
  </property>
</Properties>
</file>