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FD3E4" w14:textId="77777777" w:rsidR="008473EA" w:rsidRPr="000045F3" w:rsidRDefault="00F12FC2" w:rsidP="00944015">
      <w:pPr>
        <w:jc w:val="both"/>
        <w:rPr>
          <w:rFonts w:ascii="Times New Roman" w:hAnsi="Times New Roman" w:cs="Times New Roman"/>
          <w:b/>
          <w:bCs/>
        </w:rPr>
      </w:pPr>
      <w:bookmarkStart w:id="0" w:name="OLE_LINK18"/>
      <w:r w:rsidRPr="000045F3">
        <w:rPr>
          <w:rFonts w:ascii="Times New Roman" w:hAnsi="Times New Roman" w:cs="Times New Roman"/>
          <w:b/>
          <w:bCs/>
        </w:rPr>
        <w:t xml:space="preserve">Protective Role of Aldehyde Dehydrogenase 2 in </w:t>
      </w:r>
      <w:r w:rsidR="0005686C" w:rsidRPr="000045F3">
        <w:rPr>
          <w:rFonts w:ascii="Times New Roman" w:hAnsi="Times New Roman" w:cs="Times New Roman"/>
          <w:b/>
          <w:bCs/>
        </w:rPr>
        <w:t>Retinal Pigment Epithelium Cell</w:t>
      </w:r>
      <w:r w:rsidR="0005686C">
        <w:rPr>
          <w:rFonts w:ascii="Times New Roman" w:hAnsi="Times New Roman" w:cs="Times New Roman" w:hint="eastAsia"/>
          <w:b/>
          <w:bCs/>
        </w:rPr>
        <w:t xml:space="preserve">s with </w:t>
      </w:r>
      <w:r w:rsidRPr="000045F3">
        <w:rPr>
          <w:rFonts w:ascii="Times New Roman" w:hAnsi="Times New Roman" w:cs="Times New Roman"/>
          <w:b/>
          <w:bCs/>
        </w:rPr>
        <w:t>CoCl₂-Induced Hypoxic Injury: An In</w:t>
      </w:r>
      <w:r w:rsidR="00DB4E24">
        <w:rPr>
          <w:rFonts w:ascii="Times New Roman" w:hAnsi="Times New Roman" w:cs="Times New Roman" w:hint="eastAsia"/>
          <w:b/>
          <w:bCs/>
        </w:rPr>
        <w:t>-</w:t>
      </w:r>
      <w:r w:rsidRPr="000045F3">
        <w:rPr>
          <w:rFonts w:ascii="Times New Roman" w:hAnsi="Times New Roman" w:cs="Times New Roman"/>
          <w:b/>
          <w:bCs/>
        </w:rPr>
        <w:t>Vitro Study</w:t>
      </w:r>
    </w:p>
    <w:bookmarkEnd w:id="0"/>
    <w:p w14:paraId="37F0C78B" w14:textId="77777777" w:rsidR="008473EA" w:rsidRPr="000045F3" w:rsidRDefault="00F12FC2" w:rsidP="00944015">
      <w:pPr>
        <w:adjustRightInd w:val="0"/>
        <w:snapToGrid w:val="0"/>
        <w:spacing w:line="200" w:lineRule="atLeast"/>
        <w:jc w:val="both"/>
        <w:rPr>
          <w:rFonts w:ascii="Times New Roman" w:hAnsi="Times New Roman" w:cs="Times New Roman"/>
          <w:sz w:val="18"/>
          <w:szCs w:val="18"/>
          <w:vertAlign w:val="superscript"/>
        </w:rPr>
      </w:pPr>
      <w:r w:rsidRPr="000045F3">
        <w:rPr>
          <w:rFonts w:ascii="Times New Roman" w:hAnsi="Times New Roman" w:cs="Times New Roman"/>
          <w:sz w:val="18"/>
          <w:szCs w:val="18"/>
        </w:rPr>
        <w:t>Sheng Zhang</w:t>
      </w:r>
      <w:r w:rsidR="009E4D39" w:rsidRPr="000045F3">
        <w:rPr>
          <w:rFonts w:ascii="Times New Roman" w:hAnsi="Times New Roman" w:cs="Times New Roman"/>
          <w:sz w:val="18"/>
          <w:szCs w:val="18"/>
          <w:vertAlign w:val="superscript"/>
        </w:rPr>
        <w:t xml:space="preserve"> 1#</w:t>
      </w:r>
      <w:r w:rsidRPr="000045F3">
        <w:rPr>
          <w:rFonts w:ascii="Times New Roman" w:hAnsi="Times New Roman" w:cs="Times New Roman"/>
          <w:sz w:val="18"/>
          <w:szCs w:val="18"/>
        </w:rPr>
        <w:t>, Guanyu Chen</w:t>
      </w:r>
      <w:r w:rsidR="009E4D39" w:rsidRPr="000045F3">
        <w:rPr>
          <w:rFonts w:ascii="Times New Roman" w:hAnsi="Times New Roman" w:cs="Times New Roman"/>
          <w:sz w:val="18"/>
          <w:szCs w:val="18"/>
          <w:vertAlign w:val="superscript"/>
        </w:rPr>
        <w:t xml:space="preserve"> 1#</w:t>
      </w:r>
      <w:r w:rsidRPr="000045F3">
        <w:rPr>
          <w:rFonts w:ascii="Times New Roman" w:hAnsi="Times New Roman" w:cs="Times New Roman"/>
          <w:sz w:val="18"/>
          <w:szCs w:val="18"/>
        </w:rPr>
        <w:t>, Lin Xiao</w:t>
      </w:r>
      <w:r w:rsidRPr="000045F3">
        <w:rPr>
          <w:rFonts w:ascii="Times New Roman" w:hAnsi="Times New Roman" w:cs="Times New Roman"/>
          <w:sz w:val="18"/>
          <w:szCs w:val="18"/>
          <w:vertAlign w:val="superscript"/>
        </w:rPr>
        <w:t xml:space="preserve"> 1#</w:t>
      </w:r>
      <w:r w:rsidRPr="000045F3">
        <w:rPr>
          <w:rFonts w:ascii="Times New Roman" w:hAnsi="Times New Roman" w:cs="Times New Roman"/>
          <w:sz w:val="18"/>
          <w:szCs w:val="18"/>
        </w:rPr>
        <w:t xml:space="preserve">, </w:t>
      </w:r>
      <w:r w:rsidR="009E4D39" w:rsidRPr="000045F3">
        <w:rPr>
          <w:rFonts w:ascii="Times New Roman" w:hAnsi="Times New Roman" w:cs="Times New Roman"/>
          <w:sz w:val="18"/>
          <w:szCs w:val="18"/>
        </w:rPr>
        <w:t>Jia</w:t>
      </w:r>
      <w:r w:rsidR="00CB2442" w:rsidRPr="000045F3">
        <w:rPr>
          <w:rFonts w:ascii="Times New Roman" w:hAnsi="Times New Roman" w:cs="Times New Roman"/>
          <w:sz w:val="18"/>
          <w:szCs w:val="18"/>
        </w:rPr>
        <w:t>l</w:t>
      </w:r>
      <w:r w:rsidR="009E4D39" w:rsidRPr="000045F3">
        <w:rPr>
          <w:rFonts w:ascii="Times New Roman" w:hAnsi="Times New Roman" w:cs="Times New Roman"/>
          <w:sz w:val="18"/>
          <w:szCs w:val="18"/>
        </w:rPr>
        <w:t>ing Dong</w:t>
      </w:r>
      <w:bookmarkStart w:id="1" w:name="OLE_LINK48"/>
      <w:r w:rsidR="009E4D39" w:rsidRPr="000045F3">
        <w:rPr>
          <w:rFonts w:ascii="Times New Roman" w:hAnsi="Times New Roman" w:cs="Times New Roman"/>
          <w:sz w:val="18"/>
          <w:szCs w:val="18"/>
          <w:vertAlign w:val="superscript"/>
        </w:rPr>
        <w:t>1</w:t>
      </w:r>
      <w:bookmarkEnd w:id="1"/>
      <w:r w:rsidR="00CB2442" w:rsidRPr="000045F3">
        <w:rPr>
          <w:rFonts w:ascii="Times New Roman" w:hAnsi="Times New Roman" w:cs="Times New Roman"/>
          <w:sz w:val="18"/>
          <w:szCs w:val="18"/>
        </w:rPr>
        <w:t>,</w:t>
      </w:r>
      <w:r w:rsidR="000045F3">
        <w:rPr>
          <w:rFonts w:ascii="Times New Roman" w:hAnsi="Times New Roman" w:cs="Times New Roman" w:hint="eastAsia"/>
          <w:sz w:val="18"/>
          <w:szCs w:val="18"/>
        </w:rPr>
        <w:t xml:space="preserve"> </w:t>
      </w:r>
      <w:r w:rsidRPr="000045F3">
        <w:rPr>
          <w:rFonts w:ascii="Times New Roman" w:hAnsi="Times New Roman" w:cs="Times New Roman"/>
          <w:sz w:val="18"/>
          <w:szCs w:val="18"/>
        </w:rPr>
        <w:t>Yin Chao</w:t>
      </w:r>
      <w:r w:rsidRPr="000045F3">
        <w:rPr>
          <w:rFonts w:ascii="Times New Roman" w:hAnsi="Times New Roman" w:cs="Times New Roman"/>
          <w:sz w:val="18"/>
          <w:szCs w:val="18"/>
          <w:vertAlign w:val="superscript"/>
        </w:rPr>
        <w:t>1</w:t>
      </w:r>
      <w:r w:rsidRPr="000045F3">
        <w:rPr>
          <w:rFonts w:ascii="Times New Roman" w:hAnsi="Times New Roman" w:cs="Times New Roman"/>
          <w:sz w:val="18"/>
          <w:szCs w:val="18"/>
        </w:rPr>
        <w:t>, Yuxin Xia</w:t>
      </w:r>
      <w:r w:rsidR="000045F3" w:rsidRPr="000045F3">
        <w:rPr>
          <w:rFonts w:ascii="Times New Roman" w:hAnsi="Times New Roman" w:cs="Times New Roman"/>
          <w:sz w:val="18"/>
          <w:szCs w:val="18"/>
          <w:vertAlign w:val="superscript"/>
        </w:rPr>
        <w:t>1</w:t>
      </w:r>
      <w:r w:rsidRPr="000045F3">
        <w:rPr>
          <w:rFonts w:ascii="Times New Roman" w:hAnsi="Times New Roman" w:cs="Times New Roman"/>
          <w:sz w:val="18"/>
          <w:szCs w:val="18"/>
        </w:rPr>
        <w:t>, Pan Long</w:t>
      </w:r>
      <w:r w:rsidR="002E221D">
        <w:rPr>
          <w:rFonts w:ascii="Times New Roman" w:hAnsi="Times New Roman" w:cs="Times New Roman" w:hint="eastAsia"/>
          <w:sz w:val="18"/>
          <w:szCs w:val="18"/>
          <w:vertAlign w:val="superscript"/>
        </w:rPr>
        <w:t>2</w:t>
      </w:r>
      <w:r w:rsidRPr="000045F3">
        <w:rPr>
          <w:rFonts w:ascii="Times New Roman" w:hAnsi="Times New Roman" w:cs="Times New Roman"/>
          <w:b/>
          <w:sz w:val="18"/>
          <w:szCs w:val="18"/>
        </w:rPr>
        <w:t>*</w:t>
      </w:r>
      <w:r w:rsidRPr="000045F3">
        <w:rPr>
          <w:rFonts w:ascii="Times New Roman" w:hAnsi="Times New Roman" w:cs="Times New Roman"/>
          <w:sz w:val="18"/>
          <w:szCs w:val="18"/>
        </w:rPr>
        <w:t>, Weiming Yan</w:t>
      </w:r>
      <w:r w:rsidRPr="000045F3">
        <w:rPr>
          <w:rFonts w:ascii="Times New Roman" w:hAnsi="Times New Roman" w:cs="Times New Roman"/>
          <w:sz w:val="18"/>
          <w:szCs w:val="18"/>
          <w:vertAlign w:val="superscript"/>
        </w:rPr>
        <w:t>1</w:t>
      </w:r>
      <w:r w:rsidRPr="000045F3">
        <w:rPr>
          <w:rFonts w:ascii="Times New Roman" w:hAnsi="Times New Roman" w:cs="Times New Roman"/>
          <w:b/>
          <w:sz w:val="18"/>
          <w:szCs w:val="18"/>
        </w:rPr>
        <w:t>*</w:t>
      </w:r>
    </w:p>
    <w:p w14:paraId="2B23E0C3" w14:textId="77777777" w:rsidR="008473EA" w:rsidRPr="000045F3" w:rsidRDefault="00F12FC2" w:rsidP="00944015">
      <w:pPr>
        <w:adjustRightInd w:val="0"/>
        <w:snapToGrid w:val="0"/>
        <w:spacing w:line="200" w:lineRule="atLeast"/>
        <w:jc w:val="both"/>
        <w:rPr>
          <w:rFonts w:ascii="Times New Roman" w:hAnsi="Times New Roman" w:cs="Times New Roman"/>
          <w:sz w:val="18"/>
          <w:szCs w:val="18"/>
        </w:rPr>
      </w:pPr>
      <w:r w:rsidRPr="000045F3">
        <w:rPr>
          <w:rFonts w:ascii="Times New Roman" w:hAnsi="Times New Roman" w:cs="Times New Roman"/>
          <w:sz w:val="18"/>
          <w:szCs w:val="18"/>
          <w:vertAlign w:val="superscript"/>
        </w:rPr>
        <w:t>1</w:t>
      </w:r>
      <w:bookmarkStart w:id="2" w:name="OLE_LINK62"/>
      <w:r w:rsidRPr="000045F3">
        <w:rPr>
          <w:rFonts w:ascii="Times New Roman" w:hAnsi="Times New Roman" w:cs="Times New Roman"/>
          <w:sz w:val="18"/>
          <w:szCs w:val="18"/>
        </w:rPr>
        <w:t>Fuzong Clinical Medical College of Fujian Medical University</w:t>
      </w:r>
      <w:bookmarkEnd w:id="2"/>
      <w:r w:rsidRPr="000045F3">
        <w:rPr>
          <w:rFonts w:ascii="Times New Roman" w:hAnsi="Times New Roman" w:cs="Times New Roman"/>
          <w:sz w:val="18"/>
          <w:szCs w:val="18"/>
        </w:rPr>
        <w:t>, Fuzhou, 350025, China</w:t>
      </w:r>
    </w:p>
    <w:p w14:paraId="1A725456" w14:textId="77777777" w:rsidR="008473EA" w:rsidRPr="000045F3" w:rsidRDefault="00F12FC2" w:rsidP="00944015">
      <w:pPr>
        <w:adjustRightInd w:val="0"/>
        <w:snapToGrid w:val="0"/>
        <w:spacing w:line="200" w:lineRule="atLeast"/>
        <w:jc w:val="both"/>
        <w:rPr>
          <w:rFonts w:ascii="Times New Roman" w:hAnsi="Times New Roman" w:cs="Times New Roman"/>
          <w:sz w:val="18"/>
          <w:szCs w:val="18"/>
        </w:rPr>
      </w:pPr>
      <w:bookmarkStart w:id="3" w:name="OLE_LINK23"/>
      <w:r w:rsidRPr="000045F3">
        <w:rPr>
          <w:rFonts w:ascii="Times New Roman" w:hAnsi="Times New Roman" w:cs="Times New Roman"/>
          <w:sz w:val="18"/>
          <w:szCs w:val="18"/>
          <w:vertAlign w:val="superscript"/>
        </w:rPr>
        <w:t>2</w:t>
      </w:r>
      <w:bookmarkEnd w:id="3"/>
      <w:r w:rsidRPr="000045F3">
        <w:rPr>
          <w:rFonts w:ascii="Times New Roman" w:hAnsi="Times New Roman" w:cs="Times New Roman"/>
          <w:sz w:val="18"/>
          <w:szCs w:val="18"/>
        </w:rPr>
        <w:t>The General Hospital of Western Theatre Command, Chengdu, China</w:t>
      </w:r>
    </w:p>
    <w:p w14:paraId="2F1A2343" w14:textId="77777777" w:rsidR="008473EA" w:rsidRPr="000045F3" w:rsidRDefault="00F12FC2" w:rsidP="00944015">
      <w:pPr>
        <w:adjustRightInd w:val="0"/>
        <w:snapToGrid w:val="0"/>
        <w:spacing w:line="200" w:lineRule="atLeast"/>
        <w:jc w:val="both"/>
        <w:rPr>
          <w:rFonts w:ascii="Times New Roman" w:hAnsi="Times New Roman" w:cs="Times New Roman"/>
          <w:sz w:val="18"/>
          <w:szCs w:val="18"/>
        </w:rPr>
      </w:pPr>
      <w:r w:rsidRPr="000045F3">
        <w:rPr>
          <w:rFonts w:ascii="Times New Roman" w:hAnsi="Times New Roman" w:cs="Times New Roman"/>
          <w:b/>
          <w:sz w:val="18"/>
          <w:szCs w:val="18"/>
          <w:vertAlign w:val="superscript"/>
        </w:rPr>
        <w:t>#</w:t>
      </w:r>
      <w:r w:rsidRPr="000045F3">
        <w:rPr>
          <w:rFonts w:ascii="Times New Roman" w:hAnsi="Times New Roman" w:cs="Times New Roman"/>
          <w:sz w:val="18"/>
          <w:szCs w:val="18"/>
        </w:rPr>
        <w:t xml:space="preserve">Co-first authors. </w:t>
      </w:r>
    </w:p>
    <w:p w14:paraId="18C787C6" w14:textId="77777777" w:rsidR="008473EA" w:rsidRPr="000045F3" w:rsidRDefault="00F12FC2" w:rsidP="00944015">
      <w:pPr>
        <w:adjustRightInd w:val="0"/>
        <w:snapToGrid w:val="0"/>
        <w:spacing w:line="200" w:lineRule="atLeast"/>
        <w:jc w:val="both"/>
        <w:rPr>
          <w:rFonts w:ascii="Times New Roman" w:hAnsi="Times New Roman" w:cs="Times New Roman"/>
          <w:b/>
          <w:bCs/>
          <w:sz w:val="18"/>
          <w:szCs w:val="18"/>
        </w:rPr>
      </w:pPr>
      <w:r w:rsidRPr="000045F3">
        <w:rPr>
          <w:rFonts w:ascii="Times New Roman" w:hAnsi="Times New Roman" w:cs="Times New Roman"/>
          <w:b/>
          <w:sz w:val="18"/>
          <w:szCs w:val="18"/>
          <w:vertAlign w:val="superscript"/>
        </w:rPr>
        <w:t>*</w:t>
      </w:r>
      <w:r w:rsidRPr="000045F3">
        <w:rPr>
          <w:rFonts w:ascii="Times New Roman" w:hAnsi="Times New Roman" w:cs="Times New Roman"/>
          <w:sz w:val="18"/>
          <w:szCs w:val="18"/>
        </w:rPr>
        <w:t>Correspondence: Weiming Yan (ywming@fjmu.edu.cn); Pan Long (panlong111333@126.com)</w:t>
      </w:r>
    </w:p>
    <w:p w14:paraId="39B086E1" w14:textId="77777777" w:rsidR="008473EA" w:rsidRPr="000045F3" w:rsidRDefault="00F12FC2" w:rsidP="00944015">
      <w:pPr>
        <w:jc w:val="both"/>
        <w:rPr>
          <w:rFonts w:ascii="Times New Roman" w:hAnsi="Times New Roman" w:cs="Times New Roman"/>
          <w:b/>
          <w:bCs/>
        </w:rPr>
      </w:pPr>
      <w:r w:rsidRPr="000045F3">
        <w:rPr>
          <w:rFonts w:ascii="Times New Roman" w:hAnsi="Times New Roman" w:cs="Times New Roman"/>
          <w:b/>
          <w:bCs/>
        </w:rPr>
        <w:t>Abstract</w:t>
      </w:r>
    </w:p>
    <w:p w14:paraId="4433384F" w14:textId="0D97AF39" w:rsidR="004C5662" w:rsidRPr="00B97E07" w:rsidRDefault="00301965" w:rsidP="004C5662">
      <w:pPr>
        <w:jc w:val="both"/>
        <w:rPr>
          <w:rFonts w:ascii="Times New Roman" w:hAnsi="Times New Roman" w:cs="Times New Roman"/>
        </w:rPr>
      </w:pPr>
      <w:r w:rsidRPr="00B97E07">
        <w:rPr>
          <w:rFonts w:ascii="Times New Roman" w:hAnsi="Times New Roman" w:cs="Times New Roman"/>
          <w:b/>
          <w:bCs/>
        </w:rPr>
        <w:t>Background</w:t>
      </w:r>
      <w:r w:rsidR="004C5662" w:rsidRPr="00B97E07">
        <w:rPr>
          <w:rFonts w:ascii="Times New Roman" w:hAnsi="Times New Roman" w:cs="Times New Roman"/>
          <w:b/>
          <w:bCs/>
        </w:rPr>
        <w:t xml:space="preserve">: </w:t>
      </w:r>
      <w:r w:rsidR="006E05FB" w:rsidRPr="00B97E07">
        <w:rPr>
          <w:rFonts w:ascii="Times New Roman" w:hAnsi="Times New Roman" w:cs="Times New Roman"/>
        </w:rPr>
        <w:t>Retinal pigment epithelial (RPE) cells are vulnerable to hypoxia-related and oxidative stress. Cobalt chloride (CoCl₂) is widely used as a chemical hypoxia mimetic; however, an appropriate concentration window for producing measurable RPE injury without the more extensive damage associated with higher concentrations remains incompletely defined. Aldehyde dehydrogenase 2 (ALDH2) contributes to reactive-aldehyde detoxification and cellular stress defense</w:t>
      </w:r>
      <w:r w:rsidR="00940C3E" w:rsidRPr="00B97E07">
        <w:rPr>
          <w:rFonts w:ascii="Times New Roman" w:hAnsi="Times New Roman" w:cs="Times New Roman"/>
        </w:rPr>
        <w:t>.</w:t>
      </w:r>
    </w:p>
    <w:p w14:paraId="42BF9CAF" w14:textId="2BFC54C1" w:rsidR="004C5662" w:rsidRPr="00B97E07" w:rsidRDefault="004C5662" w:rsidP="004C5662">
      <w:pPr>
        <w:jc w:val="both"/>
        <w:rPr>
          <w:rFonts w:ascii="Times New Roman" w:hAnsi="Times New Roman" w:cs="Times New Roman"/>
        </w:rPr>
      </w:pPr>
      <w:r w:rsidRPr="00B97E07">
        <w:rPr>
          <w:rFonts w:ascii="Times New Roman" w:hAnsi="Times New Roman" w:cs="Times New Roman"/>
          <w:b/>
          <w:bCs/>
        </w:rPr>
        <w:t xml:space="preserve">Methods: </w:t>
      </w:r>
      <w:r w:rsidR="006E05FB" w:rsidRPr="00B97E07">
        <w:rPr>
          <w:rFonts w:ascii="Times New Roman" w:hAnsi="Times New Roman" w:cs="Times New Roman"/>
        </w:rPr>
        <w:t>ARPE-19 cells were exposed to 0, 10, 100, 500, 1000, or 2000 μM CoCl₂. Scratch-wound recovery and representative morphology were evaluated for up to 72 h, and relative CCK-8 metabolic activity was quantified at 24, 48, and 72 h. The 500 μM condition was selected for molecular and pharmacological experiments based on the integrated dose-response profile. Culture-supernatant 4-HNE and VEGF-A were measured by ELISA, whereas HIF-1α, ALDH2, and BAX were assessed by Western blotting. Alda-1 and Daidzin were used as an ALDH2 activator/chemical chaperone and an enzymatic inhibitory comparator, respectively</w:t>
      </w:r>
      <w:r w:rsidRPr="00B97E07">
        <w:rPr>
          <w:rFonts w:ascii="Times New Roman" w:hAnsi="Times New Roman" w:cs="Times New Roman"/>
        </w:rPr>
        <w:t>.</w:t>
      </w:r>
    </w:p>
    <w:p w14:paraId="4BEAB5D2" w14:textId="66752A37" w:rsidR="004C5662" w:rsidRPr="00B97E07" w:rsidRDefault="004C5662" w:rsidP="004C5662">
      <w:pPr>
        <w:jc w:val="both"/>
        <w:rPr>
          <w:rFonts w:ascii="Times New Roman" w:hAnsi="Times New Roman" w:cs="Times New Roman"/>
        </w:rPr>
      </w:pPr>
      <w:r w:rsidRPr="00B97E07">
        <w:rPr>
          <w:rFonts w:ascii="Times New Roman" w:hAnsi="Times New Roman" w:cs="Times New Roman"/>
          <w:b/>
          <w:bCs/>
        </w:rPr>
        <w:t xml:space="preserve">Results: </w:t>
      </w:r>
      <w:r w:rsidR="006E05FB" w:rsidRPr="00B97E07">
        <w:rPr>
          <w:rFonts w:ascii="Times New Roman" w:hAnsi="Times New Roman" w:cs="Times New Roman"/>
        </w:rPr>
        <w:t>CoCl₂ caused concentration- and time-associated impairment of scratch-wound recovery. Wound closure was largely preserved at 0–100 μM, whereas 500–2000 μM produced wound-closure failure. The CCK-8 profile showed that 500 μM retained a nonmaximal metabolic signal compared with the substantially greater late reductions observed at 1000 and 2000 μM. Thus, 500 μM represented the lowest tested concentration producing significant functional injury while avoiding the more extensive injury phenotype observed at higher concentrations. Under 500 μM CoCl₂, HIF-1α increased early, ALDH2 protein abundance decreased, and culture-supernatant 4-HNE and VEGF-A increased at the later time point. Alda-1 improved wound recovery and restored ALDH2 protein abundance, whereas Daidzin aggravated the functional injury phenotype and shifted extracellular stress-marker readouts in an unfavorable direction</w:t>
      </w:r>
      <w:r w:rsidRPr="00B97E07">
        <w:rPr>
          <w:rFonts w:ascii="Times New Roman" w:hAnsi="Times New Roman" w:cs="Times New Roman"/>
        </w:rPr>
        <w:t>.</w:t>
      </w:r>
    </w:p>
    <w:p w14:paraId="064E27BD" w14:textId="6D4179E0" w:rsidR="008473EA" w:rsidRPr="004C5662" w:rsidRDefault="004C5662" w:rsidP="004C5662">
      <w:pPr>
        <w:jc w:val="both"/>
        <w:rPr>
          <w:rFonts w:ascii="Times New Roman" w:hAnsi="Times New Roman" w:cs="Times New Roman"/>
        </w:rPr>
      </w:pPr>
      <w:r w:rsidRPr="00B97E07">
        <w:rPr>
          <w:rFonts w:ascii="Times New Roman" w:hAnsi="Times New Roman" w:cs="Times New Roman"/>
          <w:b/>
          <w:bCs/>
        </w:rPr>
        <w:t>Conclusion</w:t>
      </w:r>
      <w:r w:rsidR="00301965" w:rsidRPr="00B97E07">
        <w:rPr>
          <w:rFonts w:ascii="Times New Roman" w:hAnsi="Times New Roman" w:cs="Times New Roman"/>
          <w:b/>
          <w:bCs/>
        </w:rPr>
        <w:t>s</w:t>
      </w:r>
      <w:r w:rsidRPr="00B97E07">
        <w:rPr>
          <w:rFonts w:ascii="Times New Roman" w:hAnsi="Times New Roman" w:cs="Times New Roman"/>
          <w:b/>
          <w:bCs/>
        </w:rPr>
        <w:t xml:space="preserve">: </w:t>
      </w:r>
      <w:r w:rsidR="00301965" w:rsidRPr="00B97E07">
        <w:rPr>
          <w:rFonts w:ascii="Times New Roman" w:hAnsi="Times New Roman" w:cs="Times New Roman"/>
        </w:rPr>
        <w:t xml:space="preserve">CoCl₂ produced a concentration-resolved, hypoxia-related and aldehyde-associated RPE injury phenotype. Alda-1 improved wound recovery and increased ALDH2 protein abundance, whereas Daidzin aggravated the functional injury phenotype. These </w:t>
      </w:r>
      <w:r w:rsidR="00301965" w:rsidRPr="00B97E07">
        <w:rPr>
          <w:rFonts w:ascii="Times New Roman" w:hAnsi="Times New Roman" w:cs="Times New Roman"/>
        </w:rPr>
        <w:lastRenderedPageBreak/>
        <w:t>findings support ALDH2-associated aldehyde-detoxifying defense as a modulatory component of CoCl₂-induced RPE stress</w:t>
      </w:r>
      <w:r w:rsidR="00F12FC2" w:rsidRPr="00B97E07">
        <w:rPr>
          <w:rFonts w:ascii="Times New Roman" w:hAnsi="Times New Roman" w:cs="Times New Roman"/>
        </w:rPr>
        <w:t>.</w:t>
      </w:r>
      <w:r w:rsidR="00F12FC2" w:rsidRPr="004C5662">
        <w:rPr>
          <w:rFonts w:ascii="Times New Roman" w:hAnsi="Times New Roman" w:cs="Times New Roman"/>
        </w:rPr>
        <w:t xml:space="preserve"> </w:t>
      </w:r>
    </w:p>
    <w:p w14:paraId="48323E72" w14:textId="791918B3" w:rsidR="006E05FB" w:rsidRPr="000045F3" w:rsidRDefault="00F12FC2" w:rsidP="00944015">
      <w:pPr>
        <w:jc w:val="both"/>
        <w:rPr>
          <w:rFonts w:ascii="Times New Roman" w:hAnsi="Times New Roman" w:cs="Times New Roman"/>
        </w:rPr>
      </w:pPr>
      <w:r w:rsidRPr="000045F3">
        <w:rPr>
          <w:rFonts w:ascii="Times New Roman" w:hAnsi="Times New Roman" w:cs="Times New Roman"/>
          <w:b/>
          <w:bCs/>
        </w:rPr>
        <w:t xml:space="preserve">Keywords: </w:t>
      </w:r>
      <w:r w:rsidRPr="000045F3">
        <w:rPr>
          <w:rFonts w:ascii="Times New Roman" w:hAnsi="Times New Roman" w:cs="Times New Roman"/>
        </w:rPr>
        <w:t>ALDH2; Cobalt chloride; Retinal pigment epithelial cells; Hypoxia; Cytoprotection</w:t>
      </w:r>
    </w:p>
    <w:p w14:paraId="4D83AEB7" w14:textId="77777777" w:rsidR="008473EA" w:rsidRPr="000045F3" w:rsidRDefault="00F12FC2" w:rsidP="00944015">
      <w:pPr>
        <w:jc w:val="both"/>
        <w:rPr>
          <w:rFonts w:ascii="Times New Roman" w:hAnsi="Times New Roman" w:cs="Times New Roman"/>
        </w:rPr>
      </w:pPr>
      <w:r w:rsidRPr="000045F3">
        <w:rPr>
          <w:rFonts w:ascii="Times New Roman" w:hAnsi="Times New Roman" w:cs="Times New Roman"/>
          <w:b/>
          <w:bCs/>
        </w:rPr>
        <w:t>1. Introduction</w:t>
      </w:r>
    </w:p>
    <w:p w14:paraId="4FD28B01" w14:textId="77777777" w:rsidR="00FD78CA" w:rsidRPr="00FD78CA" w:rsidRDefault="00FD78CA" w:rsidP="00FD78CA">
      <w:pPr>
        <w:jc w:val="both"/>
        <w:rPr>
          <w:rFonts w:ascii="Times New Roman" w:hAnsi="Times New Roman" w:cs="Times New Roman"/>
        </w:rPr>
      </w:pPr>
      <w:r w:rsidRPr="00FD78CA">
        <w:rPr>
          <w:rFonts w:ascii="Times New Roman" w:hAnsi="Times New Roman" w:cs="Times New Roman"/>
        </w:rPr>
        <w:t>Retinal pigment epithelial (RPE) cells play essential roles in maintaining outer retinal homeostasis, supporting photoreceptor function, preserving the outer blood–retinal barrier, and regulating local metabolic exchange</w:t>
      </w:r>
      <w:r>
        <w:rPr>
          <w:rFonts w:ascii="Times New Roman" w:hAnsi="Times New Roman" w:cs="Times New Roman"/>
        </w:rPr>
        <w:fldChar w:fldCharType="begin"/>
      </w:r>
      <w:r>
        <w:rPr>
          <w:rFonts w:ascii="Times New Roman" w:hAnsi="Times New Roman" w:cs="Times New Roman"/>
        </w:rPr>
        <w:instrText xml:space="preserve"> ADDIN EN.CITE &lt;EndNote&gt;&lt;Cite&gt;&lt;Author&gt;Yang&lt;/Author&gt;&lt;Year&gt;2021&lt;/Year&gt;&lt;RecNum&gt;9101&lt;/RecNum&gt;&lt;DisplayText&gt; [1-3]&lt;/DisplayText&gt;&lt;record&gt;&lt;rec-number&gt;9101&lt;/rec-number&gt;&lt;foreign-keys&gt;&lt;key app="EN" db-id="codex-40refs" timestamp="1781575200"&gt;9101&lt;/key&gt;&lt;/foreign-keys&gt;&lt;ref-type name="Journal Article"&gt;17&lt;/ref-type&gt;&lt;contributors&gt;&lt;authors&gt;&lt;author&gt;Yang, S.&lt;/author&gt;&lt;author&gt;Zhou, J.&lt;/author&gt;&lt;author&gt;Li, D.&lt;/author&gt;&lt;/authors&gt;&lt;/contributors&gt;&lt;titles&gt;&lt;title&gt;Functions and Diseases of the Retinal Pigment Epithelium.&lt;/title&gt;&lt;secondary-title&gt;Front Pharmacol&lt;/secondary-title&gt;&lt;/titles&gt;&lt;periodical&gt;&lt;full-title&gt;Frontiers in pharmacology&lt;/full-title&gt;&lt;/periodical&gt;&lt;pages&gt;727870&lt;/pages&gt;&lt;volume&gt;12&lt;/volume&gt;&lt;number&gt;&lt;/number&gt;&lt;dates&gt;&lt;year&gt;2021&lt;/year&gt;&lt;/dates&gt;&lt;isbn&gt;&lt;/isbn&gt;&lt;accession-num&gt;34393803&lt;/accession-num&gt;&lt;urls&gt;&lt;/urls&gt;&lt;custom2&gt;PMC7333185&lt;/custom2&gt;&lt;electronic-resource-num&gt;10.3389/fphar.2020.00977&lt;/electronic-resource-num&gt;&lt;remote-database-provider&gt;NLM&lt;/remote-database-provider&gt;&lt;language&gt;eng&lt;/language&gt;&lt;/record&gt;&lt;/Cite&gt;&lt;Cite&gt;&lt;Author&gt;Strauss&lt;/Author&gt;&lt;Year&gt;2005&lt;/Year&gt;&lt;RecNum&gt;9102&lt;/RecNum&gt;&lt;DisplayText&gt; [1-3]&lt;/DisplayText&gt;&lt;record&gt;&lt;rec-number&gt;9102&lt;/rec-number&gt;&lt;foreign-keys&gt;&lt;key app="EN" db-id="codex-40refs" timestamp="1781575200"&gt;9102&lt;/key&gt;&lt;/foreign-keys&gt;&lt;ref-type name="Journal Article"&gt;17&lt;/ref-type&gt;&lt;contributors&gt;&lt;authors&gt;&lt;author&gt;Strauss, O.&lt;/author&gt;&lt;/authors&gt;&lt;/contributors&gt;&lt;titles&gt;&lt;title&gt;The retinal pigment epithelium in visual function.&lt;/title&gt;&lt;secondary-title&gt;Physiol Rev&lt;/secondary-title&gt;&lt;/titles&gt;&lt;periodical&gt;&lt;full-title&gt;Physiological reviews&lt;/full-title&gt;&lt;/periodical&gt;&lt;pages&gt;845-81&lt;/pages&gt;&lt;volume&gt;85&lt;/volume&gt;&lt;number&gt;3&lt;/number&gt;&lt;dates&gt;&lt;year&gt;2005&lt;/year&gt;&lt;/dates&gt;&lt;isbn&gt;&lt;/isbn&gt;&lt;accession-num&gt;15987797&lt;/accession-num&gt;&lt;urls&gt;&lt;/urls&gt;&lt;custom2&gt;&lt;/custom2&gt;&lt;electronic-resource-num&gt;10.1152/physrev.00021.2004&lt;/electronic-resource-num&gt;&lt;remote-database-provider&gt;NLM&lt;/remote-database-provider&gt;&lt;language&gt;eng&lt;/language&gt;&lt;/record&gt;&lt;/Cite&gt;&lt;Cite&gt;&lt;Author&gt;Caceres&lt;/Author&gt;&lt;Year&gt;2020&lt;/Year&gt;&lt;RecNum&gt;9103&lt;/RecNum&gt;&lt;DisplayText&gt; [1-3]&lt;/DisplayText&gt;&lt;record&gt;&lt;rec-number&gt;9103&lt;/rec-number&gt;&lt;foreign-keys&gt;&lt;key app="EN" db-id="codex-40refs" timestamp="1781575200"&gt;9103&lt;/key&gt;&lt;/foreign-keys&gt;&lt;ref-type name="Journal Article"&gt;17&lt;/ref-type&gt;&lt;contributors&gt;&lt;authors&gt;&lt;author&gt;Caceres, PS.&lt;/author&gt;&lt;author&gt;Rodriguez-Boulan, E.&lt;/author&gt;&lt;/authors&gt;&lt;/contributors&gt;&lt;titles&gt;&lt;title&gt;Retinal pigment epithelium polarity in health and blinding diseases.&lt;/title&gt;&lt;secondary-title&gt;Curr Opin Cell Biol&lt;/secondary-title&gt;&lt;/titles&gt;&lt;periodical&gt;&lt;full-title&gt;Current opinion in cell biology&lt;/full-title&gt;&lt;/periodical&gt;&lt;pages&gt;37-45&lt;/pages&gt;&lt;volume&gt;62&lt;/volume&gt;&lt;number&gt;&lt;/number&gt;&lt;dates&gt;&lt;year&gt;2020&lt;/year&gt;&lt;/dates&gt;&lt;isbn&gt;&lt;/isbn&gt;&lt;accession-num&gt;31518914&lt;/accession-num&gt;&lt;urls&gt;&lt;/urls&gt;&lt;custom2&gt;PMC8785602&lt;/custom2&gt;&lt;electronic-resource-num&gt;10.1016/j.ceb.2019.08.001&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[1-3]</w:t>
      </w:r>
      <w:r>
        <w:rPr>
          <w:rFonts w:ascii="Times New Roman" w:hAnsi="Times New Roman" w:cs="Times New Roman"/>
        </w:rPr>
        <w:fldChar w:fldCharType="end"/>
      </w:r>
      <w:r w:rsidRPr="00FD78CA">
        <w:rPr>
          <w:rFonts w:ascii="Times New Roman" w:hAnsi="Times New Roman" w:cs="Times New Roman"/>
        </w:rPr>
        <w:t>. Because RPE cells are metabolically active and are located at the interface between photoreceptors and the choroidal circulation, they are highly sensitive to pathological disturbances in oxygen supply and redox balance. Under ischemic, inflammatory, or degenerative retinal conditions, hypoxia-related and oxidative stress can impair RPE repair capacity, mitochondrial homeostasis, and barrier-associated functions, thereby contributing to retinal injury progression and pro-angiogenic signaling</w:t>
      </w:r>
      <w:r>
        <w:rPr>
          <w:rFonts w:ascii="Times New Roman" w:hAnsi="Times New Roman" w:cs="Times New Roman"/>
        </w:rPr>
        <w:fldChar w:fldCharType="begin"/>
      </w:r>
      <w:r>
        <w:rPr>
          <w:rFonts w:ascii="Times New Roman" w:hAnsi="Times New Roman" w:cs="Times New Roman"/>
        </w:rPr>
        <w:instrText xml:space="preserve"> ADDIN EN.CITE &lt;EndNote&gt;&lt;Cite&gt;&lt;Author&gt;Markitantova&lt;/Author&gt;&lt;Year&gt;2025&lt;/Year&gt;&lt;RecNum&gt;9104&lt;/RecNum&gt;&lt;DisplayText&gt; [4-6]&lt;/DisplayText&gt;&lt;record&gt;&lt;rec-number&gt;9104&lt;/rec-number&gt;&lt;foreign-keys&gt;&lt;key app="EN" db-id="codex-40refs" timestamp="1781575200"&gt;9104&lt;/key&gt;&lt;/foreign-keys&gt;&lt;ref-type name="Journal Article"&gt;17&lt;/ref-type&gt;&lt;contributors&gt;&lt;authors&gt;&lt;author&gt;Markitantova, Y.&lt;/author&gt;&lt;author&gt;Simirskii, V.&lt;/author&gt;&lt;/authors&gt;&lt;/contributors&gt;&lt;titles&gt;&lt;title&gt;Retinal Pigment Epithelium Under Oxidative Stress: Chaperoning Autophagy and Beyond.&lt;/title&gt;&lt;secondary-title&gt;Int J Mol Sci&lt;/secondary-title&gt;&lt;/titles&gt;&lt;periodical&gt;&lt;full-title&gt;International journal of molecular sciences&lt;/full-title&gt;&lt;/periodical&gt;&lt;pages&gt;1193&lt;/pages&gt;&lt;volume&gt;26&lt;/volume&gt;&lt;number&gt;3&lt;/number&gt;&lt;dates&gt;&lt;year&gt;2025&lt;/year&gt;&lt;/dates&gt;&lt;isbn&gt;&lt;/isbn&gt;&lt;accession-num&gt;39940964&lt;/accession-num&gt;&lt;urls&gt;&lt;/urls&gt;&lt;custom2&gt;PMC4382267&lt;/custom2&gt;&lt;electronic-resource-num&gt;10.1172/JCI73938&lt;/electronic-resource-num&gt;&lt;remote-database-provider&gt;NLM&lt;/remote-database-provider&gt;&lt;language&gt;eng&lt;/language&gt;&lt;/record&gt;&lt;/Cite&gt;&lt;Cite&gt;&lt;Author&gt;Kulbay&lt;/Author&gt;&lt;Year&gt;2024&lt;/Year&gt;&lt;RecNum&gt;9105&lt;/RecNum&gt;&lt;DisplayText&gt; [4-6]&lt;/DisplayText&gt;&lt;record&gt;&lt;rec-number&gt;9105&lt;/rec-number&gt;&lt;foreign-keys&gt;&lt;key app="EN" db-id="codex-40refs" timestamp="1781575200"&gt;9105&lt;/key&gt;&lt;/foreign-keys&gt;&lt;ref-type name="Journal Article"&gt;17&lt;/ref-type&gt;&lt;contributors&gt;&lt;authors&gt;&lt;author&gt;Kulbay, M.&lt;/author&gt;&lt;author&gt;Wu, KY.&lt;/author&gt;&lt;author&gt;Nirwal, GK.&lt;/author&gt;&lt;author&gt;Bélanger, P.&lt;/author&gt;&lt;author&gt;Tran, SD.&lt;/author&gt;&lt;/authors&gt;&lt;/contributors&gt;&lt;titles&gt;&lt;title&gt;The Role of Reactive Oxygen Species in Age-Related Macular Degeneration: A Comprehensive Review of Antioxidant Therapies.&lt;/title&gt;&lt;secondary-title&gt;Biomedicines&lt;/secondary-title&gt;&lt;/titles&gt;&lt;periodical&gt;&lt;full-title&gt;Biomedicines&lt;/full-title&gt;&lt;/periodical&gt;&lt;pages&gt;1579&lt;/pages&gt;&lt;volume&gt;12&lt;/volume&gt;&lt;number&gt;7&lt;/number&gt;&lt;dates&gt;&lt;year&gt;2024&lt;/year&gt;&lt;/dates&gt;&lt;isbn&gt;&lt;/isbn&gt;&lt;accession-num&gt;39062152&lt;/accession-num&gt;&lt;urls&gt;&lt;/urls&gt;&lt;custom2&gt;PMC6708448&lt;/custom2&gt;&lt;electronic-resource-num&gt;10.1016/j.drudis.2019.05.035&lt;/electronic-resource-num&gt;&lt;remote-database-provider&gt;NLM&lt;/remote-database-provider&gt;&lt;language&gt;eng&lt;/language&gt;&lt;/record&gt;&lt;/Cite&gt;&lt;Cite&gt;&lt;Author&gt;Zhang&lt;/Author&gt;&lt;Year&gt;2023&lt;/Year&gt;&lt;RecNum&gt;9106&lt;/RecNum&gt;&lt;DisplayText&gt; [4-6]&lt;/DisplayText&gt;&lt;record&gt;&lt;rec-number&gt;9106&lt;/rec-number&gt;&lt;foreign-keys&gt;&lt;key app="EN" db-id="codex-40refs" timestamp="1781575200"&gt;9106&lt;/key&gt;&lt;/foreign-keys&gt;&lt;ref-type name="Journal Article"&gt;17&lt;/ref-type&gt;&lt;contributors&gt;&lt;authors&gt;&lt;author&gt;Zhang, SM.&lt;/author&gt;&lt;author&gt;Fan, B.&lt;/author&gt;&lt;author&gt;Li, YL.&lt;/author&gt;&lt;author&gt;Zuo, ZY.&lt;/author&gt;&lt;author&gt;Li, GY.&lt;/author&gt;&lt;/authors&gt;&lt;/contributors&gt;&lt;titles&gt;&lt;title&gt;Oxidative Stress-Involved Mitophagy of Retinal Pigment Epithelium and Retinal Degenerative Diseases.&lt;/title&gt;&lt;secondary-title&gt;Cell Mol Neurobiol&lt;/secondary-title&gt;&lt;/titles&gt;&lt;periodical&gt;&lt;full-title&gt;Cellular and molecular neurobiology&lt;/full-title&gt;&lt;/periodical&gt;&lt;pages&gt;3265-3276&lt;/pages&gt;&lt;volume&gt;43&lt;/volume&gt;&lt;number&gt;7&lt;/number&gt;&lt;dates&gt;&lt;year&gt;2023&lt;/year&gt;&lt;/dates&gt;&lt;isbn&gt;&lt;/isbn&gt;&lt;accession-num&gt;37391574&lt;/accession-num&gt;&lt;urls&gt;&lt;/urls&gt;&lt;custom2&gt;PMC6468581&lt;/custom2&gt;&lt;electronic-resource-num&gt;10.3390/cells8030213&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[4-6]</w:t>
      </w:r>
      <w:r>
        <w:rPr>
          <w:rFonts w:ascii="Times New Roman" w:hAnsi="Times New Roman" w:cs="Times New Roman"/>
        </w:rPr>
        <w:fldChar w:fldCharType="end"/>
      </w:r>
      <w:r>
        <w:rPr>
          <w:rFonts w:ascii="Times New Roman" w:hAnsi="Times New Roman" w:cs="Times New Roman"/>
        </w:rPr>
        <w:t>.</w:t>
      </w:r>
    </w:p>
    <w:p w14:paraId="5B2B8E1D" w14:textId="77777777" w:rsidR="00FD78CA" w:rsidRPr="00FD78CA" w:rsidRDefault="00FD78CA" w:rsidP="00FD78CA">
      <w:pPr>
        <w:jc w:val="both"/>
        <w:rPr>
          <w:rFonts w:ascii="Times New Roman" w:hAnsi="Times New Roman" w:cs="Times New Roman"/>
        </w:rPr>
      </w:pPr>
      <w:r w:rsidRPr="00FD78CA">
        <w:rPr>
          <w:rFonts w:ascii="Times New Roman" w:hAnsi="Times New Roman" w:cs="Times New Roman"/>
        </w:rPr>
        <w:t>Cobalt chloride (CoCl₂) is widely used as a chemical hypoxia mimetic in cell-based studies</w:t>
      </w:r>
      <w:r>
        <w:rPr>
          <w:rFonts w:ascii="Times New Roman" w:hAnsi="Times New Roman" w:cs="Times New Roman"/>
        </w:rPr>
        <w:fldChar w:fldCharType="begin"/>
      </w:r>
      <w:r>
        <w:rPr>
          <w:rFonts w:ascii="Times New Roman" w:hAnsi="Times New Roman" w:cs="Times New Roman"/>
        </w:rPr>
        <w:instrText xml:space="preserve"> ADDIN EN.CITE &lt;EndNote&gt;&lt;Cite&gt;&lt;Author&gt;Muñoz-Sánchez&lt;/Author&gt;&lt;Year&gt;2019&lt;/Year&gt;&lt;RecNum&gt;9107&lt;/RecNum&gt;&lt;DisplayText&gt; [7,8]&lt;/DisplayText&gt;&lt;record&gt;&lt;rec-number&gt;9107&lt;/rec-number&gt;&lt;foreign-keys&gt;&lt;key app="EN" db-id="codex-40refs" timestamp="1781575200"&gt;9107&lt;/key&gt;&lt;/foreign-keys&gt;&lt;ref-type name="Journal Article"&gt;17&lt;/ref-type&gt;&lt;contributors&gt;&lt;authors&gt;&lt;author&gt;Muñoz-Sánchez, J.&lt;/author&gt;&lt;author&gt;Chánez-Cárdenas, ME.&lt;/author&gt;&lt;/authors&gt;&lt;/contributors&gt;&lt;titles&gt;&lt;title&gt;The use of cobalt chloride as a chemical hypoxia model.&lt;/title&gt;&lt;secondary-title&gt;J Appl Toxicol&lt;/secondary-title&gt;&lt;/titles&gt;&lt;periodical&gt;&lt;full-title&gt;Journal of applied toxicology : JAT&lt;/full-title&gt;&lt;/periodical&gt;&lt;pages&gt;556-570&lt;/pages&gt;&lt;volume&gt;39&lt;/volume&gt;&lt;number&gt;4&lt;/number&gt;&lt;dates&gt;&lt;year&gt;2019&lt;/year&gt;&lt;/dates&gt;&lt;isbn&gt;&lt;/isbn&gt;&lt;accession-num&gt;30484873&lt;/accession-num&gt;&lt;urls&gt;&lt;/urls&gt;&lt;custom2&gt;&lt;/custom2&gt;&lt;electronic-resource-num&gt;10.1002/jat.3749&lt;/electronic-resource-num&gt;&lt;remote-database-provider&gt;NLM&lt;/remote-database-provider&gt;&lt;language&gt;eng&lt;/language&gt;&lt;/record&gt;&lt;/Cite&gt;&lt;Cite&gt;&lt;Author&gt;Nowak-Stępniowska&lt;/Author&gt;&lt;Year&gt;2022&lt;/Year&gt;&lt;RecNum&gt;9108&lt;/RecNum&gt;&lt;DisplayText&gt; [7,8]&lt;/DisplayText&gt;&lt;record&gt;&lt;rec-number&gt;9108&lt;/rec-number&gt;&lt;foreign-keys&gt;&lt;key app="EN" db-id="codex-40refs" timestamp="1781575200"&gt;9108&lt;/key&gt;&lt;/foreign-keys&gt;&lt;ref-type name="Journal Article"&gt;17&lt;/ref-type&gt;&lt;contributors&gt;&lt;authors&gt;&lt;author&gt;Nowak-Stępniowska, A.&lt;/author&gt;&lt;author&gt;Osuchowska, PN.&lt;/author&gt;&lt;author&gt;Fiedorowicz, H.&lt;/author&gt;&lt;author&gt;Trafny, EA.&lt;/author&gt;&lt;/authors&gt;&lt;/contributors&gt;&lt;titles&gt;&lt;title&gt;Insight in Hypoxia-Mimetic Agents as Potential Tools for Mesenchymal Stem Cell Priming in Regenerative Medicine.&lt;/title&gt;&lt;secondary-title&gt;Stem Cells Int&lt;/secondary-title&gt;&lt;/titles&gt;&lt;periodical&gt;&lt;full-title&gt;Stem cells international&lt;/full-title&gt;&lt;/periodical&gt;&lt;pages&gt;8775591&lt;/pages&gt;&lt;volume&gt;2022&lt;/volume&gt;&lt;number&gt;&lt;/number&gt;&lt;dates&gt;&lt;year&gt;2022&lt;/year&gt;&lt;/dates&gt;&lt;isbn&gt;&lt;/isbn&gt;&lt;accession-num&gt;35378955&lt;/accession-num&gt;&lt;urls&gt;&lt;/urls&gt;&lt;custom2&gt;PMC1855077&lt;/custom2&gt;&lt;electronic-resource-num&gt;10.1371/journal.pone.0000416&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[7,8]</w:t>
      </w:r>
      <w:r>
        <w:rPr>
          <w:rFonts w:ascii="Times New Roman" w:hAnsi="Times New Roman" w:cs="Times New Roman"/>
        </w:rPr>
        <w:fldChar w:fldCharType="end"/>
      </w:r>
      <w:r>
        <w:rPr>
          <w:rFonts w:ascii="Times New Roman" w:hAnsi="Times New Roman" w:cs="Times New Roman"/>
        </w:rPr>
        <w:t>. By inducing a cellular hypoxia-like state and activating HIF-associated responses, CoCl₂ provides a useful experimental tool for modeling hypoxia-related cellular injury. However, the biological effects of CoCl₂ are influenced by concentration, exposure duration, cell density, and cell type. In RPE cells, different CoCl₂ exposure conditions may produce distinct phenotypes, ranging from relatively adaptive stress responses to overt cellular injury</w:t>
      </w:r>
      <w:r>
        <w:rPr>
          <w:rFonts w:ascii="Times New Roman" w:hAnsi="Times New Roman" w:cs="Times New Roman"/>
        </w:rPr>
        <w:fldChar w:fldCharType="begin"/>
      </w:r>
      <w:r>
        <w:rPr>
          <w:rFonts w:ascii="Times New Roman" w:hAnsi="Times New Roman" w:cs="Times New Roman"/>
        </w:rPr>
        <w:instrText xml:space="preserve"> ADDIN EN.CITE &lt;EndNote&gt;&lt;Cite&gt;&lt;Author&gt;Toragall&lt;/Author&gt;&lt;Year&gt;2023&lt;/Year&gt;&lt;RecNum&gt;9109&lt;/RecNum&gt;&lt;DisplayText&gt; [9-11]&lt;/DisplayText&gt;&lt;record&gt;&lt;rec-number&gt;9109&lt;/rec-number&gt;&lt;foreign-keys&gt;&lt;key app="EN" db-id="codex-40refs" timestamp="1781575200"&gt;9109&lt;/key&gt;&lt;/foreign-keys&gt;&lt;ref-type name="Journal Article"&gt;17&lt;/ref-type&gt;&lt;contributors&gt;&lt;authors&gt;&lt;author&gt;Toragall, V.&lt;/author&gt;&lt;author&gt;Muzaffar, JC.&lt;/author&gt;&lt;author&gt;Baskaran, V.&lt;/author&gt;&lt;/authors&gt;&lt;/contributors&gt;&lt;titles&gt;&lt;title&gt;Lutein loaded double-layered polymer nanocarrier modulate H2O2 and CoCl2 induced oxidative and hypoxia damage and angiogenic markers in ARPE-19 cells.&lt;/title&gt;&lt;secondary-title&gt;Int J Biol Macromol&lt;/secondary-title&gt;&lt;/titles&gt;&lt;periodical&gt;&lt;full-title&gt;International journal of biological macromolecules&lt;/full-title&gt;&lt;/periodical&gt;&lt;pages&gt;124378&lt;/pages&gt;&lt;volume&gt;240&lt;/volume&gt;&lt;number&gt;&lt;/number&gt;&lt;dates&gt;&lt;year&gt;2023&lt;/year&gt;&lt;/dates&gt;&lt;isbn&gt;&lt;/isbn&gt;&lt;accession-num&gt;37030468&lt;/accession-num&gt;&lt;urls&gt;&lt;/urls&gt;&lt;custom2&gt;&lt;/custom2&gt;&lt;electronic-resource-num&gt;10.1016/j.ijbiomac.2023.124378&lt;/electronic-resource-num&gt;&lt;remote-database-provider&gt;NLM&lt;/remote-database-provider&gt;&lt;language&gt;eng&lt;/language&gt;&lt;/record&gt;&lt;/Cite&gt;&lt;Cite&gt;&lt;Author&gt;Yang&lt;/Author&gt;&lt;Year&gt;2025&lt;/Year&gt;&lt;RecNum&gt;9110&lt;/RecNum&gt;&lt;DisplayText&gt; [9-11]&lt;/DisplayText&gt;&lt;record&gt;&lt;rec-number&gt;9110&lt;/rec-number&gt;&lt;foreign-keys&gt;&lt;key app="EN" db-id="codex-40refs" timestamp="1781575200"&gt;9110&lt;/key&gt;&lt;/foreign-keys&gt;&lt;ref-type name="Journal Article"&gt;17&lt;/ref-type&gt;&lt;contributors&gt;&lt;authors&gt;&lt;author&gt;Yang, Y.&lt;/author&gt;&lt;author&gt;Liu, M.&lt;/author&gt;&lt;author&gt;Dong, X.&lt;/author&gt;&lt;author&gt;Bai, J.&lt;/author&gt;&lt;author&gt;Shi, W.&lt;/author&gt;&lt;author&gt;Zhu, Q.&lt;/author&gt;&lt;author&gt;Liu, J.&lt;/author&gt;&lt;author&gt;Wang, Z.&lt;/author&gt;&lt;author&gt;Yi, L.&lt;/author&gt;&lt;author&gt;Yin, X.&lt;/author&gt;&lt;author&gt;Ni, J.&lt;/author&gt;&lt;author&gt;Qu, C.&lt;/author&gt;&lt;/authors&gt;&lt;/contributors&gt;&lt;titles&gt;&lt;title&gt;Naringin Suppresses CoCl2-Induced Ferroptosis in ARPE-19 Cells.&lt;/title&gt;&lt;secondary-title&gt;Antioxidants (Basel)&lt;/secondary-title&gt;&lt;/titles&gt;&lt;periodical&gt;&lt;full-title&gt;Antioxidants (Basel, Switzerland)&lt;/full-title&gt;&lt;/periodical&gt;&lt;pages&gt;236&lt;/pages&gt;&lt;volume&gt;14&lt;/volume&gt;&lt;number&gt;2&lt;/number&gt;&lt;dates&gt;&lt;year&gt;2025&lt;/year&gt;&lt;/dates&gt;&lt;isbn&gt;&lt;/isbn&gt;&lt;accession-num&gt;40002420&lt;/accession-num&gt;&lt;urls&gt;&lt;/urls&gt;&lt;custom2&gt;PMC9192632&lt;/custom2&gt;&lt;electronic-resource-num&gt;10.1038/s41419-022-04997-1&lt;/electronic-resource-num&gt;&lt;remote-database-provider&gt;NLM&lt;/remote-database-provider&gt;&lt;language&gt;eng&lt;/language&gt;&lt;/record&gt;&lt;/Cite&gt;&lt;Cite&gt;&lt;Author&gt;Henning&lt;/Author&gt;&lt;Year&gt;2022&lt;/Year&gt;&lt;RecNum&gt;9111&lt;/RecNum&gt;&lt;DisplayText&gt; [9-11]&lt;/DisplayText&gt;&lt;record&gt;&lt;rec-number&gt;9111&lt;/rec-number&gt;&lt;foreign-keys&gt;&lt;key app="EN" db-id="codex-40refs" timestamp="1781575200"&gt;9111&lt;/key&gt;&lt;/foreign-keys&gt;&lt;ref-type name="Journal Article"&gt;17&lt;/ref-type&gt;&lt;contributors&gt;&lt;authors&gt;&lt;author&gt;Henning, Y.&lt;/author&gt;&lt;author&gt;Blind, US.&lt;/author&gt;&lt;author&gt;Larafa, S.&lt;/author&gt;&lt;author&gt;Matschke, J.&lt;/author&gt;&lt;author&gt;Fandrey, J.&lt;/author&gt;&lt;/authors&gt;&lt;/contributors&gt;&lt;titles&gt;&lt;title&gt;Hypoxia aggravates ferroptosis in RPE cells by promoting the Fenton reaction.&lt;/title&gt;&lt;secondary-title&gt;Cell Death Dis&lt;/secondary-title&gt;&lt;/titles&gt;&lt;periodical&gt;&lt;full-title&gt;Cell death &amp;amp; disease&lt;/full-title&gt;&lt;/periodical&gt;&lt;pages&gt;662&lt;/pages&gt;&lt;volume&gt;13&lt;/volume&gt;&lt;number&gt;7&lt;/number&gt;&lt;dates&gt;&lt;year&gt;2022&lt;/year&gt;&lt;/dates&gt;&lt;isbn&gt;&lt;/isbn&gt;&lt;accession-num&gt;35906211&lt;/accession-num&gt;&lt;urls&gt;&lt;/urls&gt;&lt;custom2&gt;PMC2665187&lt;/custom2&gt;&lt;electronic-resource-num&gt;10.1167/iovs.08-2545&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[9-11]</w:t>
      </w:r>
      <w:r>
        <w:rPr>
          <w:rFonts w:ascii="Times New Roman" w:hAnsi="Times New Roman" w:cs="Times New Roman"/>
        </w:rPr>
        <w:fldChar w:fldCharType="end"/>
      </w:r>
      <w:r>
        <w:rPr>
          <w:rFonts w:ascii="Times New Roman" w:hAnsi="Times New Roman" w:cs="Times New Roman"/>
        </w:rPr>
        <w:t>. A concentration-resolved CoCl₂ model can therefore help define an appropriate injury window and provide a controlled background for evaluating downstream molecular changes and pharmacological modulation.</w:t>
      </w:r>
    </w:p>
    <w:p w14:paraId="30F7C5D4" w14:textId="77777777" w:rsidR="00FD78CA" w:rsidRPr="00FD78CA" w:rsidRDefault="00FD78CA" w:rsidP="00FD78CA">
      <w:pPr>
        <w:jc w:val="both"/>
        <w:rPr>
          <w:rFonts w:ascii="Times New Roman" w:hAnsi="Times New Roman" w:cs="Times New Roman"/>
        </w:rPr>
      </w:pPr>
      <w:r w:rsidRPr="00C119A5">
        <w:rPr>
          <w:rFonts w:ascii="Times New Roman" w:hAnsi="Times New Roman" w:cs="Times New Roman"/>
        </w:rPr>
        <w:t>Hypoxia-related and oxidative stress are closely linked to lipid peroxidation and reactive aldehyde accumulation</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&lt;EndNote&gt;&lt;Cite&gt;&lt;Author&gt;Wang&lt;/Author&gt;&lt;Year&gt;2023&lt;/Year&gt;&lt;RecNum&gt;9112&lt;/RecNum&gt;&lt;DisplayText&gt; [12-15]&lt;/DisplayText&gt;&lt;record&gt;&lt;rec-number&gt;9112&lt;/rec-number&gt;&lt;foreign-keys&gt;&lt;key app="EN" db-id="codex-40refs" timestamp="1781575200"&gt;9112&lt;/key&gt;&lt;/foreign-keys&gt;&lt;ref-type name="Journal Article"&gt;17&lt;/ref-type&gt;&lt;contributors&gt;&lt;authors&gt;&lt;author&gt;Wang, B.&lt;/author&gt;&lt;author&gt;Wang, Y.&lt;/author&gt;&lt;author&gt;Zhang, J.&lt;/author&gt;&lt;author&gt;Hu, C.&lt;/author&gt;&lt;author&gt;Jiang, J.&lt;/author&gt;&lt;author&gt;Li, Y.&lt;/author&gt;&lt;author&gt;Peng, Z.&lt;/author&gt;&lt;/authors&gt;&lt;/contributors&gt;&lt;titles&gt;&lt;title&gt;ROS-induced lipid peroxidation modulates cell death outcome: mechanisms behind apoptosis, autophagy, and ferroptosis.&lt;/title&gt;&lt;secondary-title&gt;Arch Toxicol&lt;/secondary-title&gt;&lt;/titles&gt;&lt;periodical&gt;&lt;full-title&gt;Archives of toxicology&lt;/full-title&gt;&lt;/periodical&gt;&lt;pages&gt;1439-1451&lt;/pages&gt;&lt;volume&gt;97&lt;/volume&gt;&lt;number&gt;6&lt;/number&gt;&lt;dates&gt;&lt;year&gt;2023&lt;/year&gt;&lt;/dates&gt;&lt;isbn&gt;&lt;/isbn&gt;&lt;accession-num&gt;37127681&lt;/accession-num&gt;&lt;urls&gt;&lt;/urls&gt;&lt;custom2&gt;4167050&lt;/custom2&gt;&lt;electronic-resource-num&gt;10.1016/j.semcancer.2019.03.002&lt;/electronic-resource-num&gt;&lt;remote-database-provider&gt;NLM&lt;/remote-database-provider&gt;&lt;language&gt;eng&lt;/language&gt;&lt;/record&gt;&lt;/Cite&gt;&lt;Cite&gt;&lt;Author&gt;Ayala&lt;/Author&gt;&lt;Year&gt;2014&lt;/Year&gt;&lt;RecNum&gt;9113&lt;/RecNum&gt;&lt;DisplayText&gt; [12-15]&lt;/DisplayText&gt;&lt;record&gt;&lt;rec-number&gt;9113&lt;/rec-number&gt;&lt;foreign-keys&gt;&lt;key app="EN" db-id="codex-40refs" timestamp="1781575200"&gt;9113&lt;/key&gt;&lt;/foreign-keys&gt;&lt;ref-type name="Journal Article"&gt;17&lt;/ref-type&gt;&lt;contributors&gt;&lt;authors&gt;&lt;author&gt;Ayala, A.&lt;/author&gt;&lt;author&gt;Muñoz, MF.&lt;/author&gt;&lt;author&gt;Argüelles, S.&lt;/author&gt;&lt;/authors&gt;&lt;/contributors&gt;&lt;titles&gt;&lt;title&gt;Lipid peroxidation: production, metabolism, and signaling mechanisms of malondialdehyde and 4-hydroxy-2-nonenal.&lt;/title&gt;&lt;secondary-title&gt;Oxid Med Cell Longev&lt;/secondary-title&gt;&lt;/titles&gt;&lt;periodical&gt;&lt;full-title&gt;Oxidative medicine and cellular longevity&lt;/full-title&gt;&lt;/periodical&gt;&lt;pages&gt;360438&lt;/pages&gt;&lt;volume&gt;2014&lt;/volume&gt;&lt;number&gt;&lt;/number&gt;&lt;dates&gt;&lt;year&gt;2014&lt;/year&gt;&lt;/dates&gt;&lt;isbn&gt;&lt;/isbn&gt;&lt;accession-num&gt;24999379&lt;/accession-num&gt;&lt;urls&gt;&lt;/urls&gt;&lt;custom2&gt;PMC3625229&lt;/custom2&gt;&lt;electronic-resource-num&gt;10.1155/2014/360438&lt;/electronic-resource-num&gt;&lt;remote-database-provider&gt;NLM&lt;/remote-database-provider&gt;&lt;language&gt;eng&lt;/language&gt;&lt;/record&gt;&lt;/Cite&gt;&lt;Cite&gt;&lt;Author&gt;Barrera&lt;/Author&gt;&lt;Year&gt;2018&lt;/Year&gt;&lt;RecNum&gt;9114&lt;/RecNum&gt;&lt;DisplayText&gt; [12-15]&lt;/DisplayText&gt;&lt;record&gt;&lt;rec-number&gt;9114&lt;/rec-number&gt;&lt;foreign-keys&gt;&lt;key app="EN" db-id="codex-40refs" timestamp="1781575200"&gt;9114&lt;/key&gt;&lt;/foreign-keys&gt;&lt;ref-type name="Journal Article"&gt;17&lt;/ref-type&gt;&lt;contributors&gt;&lt;authors&gt;&lt;author&gt;Barrera, G.&lt;/author&gt;&lt;author&gt;Pizzimenti, S.&lt;/author&gt;&lt;author&gt;Daga, M.&lt;/author&gt;&lt;author&gt;Dianzani, C.&lt;/author&gt;&lt;author&gt;Arcaro, A.&lt;/author&gt;&lt;author&gt;Cetrangolo, GP.&lt;/author&gt;&lt;author&gt;Giordano, G.&lt;/author&gt;&lt;author&gt;Cucci, MA.&lt;/author&gt;&lt;author&gt;Graf, M.&lt;/author&gt;&lt;author&gt;Gentile, F.&lt;/author&gt;&lt;/authors&gt;&lt;/contributors&gt;&lt;titles&gt;&lt;title&gt;Lipid Peroxidation-Derived Aldehydes, 4-Hydroxynonenal and Malondialdehyde in Aging-Related Disorders.&lt;/title&gt;&lt;secondary-title&gt;Antioxidants (Basel)&lt;/secondary-title&gt;&lt;/titles&gt;&lt;periodical&gt;&lt;full-title&gt;Antioxidants (Basel, Switzerland)&lt;/full-title&gt;&lt;/periodical&gt;&lt;pages&gt;102&lt;/pages&gt;&lt;volume&gt;7&lt;/volume&gt;&lt;number&gt;8&lt;/number&gt;&lt;dates&gt;&lt;year&gt;2018&lt;/year&gt;&lt;/dates&gt;&lt;isbn&gt;&lt;/isbn&gt;&lt;accession-num&gt;30061536&lt;/accession-num&gt;&lt;urls&gt;&lt;/urls&gt;&lt;custom2&gt;PMC3549369&lt;/custom2&gt;&lt;electronic-resource-num&gt;10.1155/2012/670294&lt;/electronic-resource-num&gt;&lt;remote-database-provider&gt;NLM&lt;/remote-database-provider&gt;&lt;language&gt;eng&lt;/language&gt;&lt;/record&gt;&lt;/Cite&gt;&lt;Cite&gt;&lt;Author&gt;Breitzig&lt;/Author&gt;&lt;Year&gt;2016&lt;/Year&gt;&lt;RecNum&gt;9115&lt;/RecNum&gt;&lt;DisplayText&gt; [12-15]&lt;/DisplayText&gt;&lt;record&gt;&lt;rec-number&gt;9115&lt;/rec-number&gt;&lt;foreign-keys&gt;&lt;key app="EN" db-id="codex-40refs" timestamp="1781575200"&gt;9115&lt;/key&gt;&lt;/foreign-keys&gt;&lt;ref-type name="Journal Article"&gt;17&lt;/ref-type&gt;&lt;contributors&gt;&lt;authors&gt;&lt;author&gt;Breitzig, M.&lt;/author&gt;&lt;author&gt;Bhimineni, C.&lt;/author&gt;&lt;author&gt;Lockey, R.&lt;/author&gt;&lt;author&gt;Kolliputi, N.&lt;/author&gt;&lt;/authors&gt;&lt;/contributors&gt;&lt;titles&gt;&lt;title&gt;4-Hydroxy-2-nonenal: a critical target in oxidative stress?&lt;/title&gt;&lt;secondary-title&gt;Am J Physiol Cell Physiol&lt;/secondary-title&gt;&lt;/titles&gt;&lt;periodical&gt;&lt;full-title&gt;American journal of physiology. Cell physiology&lt;/full-title&gt;&lt;/periodical&gt;&lt;pages&gt;C537-C543&lt;/pages&gt;&lt;volume&gt;311&lt;/volume&gt;&lt;number&gt;4&lt;/number&gt;&lt;dates&gt;&lt;year&gt;2016&lt;/year&gt;&lt;/dates&gt;&lt;isbn&gt;&lt;/isbn&gt;&lt;accession-num&gt;27385721&lt;/accession-num&gt;&lt;urls&gt;&lt;/urls&gt;&lt;custom2&gt;PMC4803793&lt;/custom2&gt;&lt;electronic-resource-num&gt;10.1152/ajpcell.00101.2016&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[12-15]</w:t>
      </w:r>
      <w:r w:rsidRPr="00C119A5">
        <w:rPr>
          <w:rFonts w:ascii="Times New Roman" w:hAnsi="Times New Roman" w:cs="Times New Roman"/>
        </w:rPr>
        <w:fldChar w:fldCharType="end"/>
      </w:r>
      <w:r w:rsidRPr="00C119A5">
        <w:rPr>
          <w:rFonts w:ascii="Times New Roman" w:hAnsi="Times New Roman" w:cs="Times New Roman"/>
        </w:rPr>
        <w:t>. Among these aldehyde products, 4-hydroxynonenal (4-HNE) is a representative lipid p</w:t>
      </w:r>
      <w:r w:rsidRPr="00FD78CA">
        <w:rPr>
          <w:rFonts w:ascii="Times New Roman" w:hAnsi="Times New Roman" w:cs="Times New Roman"/>
        </w:rPr>
        <w:t>eroxidation-derived mediator that can modify proteins, disturb mitochondrial function, and amplify cellular injury. ALDH2 is a mitochondrial aldehyde dehydrogenase involved in detoxifying reactive aldehydes and maintaining aldehyde-handling capacity under stress</w:t>
      </w:r>
      <w:r>
        <w:rPr>
          <w:rFonts w:ascii="Times New Roman" w:hAnsi="Times New Roman" w:cs="Times New Roman"/>
        </w:rPr>
        <w:fldChar w:fldCharType="begin"/>
      </w:r>
      <w:r>
        <w:rPr>
          <w:rFonts w:ascii="Times New Roman" w:hAnsi="Times New Roman" w:cs="Times New Roman"/>
        </w:rPr>
        <w:instrText xml:space="preserve"> ADDIN EN.CITE &lt;EndNote&gt;&lt;Cite&gt;&lt;Author&gt;Jin&lt;/Author&gt;&lt;Year&gt;2023&lt;/Year&gt;&lt;RecNum&gt;9116&lt;/RecNum&gt;&lt;DisplayText&gt; [16,17]&lt;/DisplayText&gt;&lt;record&gt;&lt;rec-number&gt;9116&lt;/rec-number&gt;&lt;foreign-keys&gt;&lt;key app="EN" db-id="codex-40refs" timestamp="1781575200"&gt;9116&lt;/key&gt;&lt;/foreign-keys&gt;&lt;ref-type name="Journal Article"&gt;17&lt;/ref-type&gt;&lt;contributors&gt;&lt;authors&gt;&lt;author&gt;Jin, J.&lt;/author&gt;&lt;author&gt;Chang, RS.&lt;/author&gt;&lt;author&gt;Xu, S.&lt;/author&gt;&lt;author&gt;Xia, G.&lt;/author&gt;&lt;author&gt;Wong, JMJ.&lt;/author&gt;&lt;author&gt;Fang, Y.&lt;/author&gt;&lt;author&gt;Jia, P.&lt;/author&gt;&lt;author&gt;Ding, X.&lt;/author&gt;&lt;/authors&gt;&lt;/contributors&gt;&lt;titles&gt;&lt;title&gt;Aldehyde Dehydrogenase 2 Ameliorates LPS-Induced Acute Kidney Injury through Detoxification of 4-HNE and Suppression of the MAPK Pathway.&lt;/title&gt;&lt;secondary-title&gt;J Immunol Res&lt;/secondary-title&gt;&lt;/titles&gt;&lt;periodical&gt;&lt;full-title&gt;Journal of immunology research&lt;/full-title&gt;&lt;/periodical&gt;&lt;pages&gt;5513507&lt;/pages&gt;&lt;volume&gt;2023&lt;/volume&gt;&lt;number&gt;&lt;/number&gt;&lt;dates&gt;&lt;year&gt;2023&lt;/year&gt;&lt;/dates&gt;&lt;isbn&gt;&lt;/isbn&gt;&lt;accession-num&gt;37064008&lt;/accession-num&gt;&lt;urls&gt;&lt;/urls&gt;&lt;custom2&gt;PMC8410052&lt;/custom2&gt;&lt;electronic-resource-num&gt;10.1002/ddr.21454&lt;/electronic-resource-num&gt;&lt;remote-database-provider&gt;NLM&lt;/remote-database-provider&gt;&lt;language&gt;eng&lt;/language&gt;&lt;/record&gt;&lt;/Cite&gt;&lt;Cite&gt;&lt;Author&gt;Deza-Ponzio&lt;/Author&gt;&lt;Year&gt;2018&lt;/Year&gt;&lt;RecNum&gt;9117&lt;/RecNum&gt;&lt;DisplayText&gt; [16,17]&lt;/DisplayText&gt;&lt;record&gt;&lt;rec-number&gt;9117&lt;/rec-number&gt;&lt;foreign-keys&gt;&lt;key app="EN" db-id="codex-40refs" timestamp="1781575200"&gt;9117&lt;/key&gt;&lt;/foreign-keys&gt;&lt;ref-type name="Journal Article"&gt;17&lt;/ref-type&gt;&lt;contributors&gt;&lt;authors&gt;&lt;author&gt;Deza-Ponzio, R.&lt;/author&gt;&lt;author&gt;Herrera, ML.&lt;/author&gt;&lt;author&gt;Bellini, MJ.&lt;/author&gt;&lt;author&gt;Virgolini, MB.&lt;/author&gt;&lt;author&gt;Hereñú, CB.&lt;/author&gt;&lt;/authors&gt;&lt;/contributors&gt;&lt;titles&gt;&lt;title&gt;Aldehyde dehydrogenase 2 in the spotlight: The link between mitochondria and neurodegeneration.&lt;/title&gt;&lt;secondary-title&gt;Neurotoxicology&lt;/secondary-title&gt;&lt;/titles&gt;&lt;periodical&gt;&lt;full-title&gt;Neurotoxicology&lt;/full-title&gt;&lt;/periodical&gt;&lt;pages&gt;19-24&lt;/pages&gt;&lt;volume&gt;68&lt;/volume&gt;&lt;number&gt;&lt;/number&gt;&lt;dates&gt;&lt;year&gt;2018&lt;/year&gt;&lt;/dates&gt;&lt;isbn&gt;&lt;/isbn&gt;&lt;accession-num&gt;29936317&lt;/accession-num&gt;&lt;urls&gt;&lt;/urls&gt;&lt;custom2&gt;&lt;/custom2&gt;&lt;electronic-resource-num&gt;10.1016/j.neuro.2018.06.005&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[16,17]</w:t>
      </w:r>
      <w:r>
        <w:rPr>
          <w:rFonts w:ascii="Times New Roman" w:hAnsi="Times New Roman" w:cs="Times New Roman"/>
        </w:rPr>
        <w:fldChar w:fldCharType="end"/>
      </w:r>
      <w:r>
        <w:rPr>
          <w:rFonts w:ascii="Times New Roman" w:hAnsi="Times New Roman" w:cs="Times New Roman"/>
        </w:rPr>
        <w:t>. Although ALDH2 has been implicated in multiple oxidative injury models</w:t>
      </w:r>
      <w:r>
        <w:rPr>
          <w:rFonts w:ascii="Times New Roman" w:hAnsi="Times New Roman" w:cs="Times New Roman"/>
        </w:rPr>
        <w:fldChar w:fldCharType="begin"/>
      </w:r>
      <w:r>
        <w:rPr>
          <w:rFonts w:ascii="Times New Roman" w:hAnsi="Times New Roman" w:cs="Times New Roman"/>
        </w:rPr>
        <w:instrText xml:space="preserve"> ADDIN EN.CITE &lt;EndNote&gt;&lt;Cite&gt;&lt;Author&gt;He&lt;/Author&gt;&lt;Year&gt;2021&lt;/Year&gt;&lt;RecNum&gt;9118&lt;/RecNum&gt;&lt;DisplayText&gt; [18]&lt;/DisplayText&gt;&lt;record&gt;&lt;rec-number&gt;9118&lt;/rec-number&gt;&lt;foreign-keys&gt;&lt;key app="EN" db-id="codex-40refs" timestamp="1781575200"&gt;9118&lt;/key&gt;&lt;/foreign-keys&gt;&lt;ref-type name="Journal Article"&gt;17&lt;/ref-type&gt;&lt;contributors&gt;&lt;authors&gt;&lt;author&gt;He, M.&lt;/author&gt;&lt;author&gt;Long, P.&lt;/author&gt;&lt;author&gt;Chen, T.&lt;/author&gt;&lt;author&gt;Li, K.&lt;/author&gt;&lt;author&gt;Wei, D.&lt;/author&gt;&lt;author&gt;Zhang, Y.&lt;/author&gt;&lt;author&gt;Wang, W.&lt;/author&gt;&lt;author&gt;Hu, Y.&lt;/author&gt;&lt;author&gt;Ding, Y.&lt;/author&gt;&lt;author&gt;Wen, A.&lt;/author&gt;&lt;/authors&gt;&lt;/contributors&gt;&lt;titles&gt;&lt;title&gt;ALDH2/SIRT1 Contributes to Type 1 and Type 2 Diabetes-Induced Retinopathy through Depressing Oxidative Stress.&lt;/title&gt;&lt;secondary-title&gt;Oxid Med Cell Longev&lt;/secondary-title&gt;&lt;/titles&gt;&lt;periodical&gt;&lt;full-title&gt;Oxidative medicine and cellular longevity&lt;/full-title&gt;&lt;/periodical&gt;&lt;pages&gt;1641717&lt;/pages&gt;&lt;volume&gt;2021&lt;/volume&gt;&lt;number&gt;&lt;/number&gt;&lt;dates&gt;&lt;year&gt;2021&lt;/year&gt;&lt;/dates&gt;&lt;isbn&gt;&lt;/isbn&gt;&lt;accession-num&gt;34725563&lt;/accession-num&gt;&lt;urls&gt;&lt;/urls&gt;&lt;custom2&gt;PMC3839118&lt;/custom2&gt;&lt;electronic-resource-num&gt;10.1016/j.preteyeres.2007.01.004&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[18]</w:t>
      </w:r>
      <w:r>
        <w:rPr>
          <w:rFonts w:ascii="Times New Roman" w:hAnsi="Times New Roman" w:cs="Times New Roman"/>
        </w:rPr>
        <w:fldChar w:fldCharType="end"/>
      </w:r>
      <w:r>
        <w:rPr>
          <w:rFonts w:ascii="Times New Roman" w:hAnsi="Times New Roman" w:cs="Times New Roman"/>
        </w:rPr>
        <w:t>, its involvement in RPE responses to CoCl₂-induced hypoxia-related and aldehyde-associated injury remains insufficiently defined. In particular, whether CoCl₂-induced RPE injury is accompanied by ALDH2 reduction, and whether ALDH2-directed pharmacological modulation can alter the resulting injury phenotype, requires further investigation.</w:t>
      </w:r>
    </w:p>
    <w:p w14:paraId="2C6D20F2" w14:textId="77777777" w:rsidR="00FD78CA" w:rsidRPr="00C119A5" w:rsidRDefault="00FD78CA" w:rsidP="00FD78CA">
      <w:pPr>
        <w:jc w:val="both"/>
        <w:rPr>
          <w:rFonts w:ascii="Times New Roman" w:hAnsi="Times New Roman" w:cs="Times New Roman"/>
        </w:rPr>
      </w:pPr>
      <w:r w:rsidRPr="00C119A5">
        <w:rPr>
          <w:rFonts w:ascii="Times New Roman" w:hAnsi="Times New Roman" w:cs="Times New Roman"/>
        </w:rPr>
        <w:t>Alda-1 is an ALDH2 activator/chemical chaperone, whereas Daidzin is commonly used as an inhibitor of ALDH2 enzymatic activity</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&lt;EndNote&gt;&lt;Cite&gt;&lt;Author&gt;Khan&lt;/Author&gt;&lt;Year&gt;2022&lt;/Year&gt;&lt;RecNum&gt;9119&lt;/RecNum&gt;&lt;DisplayText&gt; [19-23]&lt;/DisplayText&gt;&lt;record&gt;&lt;rec-number&gt;9119&lt;/rec-number&gt;&lt;foreign-keys&gt;&lt;key app="EN" db-id="codex-40refs" timestamp="1781575200"&gt;9119&lt;/key&gt;&lt;/foreign-keys&gt;&lt;ref-type name="Journal Article"&gt;17&lt;/ref-type&gt;&lt;contributors&gt;&lt;authors&gt;&lt;author&gt;Khan, M.&lt;/author&gt;&lt;author&gt;Qiao, F.&lt;/author&gt;&lt;author&gt;Kumar, P.&lt;/author&gt;&lt;author&gt;Touhidul Islam, SM.&lt;/author&gt;&lt;author&gt;Singh, AK.&lt;/author&gt;&lt;author&gt;Won, J.&lt;/author&gt;&lt;author&gt;Singh, I.&lt;/author&gt;&lt;/authors&gt;&lt;/contributors&gt;&lt;titles&gt;&lt;title&gt;Neuroprotective effects of Alda-1 mitigate spinal cord injury in mice: involvement of Alda-1-induced ALDH2 activation-mediated suppression of reactive aldehyde mechanisms.&lt;/title&gt;&lt;secondary-title&gt;Neural Regen Res&lt;/secondary-title&gt;&lt;/titles&gt;&lt;periodical&gt;&lt;full-title&gt;Neural regeneration research&lt;/full-title&gt;&lt;/periodical&gt;&lt;pages&gt;185-193&lt;/pages&gt;&lt;volume&gt;17&lt;/volume&gt;&lt;number&gt;1&lt;/number&gt;&lt;dates&gt;&lt;year&gt;2022&lt;/year&gt;&lt;/dates&gt;&lt;isbn&gt;&lt;/isbn&gt;&lt;accession-num&gt;34100455&lt;/accession-num&gt;&lt;urls&gt;&lt;/urls&gt;&lt;custom2&gt;PMC7118728&lt;/custom2&gt;&lt;electronic-resource-num&gt;10.4103/1673-5374.314312&lt;/electronic-resource-num&gt;&lt;remote-database-provider&gt;NLM&lt;/remote-database-provider&gt;&lt;language&gt;eng&lt;/language&gt;&lt;/record&gt;&lt;/Cite&gt;&lt;Cite&gt;&lt;Author&gt;Diao&lt;/Author&gt;&lt;Year&gt;2022&lt;/Year&gt;&lt;RecNum&gt;9120&lt;/RecNum&gt;&lt;DisplayText&gt; [19-23]&lt;/DisplayText&gt;&lt;record&gt;&lt;rec-number&gt;9120&lt;/rec-number&gt;&lt;foreign-keys&gt;&lt;key app="EN" db-id="codex-40refs" timestamp="1781575200"&gt;9120&lt;/key&gt;&lt;/foreign-keys&gt;&lt;ref-type name="Journal Article"&gt;17&lt;/ref-type&gt;&lt;contributors&gt;&lt;authors&gt;&lt;author&gt;Diao, M.&lt;/author&gt;&lt;author&gt;Xu, J.&lt;/author&gt;&lt;author&gt;Wang, J.&lt;/author&gt;&lt;author&gt;Zhang, M.&lt;/author&gt;&lt;author&gt;Wu, C.&lt;/author&gt;&lt;author&gt;Hu, X.&lt;/author&gt;&lt;author&gt;Zhu, Y.&lt;/author&gt;&lt;author&gt;Zhang, M.&lt;/author&gt;&lt;author&gt;Hu, W.&lt;/author&gt;&lt;/authors&gt;&lt;/contributors&gt;&lt;titles&gt;&lt;title&gt;Alda-1, an Activator of ALDH2, Improves Postresuscitation Cardiac and Neurological Outcomes by Inhibiting Pyroptosis in Swine.&lt;/title&gt;&lt;secondary-title&gt;Neurochem Res&lt;/secondary-title&gt;&lt;/titles&gt;&lt;periodical&gt;&lt;full-title&gt;Neurochemical research&lt;/full-title&gt;&lt;/periodical&gt;&lt;pages&gt;1097-1109&lt;/pages&gt;&lt;volume&gt;47&lt;/volume&gt;&lt;number&gt;4&lt;/number&gt;&lt;dates&gt;&lt;year&gt;2022&lt;/year&gt;&lt;/dates&gt;&lt;isbn&gt;&lt;/isbn&gt;&lt;accession-num&gt;35094247&lt;/accession-num&gt;&lt;urls&gt;&lt;/urls&gt;&lt;custom2&gt;5529650&lt;/custom2&gt;&lt;electronic-resource-num&gt;10.1007/s11064-021-03511-x&lt;/electronic-resource-num&gt;&lt;remote-database-provider&gt;NLM&lt;/remote-database-provider&gt;&lt;language&gt;eng&lt;/language&gt;&lt;/record&gt;&lt;/Cite&gt;&lt;Cite&gt;&lt;Author&gt;Perez-Miller&lt;/Author&gt;&lt;Year&gt;2010&lt;/Year&gt;&lt;RecNum&gt;9121&lt;/RecNum&gt;&lt;DisplayText&gt; [19-23]&lt;/DisplayText&gt;&lt;record&gt;&lt;rec-number&gt;9121&lt;/rec-number&gt;&lt;foreign-keys&gt;&lt;key app="EN" db-id="codex-40refs" timestamp="1781575200"&gt;9121&lt;/key&gt;&lt;/foreign-keys&gt;&lt;ref-type name="Journal Article"&gt;17&lt;/ref-type&gt;&lt;contributors&gt;&lt;authors&gt;&lt;author&gt;Perez-Miller, S.&lt;/author&gt;&lt;author&gt;Younus, H.&lt;/author&gt;&lt;author&gt;Vanam, R.&lt;/author&gt;&lt;author&gt;Chen, CH.&lt;/author&gt;&lt;author&gt;Mochly-Rosen, D.&lt;/author&gt;&lt;author&gt;Hurley, TD.&lt;/author&gt;&lt;/authors&gt;&lt;/contributors&gt;&lt;titles&gt;&lt;title&gt;Alda-1 is an agonist and chemical chaperone for the common human aldehyde dehydrogenase 2 variant.&lt;/title&gt;&lt;secondary-title&gt;Nat Struct Mol Biol&lt;/secondary-title&gt;&lt;/titles&gt;&lt;periodical&gt;&lt;full-title&gt;Nature structural &amp;amp; molecular biology&lt;/full-title&gt;&lt;/periodical&gt;&lt;pages&gt;159-64&lt;/pages&gt;&lt;volume&gt;17&lt;/volume&gt;&lt;number&gt;2&lt;/number&gt;&lt;dates&gt;&lt;year&gt;2010&lt;/year&gt;&lt;/dates&gt;&lt;isbn&gt;&lt;/isbn&gt;&lt;accession-num&gt;20062057&lt;/accession-num&gt;&lt;urls&gt;&lt;/urls&gt;&lt;custom2&gt;PMC2144226&lt;/custom2&gt;&lt;electronic-resource-num&gt;10.1038/nsmb.1737&lt;/electronic-resource-num&gt;&lt;remote-database-provider&gt;NLM&lt;/remote-database-provider&gt;&lt;language&gt;eng&lt;/language&gt;&lt;/record&gt;&lt;/Cite&gt;&lt;Cite&gt;&lt;Author&gt;Keung&lt;/Author&gt;&lt;Year&gt;1993&lt;/Year&gt;&lt;RecNum&gt;9122&lt;/RecNum&gt;&lt;DisplayText&gt; [19-23]&lt;/DisplayText&gt;&lt;record&gt;&lt;rec-number&gt;9122&lt;/rec-number&gt;&lt;foreign-keys&gt;&lt;key app="EN" db-id="codex-40refs" timestamp="1781575200"&gt;9122&lt;/key&gt;&lt;/foreign-keys&gt;&lt;ref-type name="Journal Article"&gt;17&lt;/ref-type&gt;&lt;contributors&gt;&lt;authors&gt;&lt;author&gt;Keung, WM.&lt;/author&gt;&lt;author&gt;Vallee, BL.&lt;/author&gt;&lt;/authors&gt;&lt;/contributors&gt;&lt;titles&gt;&lt;title&gt;Daidzin: a potent, selective inhibitor of human mitochondrial aldehyde dehydrogenase.&lt;/title&gt;&lt;secondary-title&gt;Proc Natl Acad Sci U S A&lt;/secondary-title&gt;&lt;/titles&gt;&lt;periodical&gt;&lt;full-title&gt;Proceedings of the National Academy of Sciences of the United States of America&lt;/full-title&gt;&lt;/periodical&gt;&lt;pages&gt;1247-51&lt;/pages&gt;&lt;volume&gt;90&lt;/volume&gt;&lt;number&gt;4&lt;/number&gt;&lt;dates&gt;&lt;year&gt;1993&lt;/year&gt;&lt;/dates&gt;&lt;isbn&gt;&lt;/isbn&gt;&lt;accession-num&gt;8433985&lt;/accession-num&gt;&lt;urls&gt;&lt;/urls&gt;&lt;custom2&gt;PMC45849&lt;/custom2&gt;&lt;electronic-resource-num&gt;10.1073/pnas.90.4.1247&lt;/electronic-resource-num&gt;&lt;remote-database-provider&gt;NLM&lt;/remote-database-provider&gt;&lt;language&gt;eng&lt;/language&gt;&lt;/record&gt;&lt;/Cite&gt;&lt;Cite&gt;&lt;Author&gt;da&lt;/Author&gt;&lt;Year&gt;2020&lt;/Year&gt;&lt;RecNum&gt;9123&lt;/RecNum&gt;&lt;DisplayText&gt; [19-23]&lt;/DisplayText&gt;&lt;record&gt;&lt;rec-number&gt;9123&lt;/rec-number&gt;&lt;foreign-keys&gt;&lt;key app="EN" db-id="codex-40refs" timestamp="1781575200"&gt;9123&lt;/key&gt;&lt;/foreign-keys&gt;&lt;ref-type name="Journal Article"&gt;17&lt;/ref-type&gt;&lt;contributors&gt;&lt;authors&gt;&lt;author&gt;da Silva Cunha, TT.&lt;/author&gt;&lt;author&gt;de Souza, FR.&lt;/author&gt;&lt;author&gt;de Sena Murteira Pinheiro, P.&lt;/author&gt;&lt;author&gt;de Sant'Anna, CMR.&lt;/author&gt;&lt;author&gt;Noël, F.&lt;/author&gt;&lt;author&gt;Costa França, TC.&lt;/author&gt;&lt;author&gt;Manssour Fraga, CA.&lt;/author&gt;&lt;/authors&gt;&lt;/contributors&gt;&lt;titles&gt;&lt;title&gt;Investigating the Molecular Basis for the Selective Inhibition of Aldehyde Dehydrogenase 2 by the Isoflavonoid Daidzin.&lt;/title&gt;&lt;secondary-title&gt;CNS Neurol Disord Drug Targets&lt;/secondary-title&gt;&lt;/titles&gt;&lt;periodical&gt;&lt;full-title&gt;CNS &amp;amp; neurological disorders drug targets&lt;/full-title&gt;&lt;/periodical&gt;&lt;pages&gt;437-447&lt;/pages&gt;&lt;volume&gt;19&lt;/volume&gt;&lt;number&gt;6&lt;/number&gt;&lt;dates&gt;&lt;year&gt;2020&lt;/year&gt;&lt;/dates&gt;&lt;isbn&gt;&lt;/isbn&gt;&lt;accession-num&gt;32811404&lt;/accession-num&gt;&lt;urls&gt;&lt;/urls&gt;&lt;custom2&gt;&lt;/custom2&gt;&lt;electronic-resource-num&gt;10.2174/1871527319999200817153150&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[19-23]</w:t>
      </w:r>
      <w:r w:rsidRPr="00C119A5">
        <w:rPr>
          <w:rFonts w:ascii="Times New Roman" w:hAnsi="Times New Roman" w:cs="Times New Roman"/>
        </w:rPr>
        <w:fldChar w:fldCharType="end"/>
      </w:r>
      <w:r w:rsidRPr="00C119A5">
        <w:rPr>
          <w:rFonts w:ascii="Times New Roman" w:hAnsi="Times New Roman" w:cs="Times New Roman"/>
        </w:rPr>
        <w:t xml:space="preserve">. Structural and pharmacological studies suggest </w:t>
      </w:r>
      <w:r w:rsidRPr="00C119A5">
        <w:rPr>
          <w:rFonts w:ascii="Times New Roman" w:hAnsi="Times New Roman" w:cs="Times New Roman"/>
        </w:rPr>
        <w:lastRenderedPageBreak/>
        <w:t>that small-molecule modulators can influence ALDH2 activity through interactions near the substrate-access or catalytic region of ALDH2</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&lt;EndNote&gt;&lt;Cite&gt;&lt;Author&gt;Perez-Miller&lt;/Author&gt;&lt;Year&gt;2010&lt;/Year&gt;&lt;RecNum&gt;9121&lt;/RecNum&gt;&lt;DisplayText&gt; [21,24,25]&lt;/DisplayText&gt;&lt;record&gt;&lt;rec-number&gt;9121&lt;/rec-number&gt;&lt;foreign-keys&gt;&lt;key app="EN" db-id="codex-40refs" timestamp="1781575200"&gt;9121&lt;/key&gt;&lt;/foreign-keys&gt;&lt;ref-type name="Journal Article"&gt;17&lt;/ref-type&gt;&lt;contributors&gt;&lt;authors&gt;&lt;author&gt;Perez-Miller, S.&lt;/author&gt;&lt;author&gt;Younus, H.&lt;/author&gt;&lt;author&gt;Vanam, R.&lt;/author&gt;&lt;author&gt;Chen, CH.&lt;/author&gt;&lt;author&gt;Mochly-Rosen, D.&lt;/author&gt;&lt;author&gt;Hurley, TD.&lt;/author&gt;&lt;/authors&gt;&lt;/contributors&gt;&lt;titles&gt;&lt;title&gt;Alda-1 is an agonist and chemical chaperone for the common human aldehyde dehydrogenase 2 variant.&lt;/title&gt;&lt;secondary-title&gt;Nat Struct Mol Biol&lt;/secondary-title&gt;&lt;/titles&gt;&lt;periodical&gt;&lt;full-title&gt;Nature structural &amp;amp; molecular biology&lt;/full-title&gt;&lt;/periodical&gt;&lt;pages&gt;159-64&lt;/pages&gt;&lt;volume&gt;17&lt;/volume&gt;&lt;number&gt;2&lt;/number&gt;&lt;dates&gt;&lt;year&gt;2010&lt;/year&gt;&lt;/dates&gt;&lt;isbn&gt;&lt;/isbn&gt;&lt;accession-num&gt;20062057&lt;/accession-num&gt;&lt;urls&gt;&lt;/urls&gt;&lt;custom2&gt;PMC2144226&lt;/custom2&gt;&lt;electronic-resource-num&gt;10.1038/nsmb.1737&lt;/electronic-resource-num&gt;&lt;remote-database-provider&gt;NLM&lt;/remote-database-provider&gt;&lt;language&gt;eng&lt;/language&gt;&lt;/record&gt;&lt;/Cite&gt;&lt;Cite&gt;&lt;Author&gt;Lowe&lt;/Author&gt;&lt;Year&gt;2008&lt;/Year&gt;&lt;RecNum&gt;9124&lt;/RecNum&gt;&lt;DisplayText&gt; [21,24,25]&lt;/DisplayText&gt;&lt;record&gt;&lt;rec-number&gt;9124&lt;/rec-number&gt;&lt;foreign-keys&gt;&lt;key app="EN" db-id="codex-40refs" timestamp="1781575200"&gt;9124&lt;/key&gt;&lt;/foreign-keys&gt;&lt;ref-type name="Journal Article"&gt;17&lt;/ref-type&gt;&lt;contributors&gt;&lt;authors&gt;&lt;author&gt;Lowe, ED.&lt;/author&gt;&lt;author&gt;Gao, GY.&lt;/author&gt;&lt;author&gt;Johnson, LN.&lt;/author&gt;&lt;author&gt;Keung, WM.&lt;/author&gt;&lt;/authors&gt;&lt;/contributors&gt;&lt;titles&gt;&lt;title&gt;Structure of daidzin, a naturally occurring anti-alcohol-addiction agent, in complex with human mitochondrial aldehyde dehydrogenase.&lt;/title&gt;&lt;secondary-title&gt;J Med Chem&lt;/secondary-title&gt;&lt;/titles&gt;&lt;periodical&gt;&lt;full-title&gt;Journal of medicinal chemistry&lt;/full-title&gt;&lt;/periodical&gt;&lt;pages&gt;4482-7&lt;/pages&gt;&lt;volume&gt;51&lt;/volume&gt;&lt;number&gt;15&lt;/number&gt;&lt;dates&gt;&lt;year&gt;2008&lt;/year&gt;&lt;/dates&gt;&lt;isbn&gt;&lt;/isbn&gt;&lt;accession-num&gt;18613661&lt;/accession-num&gt;&lt;urls&gt;&lt;/urls&gt;&lt;custom2&gt;&lt;/custom2&gt;&lt;electronic-resource-num&gt;10.1021/jm800488j&lt;/electronic-resource-num&gt;&lt;remote-database-provider&gt;NLM&lt;/remote-database-provider&gt;&lt;language&gt;eng&lt;/language&gt;&lt;/record&gt;&lt;/Cite&gt;&lt;Cite&gt;&lt;Author&gt;Jiang&lt;/Author&gt;&lt;Year&gt;2023&lt;/Year&gt;&lt;RecNum&gt;9125&lt;/RecNum&gt;&lt;DisplayText&gt; [21,24,25]&lt;/DisplayText&gt;&lt;record&gt;&lt;rec-number&gt;9125&lt;/rec-number&gt;&lt;foreign-keys&gt;&lt;key app="EN" db-id="codex-40refs" timestamp="1781575200"&gt;9125&lt;/key&gt;&lt;/foreign-keys&gt;&lt;ref-type name="Journal Article"&gt;17&lt;/ref-type&gt;&lt;contributors&gt;&lt;authors&gt;&lt;author&gt;Jiang, W.&lt;/author&gt;&lt;author&gt;Chen, J.&lt;/author&gt;&lt;author&gt;Zhang, P.&lt;/author&gt;&lt;author&gt;Zheng, N.&lt;/author&gt;&lt;author&gt;Ma, L.&lt;/author&gt;&lt;author&gt;Zhang, Y.&lt;/author&gt;&lt;author&gt;Zhang, H.&lt;/author&gt;&lt;/authors&gt;&lt;/contributors&gt;&lt;titles&gt;&lt;title&gt;Repurposing Drugs for Inhibition against ALDH2 via a 2D/3D Ligand-Based Similarity Search and Molecular Simulation.&lt;/title&gt;&lt;secondary-title&gt;Molecules&lt;/secondary-title&gt;&lt;/titles&gt;&lt;periodical&gt;&lt;full-title&gt;Molecules (Basel, Switzerland)&lt;/full-title&gt;&lt;/periodical&gt;&lt;pages&gt;7325&lt;/pages&gt;&lt;volume&gt;28&lt;/volume&gt;&lt;number&gt;21&lt;/number&gt;&lt;dates&gt;&lt;year&gt;2023&lt;/year&gt;&lt;/dates&gt;&lt;isbn&gt;&lt;/isbn&gt;&lt;accession-num&gt;37959744&lt;/accession-num&gt;&lt;urls&gt;&lt;/urls&gt;&lt;custom2&gt;PMC5734301&lt;/custom2&gt;&lt;electronic-resource-num&gt;10.1002/pro.3280&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[21,24,25]</w:t>
      </w:r>
      <w:r w:rsidRPr="00C119A5">
        <w:rPr>
          <w:rFonts w:ascii="Times New Roman" w:hAnsi="Times New Roman" w:cs="Times New Roman"/>
        </w:rPr>
        <w:fldChar w:fldCharType="end"/>
      </w:r>
      <w:r>
        <w:rPr>
          <w:rFonts w:ascii="Times New Roman" w:hAnsi="Times New Roman" w:cs="Times New Roman"/>
        </w:rPr>
        <w:t>. In the present study, Alda-1 and Daidzin were used to examine two opposite pharmacological directions of ALDH2-associated modulation in the same CoCl₂-stressed RPE system. This comparison allowed us to assess whether ALDH2-associated aldehyde-detoxifying defense is linked to changes in wound-edge recovery, cellular morphology, extracellular aldehyde-related stress, and pro-angiogenic re</w:t>
      </w:r>
      <w:r w:rsidRPr="00C119A5">
        <w:rPr>
          <w:rFonts w:ascii="Times New Roman" w:hAnsi="Times New Roman" w:cs="Times New Roman"/>
        </w:rPr>
        <w:t>sponse.</w:t>
      </w:r>
    </w:p>
    <w:p w14:paraId="7195AFF7" w14:textId="31256E09" w:rsidR="00736653" w:rsidRPr="000045F3" w:rsidRDefault="006E05FB" w:rsidP="00FD78CA">
      <w:pPr>
        <w:jc w:val="both"/>
        <w:rPr>
          <w:rFonts w:ascii="Times New Roman" w:hAnsi="Times New Roman" w:cs="Times New Roman"/>
        </w:rPr>
      </w:pPr>
      <w:r w:rsidRPr="006E05FB">
        <w:rPr>
          <w:rFonts w:ascii="Times New Roman" w:hAnsi="Times New Roman" w:cs="Times New Roman"/>
        </w:rPr>
        <w:t>Accordingly, this study aimed to characterize CoCl₂-induced hypoxia-related injury in ARPE-19 cells and to determine whether ALDH2-associated pharmacological modulation shifts the resulting injury phenotype. CoCl₂ responses were evaluated across a concentration range using scratch-wound recovery, representative morphology, and CCK-8-based relative metabolic activity. The subsequent injury condition was selected using an integrated operational criterion combining functional impairment, morphological injury, and the relative extent of metabolic-signal reduction. The selected condition was then examined using HIF-1α, ALDH2, BAX, culture-supernatant 4-HNE, and VEGF-A. We hypothesized that CoCl₂-induced RPE injury would involve hypoxia-responsive signaling, ALDH2 reduction, and extracellular aldehyde/pro-angiogenic stress, and that Alda-1 and Daidzin would shift this injury phenotype in opposite functional directions</w:t>
      </w:r>
      <w:r w:rsidR="00F12FC2" w:rsidRPr="000045F3">
        <w:rPr>
          <w:rFonts w:ascii="Times New Roman" w:hAnsi="Times New Roman" w:cs="Times New Roman"/>
        </w:rPr>
        <w:t>.</w:t>
      </w:r>
    </w:p>
    <w:p w14:paraId="168C7E95" w14:textId="77777777" w:rsidR="008473EA" w:rsidRPr="00B97E07" w:rsidRDefault="00F12FC2" w:rsidP="00944015">
      <w:pPr>
        <w:jc w:val="both"/>
        <w:rPr>
          <w:rFonts w:ascii="Times New Roman" w:hAnsi="Times New Roman" w:cs="Times New Roman"/>
          <w:b/>
          <w:bCs/>
        </w:rPr>
      </w:pPr>
      <w:r w:rsidRPr="000045F3">
        <w:rPr>
          <w:rFonts w:ascii="Times New Roman" w:hAnsi="Times New Roman" w:cs="Times New Roman"/>
          <w:b/>
          <w:bCs/>
        </w:rPr>
        <w:t>2. Met</w:t>
      </w:r>
      <w:r w:rsidRPr="00B97E07">
        <w:rPr>
          <w:rFonts w:ascii="Times New Roman" w:hAnsi="Times New Roman" w:cs="Times New Roman"/>
          <w:b/>
          <w:bCs/>
        </w:rPr>
        <w:t>hods</w:t>
      </w:r>
    </w:p>
    <w:p w14:paraId="26E0EAAE" w14:textId="77777777" w:rsidR="008473EA" w:rsidRPr="00B97E07" w:rsidRDefault="00F12FC2" w:rsidP="00944015">
      <w:pPr>
        <w:jc w:val="both"/>
        <w:rPr>
          <w:rFonts w:ascii="Times New Roman" w:hAnsi="Times New Roman" w:cs="Times New Roman"/>
          <w:b/>
          <w:bCs/>
        </w:rPr>
      </w:pPr>
      <w:r w:rsidRPr="00B97E07">
        <w:rPr>
          <w:rFonts w:ascii="Times New Roman" w:hAnsi="Times New Roman" w:cs="Times New Roman"/>
          <w:b/>
          <w:bCs/>
          <w:color w:val="000000" w:themeColor="text1"/>
        </w:rPr>
        <w:t xml:space="preserve">2.1 </w:t>
      </w:r>
      <w:r w:rsidR="00973F3E" w:rsidRPr="00B97E07">
        <w:rPr>
          <w:rFonts w:ascii="Times New Roman" w:hAnsi="Times New Roman" w:cs="Times New Roman"/>
          <w:b/>
          <w:bCs/>
          <w:color w:val="000000" w:themeColor="text1"/>
        </w:rPr>
        <w:t>Study design and exp</w:t>
      </w:r>
      <w:r w:rsidR="00973F3E" w:rsidRPr="00B97E07">
        <w:rPr>
          <w:rFonts w:ascii="Times New Roman" w:hAnsi="Times New Roman" w:cs="Times New Roman"/>
          <w:b/>
          <w:bCs/>
        </w:rPr>
        <w:t>erimental overview</w:t>
      </w:r>
    </w:p>
    <w:p w14:paraId="0A2DC020" w14:textId="7B7D5777" w:rsidR="006E05FB" w:rsidRPr="00B97E07" w:rsidRDefault="006E05FB" w:rsidP="0011195E">
      <w:pPr>
        <w:jc w:val="both"/>
        <w:rPr>
          <w:rFonts w:ascii="Times New Roman" w:hAnsi="Times New Roman" w:cs="Times New Roman"/>
        </w:rPr>
      </w:pPr>
      <w:r w:rsidRPr="00B97E07">
        <w:rPr>
          <w:rFonts w:ascii="Times New Roman" w:hAnsi="Times New Roman" w:cs="Times New Roman"/>
        </w:rPr>
        <w:t>The experimental design was organized around concentration-resolved CoCl₂-induced injury in ARPE-19 cells and ALDH2-associated pharmacological modulation (Figure 1). Cells were initially exposed to 0, 10, 100, 500, 1000, or 2000 μM CoCl₂. Scratch-wound recovery, representative morphology, and CCK-8-based relative metabolic activity were evaluated jointly to characterize the concentration- and time-associated injury profile.</w:t>
      </w:r>
    </w:p>
    <w:p w14:paraId="647EE826" w14:textId="0F103473" w:rsidR="0011195E" w:rsidRPr="00B97E07" w:rsidRDefault="00301965" w:rsidP="0011195E">
      <w:pPr>
        <w:jc w:val="both"/>
        <w:rPr>
          <w:rFonts w:ascii="Times New Roman" w:hAnsi="Times New Roman" w:cs="Times New Roman"/>
        </w:rPr>
      </w:pPr>
      <w:r w:rsidRPr="00B97E07">
        <w:rPr>
          <w:rFonts w:ascii="Times New Roman" w:hAnsi="Times New Roman" w:cs="Times New Roman"/>
        </w:rPr>
        <w:t xml:space="preserve">Based on the integrated dose-response assessment combining scratch-wound recovery, representative morphology, and relative CCK-8 metabolic activity, 500 μM CoCl₂ was selected as the operational injury condition for subsequent molecular validation and pharmacological intervention experiments. It was the lowest tested concentration that produced statistically significant wound-recovery failure together with clear morphological injury, while showing less extensive late-stage reduction in the relative CCK-8 signal and less extensive morphological deterioration than the 1000 and 2000 μM conditions. This selection was intended to define a measurable, nonmaximal injury window and did not establish 500 μM CoCl₂ as a non-cytotoxic or hypoxia-specific condition. Culture supernatants and cell lysates were collected at the indicated time points. Culture-supernatant 4-HNE and VEGF-A were measured </w:t>
      </w:r>
      <w:r w:rsidRPr="00B97E07">
        <w:rPr>
          <w:rFonts w:ascii="Times New Roman" w:hAnsi="Times New Roman" w:cs="Times New Roman"/>
        </w:rPr>
        <w:lastRenderedPageBreak/>
        <w:t>by ELISA, whereas HIF-1α, ALDH2, and BAX were evaluated by Western blotting</w:t>
      </w:r>
      <w:r w:rsidR="0011195E" w:rsidRPr="00B97E07">
        <w:rPr>
          <w:rFonts w:ascii="Times New Roman" w:hAnsi="Times New Roman" w:cs="Times New Roman"/>
        </w:rPr>
        <w:t>.</w:t>
      </w:r>
    </w:p>
    <w:p w14:paraId="739CE64C" w14:textId="622B056B" w:rsidR="008473EA" w:rsidRPr="00B97E07" w:rsidRDefault="0011195E" w:rsidP="00944015">
      <w:pPr>
        <w:jc w:val="both"/>
        <w:rPr>
          <w:rFonts w:ascii="Times New Roman" w:hAnsi="Times New Roman" w:cs="Times New Roman"/>
        </w:rPr>
      </w:pPr>
      <w:r w:rsidRPr="00B97E07">
        <w:rPr>
          <w:rFonts w:ascii="Times New Roman" w:hAnsi="Times New Roman" w:cs="Times New Roman"/>
        </w:rPr>
        <w:t xml:space="preserve">Alda-1 and Daidzin were used to examine two pharmacological directions of ALDH2-associated modulation </w:t>
      </w:r>
      <w:r w:rsidR="0002533B" w:rsidRPr="00B97E07">
        <w:rPr>
          <w:rFonts w:ascii="Times New Roman" w:hAnsi="Times New Roman" w:cs="Times New Roman"/>
        </w:rPr>
        <w:t>under the selected 500 μM CoCl₂ condition</w:t>
      </w:r>
      <w:r w:rsidRPr="00B97E07">
        <w:rPr>
          <w:rFonts w:ascii="Times New Roman" w:hAnsi="Times New Roman" w:cs="Times New Roman"/>
        </w:rPr>
        <w:t>. Alda-1 was used as an ALDH2 activator/chemical chaperone, whereas Daidzin was used as a single-dose ALDH2 enzymatic activity inhibitory comparator (Figure 1C). Phenotypic readouts included scratch-wound closure and representative morphology, and molecular readouts included culture-supernatant 4-HNE/VEGF-A and Western blot-based protein quantification. The overall experimental design and ALDH2-associated working model are summarized in Figure 1</w:t>
      </w:r>
      <w:r w:rsidR="00AD193A" w:rsidRPr="00B97E07">
        <w:rPr>
          <w:rFonts w:ascii="Times New Roman" w:hAnsi="Times New Roman" w:cs="Times New Roman"/>
        </w:rPr>
        <w:t>.</w:t>
      </w:r>
      <w:r w:rsidR="001171E8" w:rsidRPr="00B97E07">
        <w:rPr>
          <w:rFonts w:ascii="Times New Roman" w:hAnsi="Times New Roman" w:cs="Times New Roman"/>
          <w:noProof/>
        </w:rPr>
        <w:drawing>
          <wp:inline distT="0" distB="0" distL="0" distR="0" wp14:anchorId="0E0F7AC1" wp14:editId="792D83ED">
            <wp:extent cx="5271135" cy="2855595"/>
            <wp:effectExtent l="0" t="0" r="571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1135" cy="2855595"/>
                    </a:xfrm>
                    <a:prstGeom prst="rect">
                      <a:avLst/>
                    </a:prstGeom>
                    <a:noFill/>
                    <a:ln>
                      <a:noFill/>
                    </a:ln>
                  </pic:spPr>
                </pic:pic>
              </a:graphicData>
            </a:graphic>
          </wp:inline>
        </w:drawing>
      </w:r>
    </w:p>
    <w:p w14:paraId="653BF269" w14:textId="1F888F08" w:rsidR="008473EA" w:rsidRPr="000C75CE" w:rsidRDefault="00F12FC2" w:rsidP="000C75CE">
      <w:pPr>
        <w:spacing w:line="240" w:lineRule="auto"/>
        <w:jc w:val="both"/>
        <w:rPr>
          <w:rFonts w:ascii="Times New Roman" w:hAnsi="Times New Roman" w:cs="Times New Roman"/>
          <w:sz w:val="20"/>
          <w:szCs w:val="20"/>
        </w:rPr>
      </w:pPr>
      <w:r w:rsidRPr="00B97E07">
        <w:rPr>
          <w:rFonts w:ascii="Times New Roman" w:hAnsi="Times New Roman" w:cs="Times New Roman"/>
          <w:b/>
          <w:bCs/>
          <w:sz w:val="20"/>
          <w:szCs w:val="20"/>
        </w:rPr>
        <w:t xml:space="preserve">Figure 1. </w:t>
      </w:r>
      <w:r w:rsidR="00114677" w:rsidRPr="00B97E07">
        <w:rPr>
          <w:rFonts w:ascii="Times New Roman" w:hAnsi="Times New Roman" w:cs="Times New Roman"/>
          <w:sz w:val="20"/>
          <w:szCs w:val="20"/>
        </w:rPr>
        <w:t>Schematic overview of CoCl₂-induced RPE injury assessment and ALDH2-associated pharmacological modulation. (A) Overall experimental workflow. ARPE-19 cells were exposed to a CoCl₂ concentration gradient, followed by scratch-wound and morphology analyses, CCK-8-based relative metabolic activity measurement at 24, 48, and 72 h, molecular validation using ELISA and Western blotting, and pharmacological modulation with Alda-1 or Daidzin. (B) Time- and dose-related CoCl₂ injury pattern. Low-dose CoCl₂ conditions were associated with preserved wound-edge recovery, whereas higher CoCl₂ exposure was associated with impaired wound closure, morphological deterioration, HIF-1α activation, ALDH2 reduction, extracellular 4-HNE/VEGF-A elevation, and a BAX-associated stress trend. (C) Pharmacological modulation strategy. Alda-1 was used as an ALDH2 activator/chemical chaperone, whereas Daidzin was used as a single-dose ALDH2 enzymatic-activity inhibitory comparator. (D) ALDH2-associated working model integrating CoCl₂-induced stress, ALDH2 reduction, extracellular aldehyde-associated stress, VEGF-A response, BAX-associated trend, morphological deterioration, and impaired wound closure. Alda-1 represented the ALDH2 activation direction, whereas Daidzin represented the inhibitory-comparator direction</w:t>
      </w:r>
      <w:r w:rsidRPr="00B97E07">
        <w:rPr>
          <w:rFonts w:ascii="Times New Roman" w:hAnsi="Times New Roman" w:cs="Times New Roman"/>
          <w:sz w:val="20"/>
          <w:szCs w:val="20"/>
        </w:rPr>
        <w:t>.</w:t>
      </w:r>
    </w:p>
    <w:p w14:paraId="47CF8946" w14:textId="77777777" w:rsidR="008473EA" w:rsidRPr="000045F3" w:rsidRDefault="00F12FC2" w:rsidP="00944015">
      <w:pPr>
        <w:jc w:val="both"/>
        <w:rPr>
          <w:rFonts w:ascii="Times New Roman" w:hAnsi="Times New Roman" w:cs="Times New Roman"/>
          <w:b/>
          <w:bCs/>
        </w:rPr>
      </w:pPr>
      <w:r w:rsidRPr="000045F3">
        <w:rPr>
          <w:rFonts w:ascii="Times New Roman" w:hAnsi="Times New Roman" w:cs="Times New Roman"/>
          <w:b/>
          <w:bCs/>
        </w:rPr>
        <w:t xml:space="preserve">2.2 </w:t>
      </w:r>
      <w:r w:rsidR="00ED4995" w:rsidRPr="00ED4995">
        <w:rPr>
          <w:rFonts w:ascii="Times New Roman" w:hAnsi="Times New Roman" w:cs="Times New Roman"/>
          <w:b/>
          <w:bCs/>
        </w:rPr>
        <w:t>Cell culture</w:t>
      </w:r>
    </w:p>
    <w:p w14:paraId="7FD2282E" w14:textId="77777777" w:rsidR="00F52BE6" w:rsidRPr="00C119A5" w:rsidRDefault="00F52BE6" w:rsidP="00F52BE6">
      <w:pPr>
        <w:jc w:val="both"/>
        <w:rPr>
          <w:rFonts w:ascii="Times New Roman" w:hAnsi="Times New Roman" w:cs="Times New Roman"/>
        </w:rPr>
      </w:pPr>
      <w:r>
        <w:rPr>
          <w:rFonts w:ascii="Times New Roman" w:hAnsi="Times New Roman" w:cs="Times New Roman"/>
        </w:rPr>
        <w:t>Human retinal pigment epithelial ARPE-19 cells</w:t>
      </w:r>
      <w:r>
        <w:rPr>
          <w:rFonts w:ascii="Times New Roman" w:hAnsi="Times New Roman" w:cs="Times New Roman"/>
        </w:rPr>
        <w:fldChar w:fldCharType="begin"/>
      </w:r>
      <w:r>
        <w:rPr>
          <w:rFonts w:ascii="Times New Roman" w:hAnsi="Times New Roman" w:cs="Times New Roman"/>
        </w:rPr>
        <w:instrText xml:space="preserve"> ADDIN EN.CITE &lt;EndNote&gt;&lt;Cite&gt;&lt;Author&gt;Dunn&lt;/Author&gt;&lt;Year&gt;1996&lt;/Year&gt;&lt;RecNum&gt;9126&lt;/RecNum&gt;&lt;DisplayText&gt; [26,27]&lt;/DisplayText&gt;&lt;record&gt;&lt;rec-number&gt;9126&lt;/rec-number&gt;&lt;foreign-keys&gt;&lt;key app="EN" db-id="codex-40refs" timestamp="1781575200"&gt;9126&lt;/key&gt;&lt;/foreign-keys&gt;&lt;ref-type name="Journal Article"&gt;17&lt;/ref-type&gt;&lt;contributors&gt;&lt;authors&gt;&lt;author&gt;Dunn, KC.&lt;/author&gt;&lt;author&gt;Aotaki-Keen, AE.&lt;/author&gt;&lt;author&gt;Putkey, FR.&lt;/author&gt;&lt;author&gt;Hjelmeland, LM.&lt;/author&gt;&lt;/authors&gt;&lt;/contributors&gt;&lt;titles&gt;&lt;title&gt;ARPE-19, a human retinal pigment epithelial cell line with differentiated properties.&lt;/title&gt;&lt;secondary-title&gt;Exp Eye Res&lt;/secondary-title&gt;&lt;/titles&gt;&lt;periodical&gt;&lt;full-title&gt;Experimental eye research&lt;/full-title&gt;&lt;/periodical&gt;&lt;pages&gt;155-69&lt;/pages&gt;&lt;volume&gt;62&lt;/volume&gt;&lt;number&gt;2&lt;/number&gt;&lt;dates&gt;&lt;year&gt;1996&lt;/year&gt;&lt;/dates&gt;&lt;isbn&gt;&lt;/isbn&gt;&lt;accession-num&gt;8698076&lt;/accession-num&gt;&lt;urls&gt;&lt;/urls&gt;&lt;custom2&gt;&lt;/custom2&gt;&lt;electronic-resource-num&gt;10.1006/exer.1996.0020&lt;/electronic-resource-num&gt;&lt;remote-database-provider&gt;NLM&lt;/remote-database-provider&gt;&lt;language&gt;eng&lt;/language&gt;&lt;/record&gt;&lt;/Cite&gt;&lt;Cite&gt;&lt;Author&gt;Pfeffer&lt;/Author&gt;&lt;Year&gt;2022&lt;/Year&gt;&lt;RecNum&gt;9127&lt;/RecNum&gt;&lt;DisplayText&gt; [26,27]&lt;/DisplayText&gt;&lt;record&gt;&lt;rec-number&gt;9127&lt;/rec-number&gt;&lt;foreign-keys&gt;&lt;key app="EN" db-id="codex-40refs" timestamp="1781575200"&gt;9127&lt;/key&gt;&lt;/foreign-keys&gt;&lt;ref-type name="Journal Article"&gt;17&lt;/ref-type&gt;&lt;contributors&gt;&lt;authors&gt;&lt;author&gt;Pfeffer, BA.&lt;/author&gt;&lt;author&gt;Fliesler, SJ.&lt;/author&gt;&lt;/authors&gt;&lt;/contributors&gt;&lt;titles&gt;&lt;title&gt;Reassessing the suitability of ARPE-19 cells as a valid model of native RPE biology.&lt;/title&gt;&lt;secondary-title&gt;Exp Eye Res&lt;/secondary-title&gt;&lt;/titles&gt;&lt;periodical&gt;&lt;full-title&gt;Experimental eye research&lt;/full-title&gt;&lt;/periodical&gt;&lt;pages&gt;109046&lt;/pages&gt;&lt;volume&gt;219&lt;/volume&gt;&lt;number&gt;&lt;/number&gt;&lt;dates&gt;&lt;year&gt;2022&lt;/year&gt;&lt;/dates&gt;&lt;isbn&gt;&lt;/isbn&gt;&lt;accession-num&gt;35314139&lt;/accession-num&gt;&lt;urls&gt;&lt;/urls&gt;&lt;custom2&gt;&lt;/custom2&gt;&lt;electronic-resource-num&gt;10.1016/j.exer.2022.109046&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[26,27]</w:t>
      </w:r>
      <w:r>
        <w:rPr>
          <w:rFonts w:ascii="Times New Roman" w:hAnsi="Times New Roman" w:cs="Times New Roman"/>
        </w:rPr>
        <w:fldChar w:fldCharType="end"/>
      </w:r>
      <w:r>
        <w:rPr>
          <w:rFonts w:ascii="Times New Roman" w:hAnsi="Times New Roman" w:cs="Times New Roman"/>
        </w:rPr>
        <w:t xml:space="preserve"> were obtained from Nanjing SenBeiJia </w:t>
      </w:r>
      <w:r>
        <w:rPr>
          <w:rFonts w:ascii="Times New Roman" w:hAnsi="Times New Roman" w:cs="Times New Roman"/>
        </w:rPr>
        <w:lastRenderedPageBreak/>
        <w:t>Biological Tech</w:t>
      </w:r>
      <w:r w:rsidRPr="00C119A5">
        <w:rPr>
          <w:rFonts w:ascii="Times New Roman" w:hAnsi="Times New Roman" w:cs="Times New Roman"/>
        </w:rPr>
        <w:t xml:space="preserve">nology Co., Ltd. (Nanjing, China; Cat. No. BC-C-HU-237). Cells were cultured in DMEM/F-12 (1:1) medium supplemented with 10% fetal bovine serum (FBS; ABW, China) and 1% penicillin–streptomycin. Cells were maintained at 37°C in a humidified incubator with 5% CO₂. </w:t>
      </w:r>
    </w:p>
    <w:p w14:paraId="3C5C602D" w14:textId="1F436CD2" w:rsidR="008473EA" w:rsidRPr="00B97E07" w:rsidRDefault="00F52BE6" w:rsidP="00F52BE6">
      <w:pPr>
        <w:jc w:val="both"/>
        <w:rPr>
          <w:rFonts w:ascii="Times New Roman" w:hAnsi="Times New Roman" w:cs="Times New Roman"/>
        </w:rPr>
      </w:pPr>
      <w:r w:rsidRPr="00C119A5">
        <w:rPr>
          <w:rFonts w:ascii="Times New Roman" w:hAnsi="Times New Roman" w:cs="Times New Roman"/>
        </w:rPr>
        <w:t>For scratch-wound, morphology, ELISA, and Western blot experiments, cells were seeded into 6-well plates at a density of approximately 2.0 × 10⁵ cells/well and treated when they reached approximately 80% confluence. All treatment groups within each experimental module were seeded an</w:t>
      </w:r>
      <w:r w:rsidRPr="00B97E07">
        <w:rPr>
          <w:rFonts w:ascii="Times New Roman" w:hAnsi="Times New Roman" w:cs="Times New Roman"/>
        </w:rPr>
        <w:t>d processed in parallel to minimize batch-related variation</w:t>
      </w:r>
      <w:r w:rsidR="00F12FC2" w:rsidRPr="00B97E07">
        <w:rPr>
          <w:rFonts w:ascii="Times New Roman" w:hAnsi="Times New Roman" w:cs="Times New Roman"/>
        </w:rPr>
        <w:t>.</w:t>
      </w:r>
    </w:p>
    <w:p w14:paraId="78B274CD" w14:textId="1DCD569E" w:rsidR="006E05FB" w:rsidRDefault="006E05FB" w:rsidP="00F52BE6">
      <w:pPr>
        <w:jc w:val="both"/>
        <w:rPr>
          <w:rFonts w:ascii="Times New Roman" w:hAnsi="Times New Roman" w:cs="Times New Roman"/>
        </w:rPr>
      </w:pPr>
      <w:r w:rsidRPr="00B97E07">
        <w:rPr>
          <w:rFonts w:ascii="Times New Roman" w:hAnsi="Times New Roman" w:cs="Times New Roman"/>
        </w:rPr>
        <w:t>For CCK-8 assays, ARPE-19 cells were seeded into separate 96-well plates at 4.0 × 10³ cells/well in 100 μL of complete culture medium and were allowed to attach for 18–24 h before CoCl₂ exposure. Separate plates were used for the 24-, 48-, and 72-h endpoints to avoid repeated CCK-8 exposure of the same wells.</w:t>
      </w:r>
    </w:p>
    <w:p w14:paraId="3EE274BE" w14:textId="77777777" w:rsidR="00ED4995" w:rsidRDefault="00ED4995" w:rsidP="00944015">
      <w:pPr>
        <w:jc w:val="both"/>
        <w:rPr>
          <w:rFonts w:ascii="Times New Roman" w:hAnsi="Times New Roman" w:cs="Times New Roman"/>
          <w:b/>
          <w:bCs/>
        </w:rPr>
      </w:pPr>
      <w:r w:rsidRPr="00ED4995">
        <w:rPr>
          <w:rFonts w:ascii="Times New Roman" w:hAnsi="Times New Roman" w:cs="Times New Roman"/>
          <w:b/>
          <w:bCs/>
        </w:rPr>
        <w:t>2.3 Reagents and pharmacological compounds</w:t>
      </w:r>
    </w:p>
    <w:p w14:paraId="10A56110" w14:textId="77777777" w:rsidR="00333D6E" w:rsidRPr="00333D6E" w:rsidRDefault="00333D6E" w:rsidP="00333D6E">
      <w:pPr>
        <w:jc w:val="both"/>
        <w:rPr>
          <w:rFonts w:ascii="Times New Roman" w:hAnsi="Times New Roman" w:cs="Times New Roman"/>
        </w:rPr>
      </w:pPr>
      <w:r w:rsidRPr="00333D6E">
        <w:rPr>
          <w:rFonts w:ascii="Times New Roman" w:hAnsi="Times New Roman" w:cs="Times New Roman"/>
        </w:rPr>
        <w:t>Cobalt chloride hexahydrate (CoCl₂·6H₂O; Aladdin, China; Cat. No. C118625; CAS No. 7791-13-1; purity ≥99.999% metals basis) was dissolved in sterile PBS to prepare a high-concentration stock solution and freshly diluted before treatment.</w:t>
      </w:r>
    </w:p>
    <w:p w14:paraId="33895398" w14:textId="77777777" w:rsidR="00333D6E" w:rsidRPr="00C119A5" w:rsidRDefault="00333D6E" w:rsidP="00333D6E">
      <w:pPr>
        <w:jc w:val="both"/>
        <w:rPr>
          <w:rFonts w:ascii="Times New Roman" w:hAnsi="Times New Roman" w:cs="Times New Roman"/>
        </w:rPr>
      </w:pPr>
      <w:r w:rsidRPr="00333D6E">
        <w:rPr>
          <w:rFonts w:ascii="Times New Roman" w:hAnsi="Times New Roman" w:cs="Times New Roman"/>
        </w:rPr>
        <w:t>Alda-1 was used as an ALDH2 activator/chemical chaperone. Alda-1 (MedChemExpress, USA; Cat. No. HY-18936; CAS No. 349438-38-6) was dissolved in dimethyl sulfoxide (DMSO) to prepare a 40 mM stock solution. Daidzin was used as a single-dose ALDH2 enzymatic activity i</w:t>
      </w:r>
      <w:r w:rsidRPr="00C119A5">
        <w:rPr>
          <w:rFonts w:ascii="Times New Roman" w:hAnsi="Times New Roman" w:cs="Times New Roman"/>
        </w:rPr>
        <w:t>nhibitory comparator. Daidzin (MedChemExpress, USA; Cat. No. HY-N0018; CAS No. 552-66-9) was also dissolved in DMSO to prepare a 40 mM stock solution.</w:t>
      </w:r>
    </w:p>
    <w:p w14:paraId="3658AB36" w14:textId="77777777" w:rsidR="008473EA" w:rsidRPr="00C119A5" w:rsidRDefault="00333D6E" w:rsidP="00333D6E">
      <w:pPr>
        <w:jc w:val="both"/>
        <w:rPr>
          <w:rFonts w:ascii="Times New Roman" w:hAnsi="Times New Roman" w:cs="Times New Roman"/>
        </w:rPr>
      </w:pPr>
      <w:r w:rsidRPr="00C119A5">
        <w:rPr>
          <w:rFonts w:ascii="Times New Roman" w:hAnsi="Times New Roman" w:cs="Times New Roman"/>
        </w:rPr>
        <w:t>For cell treatment, Alda-1 or Daidzin stock solution was added at 1.5 μL per well in a final culture volume of 3 mL, yielding a final working concentration of 20 μM. The corresponding CoCl₂-only groups received the same volume of DMSO. The final DMSO concentration was 0.05% and did not exceed 0.1% in any group.</w:t>
      </w:r>
    </w:p>
    <w:p w14:paraId="02AD0AEA" w14:textId="77777777" w:rsidR="008473EA" w:rsidRPr="00C119A5" w:rsidRDefault="00ED4995" w:rsidP="00944015">
      <w:pPr>
        <w:jc w:val="both"/>
        <w:rPr>
          <w:rFonts w:ascii="Times New Roman" w:hAnsi="Times New Roman" w:cs="Times New Roman"/>
          <w:b/>
          <w:bCs/>
        </w:rPr>
      </w:pPr>
      <w:r w:rsidRPr="00C119A5">
        <w:rPr>
          <w:rFonts w:ascii="Times New Roman" w:hAnsi="Times New Roman" w:cs="Times New Roman"/>
          <w:b/>
          <w:bCs/>
        </w:rPr>
        <w:t>2.4 CoCl₂ dose-gradient treatment</w:t>
      </w:r>
    </w:p>
    <w:p w14:paraId="0D090B94" w14:textId="5CF9C6DA" w:rsidR="00FC26E3" w:rsidRPr="00FC26E3" w:rsidRDefault="00FC26E3" w:rsidP="00FC26E3">
      <w:pPr>
        <w:jc w:val="both"/>
        <w:rPr>
          <w:rFonts w:ascii="Times New Roman" w:hAnsi="Times New Roman" w:cs="Times New Roman"/>
        </w:rPr>
      </w:pPr>
      <w:r w:rsidRPr="00FC26E3">
        <w:rPr>
          <w:rFonts w:ascii="Times New Roman" w:hAnsi="Times New Roman" w:cs="Times New Roman"/>
        </w:rPr>
        <w:t xml:space="preserve">CCK-8 assays were performed using a Cell Counting Kit-8 (MedChemExpress, MCE; Cat. No. HY-K0301; lot no. 638244). ARPE-19 cells cultured in separate 96-well plates were exposed to 100 μL per well of complete culture medium containing 0, 10, 100, 500, 1000, or 2000 μM CoCl₂. At each exposure time, the six concentration groups were arranged as a 5-row × 6-column experimental block, with five separately seeded and individually treated physical wells per concentration. Wells immediately surrounding the experimental block were filled with sterile PBS to reduce evaporation and edge effects. The mean A₄₅₀ value of the surrounding PBS-filled wells on the corresponding plate was also used as a plate-level optical background </w:t>
      </w:r>
      <w:r w:rsidRPr="00FC26E3">
        <w:rPr>
          <w:rFonts w:ascii="Times New Roman" w:hAnsi="Times New Roman" w:cs="Times New Roman"/>
        </w:rPr>
        <w:lastRenderedPageBreak/>
        <w:t>reference and was subtracted from the A₄₅₀ value of each experimental well before normalization.</w:t>
      </w:r>
    </w:p>
    <w:p w14:paraId="4074F24F" w14:textId="363C1820" w:rsidR="00FC26E3" w:rsidRPr="00FC26E3" w:rsidRDefault="00FC26E3" w:rsidP="00FC26E3">
      <w:pPr>
        <w:jc w:val="both"/>
        <w:rPr>
          <w:rFonts w:ascii="Times New Roman" w:hAnsi="Times New Roman" w:cs="Times New Roman"/>
        </w:rPr>
      </w:pPr>
      <w:r w:rsidRPr="00FC26E3">
        <w:rPr>
          <w:rFonts w:ascii="Times New Roman" w:hAnsi="Times New Roman" w:cs="Times New Roman"/>
        </w:rPr>
        <w:t>After 24, 48, or 72 h of CoCl₂ exposure, 10 μL of CCK-8 reagent was added to each experimental well. Plates were incubated at 37°C for 1.5 h, and absorbance at 450 nm was measured using a SpectraMax 190 microplate reader. Two consecutive acquisition runs were performed. During each acquisition run, the microplate reader automatically generated three replicate readings for each physical well. The six instrument-level readings obtained from the two acquisition runs were averaged to generate one A₄₅₀ value for each physical well. Instrument-level readings were not treated as independent samples.</w:t>
      </w:r>
    </w:p>
    <w:p w14:paraId="1FC37A24" w14:textId="0981B1DC" w:rsidR="00FC26E3" w:rsidRPr="00FC26E3" w:rsidRDefault="00FC26E3" w:rsidP="00FC26E3">
      <w:pPr>
        <w:jc w:val="both"/>
        <w:rPr>
          <w:rFonts w:ascii="Times New Roman" w:hAnsi="Times New Roman" w:cs="Times New Roman"/>
        </w:rPr>
      </w:pPr>
      <w:r w:rsidRPr="00FC26E3">
        <w:rPr>
          <w:rFonts w:ascii="Times New Roman" w:hAnsi="Times New Roman" w:cs="Times New Roman"/>
        </w:rPr>
        <w:t>PBS-referenced corrected A₄₅₀ was calculated as follows:</w:t>
      </w:r>
    </w:p>
    <w:p w14:paraId="69B76566" w14:textId="28022D3E" w:rsidR="00FC26E3" w:rsidRPr="00FC26E3" w:rsidRDefault="00FC26E3" w:rsidP="00FC26E3">
      <w:pPr>
        <w:jc w:val="both"/>
        <w:rPr>
          <w:rFonts w:ascii="Times New Roman" w:hAnsi="Times New Roman" w:cs="Times New Roman"/>
        </w:rPr>
      </w:pPr>
      <w:r w:rsidRPr="00FC26E3">
        <w:rPr>
          <w:rFonts w:ascii="Times New Roman" w:hAnsi="Times New Roman" w:cs="Times New Roman"/>
        </w:rPr>
        <w:t>Corrected A₄₅₀ = experimental-well A₄₅₀ − mean A₄₅₀ of the surrounding PBS-filled wells on the corresponding plate.</w:t>
      </w:r>
    </w:p>
    <w:p w14:paraId="67CE32A4" w14:textId="4F50041E" w:rsidR="00FC26E3" w:rsidRPr="00FC26E3" w:rsidRDefault="00FC26E3" w:rsidP="00FC26E3">
      <w:pPr>
        <w:jc w:val="both"/>
        <w:rPr>
          <w:rFonts w:ascii="Times New Roman" w:hAnsi="Times New Roman" w:cs="Times New Roman"/>
        </w:rPr>
      </w:pPr>
      <w:r w:rsidRPr="00FC26E3">
        <w:rPr>
          <w:rFonts w:ascii="Times New Roman" w:hAnsi="Times New Roman" w:cs="Times New Roman"/>
        </w:rPr>
        <w:t>Relative CCK-8 activity (%) = corrected A₄₅₀ of the treated well / mean corrected A₄₅₀ of the corresponding 0 μM group × 100%.</w:t>
      </w:r>
    </w:p>
    <w:p w14:paraId="10620DA8" w14:textId="61C5AE50" w:rsidR="00FC26E3" w:rsidRPr="00FC26E3" w:rsidRDefault="00FC26E3" w:rsidP="00FC26E3">
      <w:pPr>
        <w:jc w:val="both"/>
        <w:rPr>
          <w:rFonts w:ascii="Times New Roman" w:hAnsi="Times New Roman" w:cs="Times New Roman"/>
        </w:rPr>
      </w:pPr>
      <w:r w:rsidRPr="00FC26E3">
        <w:rPr>
          <w:rFonts w:ascii="Times New Roman" w:hAnsi="Times New Roman" w:cs="Times New Roman"/>
        </w:rPr>
        <w:t>Wells with obvious technical artifacts affecting optical measurement, such as air bubbles during absorbance reading, were excluded before group-level analysis. No other CCK-8 wells were excluded.</w:t>
      </w:r>
    </w:p>
    <w:p w14:paraId="30C9DDE3" w14:textId="0FE36933" w:rsidR="008473EA" w:rsidRPr="00C119A5" w:rsidRDefault="00FC26E3" w:rsidP="00FC26E3">
      <w:pPr>
        <w:jc w:val="both"/>
        <w:rPr>
          <w:rFonts w:ascii="Times New Roman" w:hAnsi="Times New Roman" w:cs="Times New Roman"/>
        </w:rPr>
      </w:pPr>
      <w:r w:rsidRPr="00FC26E3">
        <w:rPr>
          <w:rFonts w:ascii="Times New Roman" w:hAnsi="Times New Roman" w:cs="Times New Roman"/>
        </w:rPr>
        <w:t>Scratch-wound recovery, representative morphology, and the relative CCK-8 concentration-response profiles were evaluated jointly. Based on the integrated dose-response pattern, 500 μM CoCl₂ was selected as the operational injury condition for subsequent molecular validation and pharmacological intervention</w:t>
      </w:r>
      <w:r w:rsidR="00680496" w:rsidRPr="00C119A5">
        <w:rPr>
          <w:rFonts w:ascii="Times New Roman" w:hAnsi="Times New Roman" w:cs="Times New Roman"/>
        </w:rPr>
        <w:t>.</w:t>
      </w:r>
    </w:p>
    <w:p w14:paraId="4B520835" w14:textId="77777777" w:rsidR="00ED4995" w:rsidRPr="00C119A5" w:rsidRDefault="00ED4995" w:rsidP="00944015">
      <w:pPr>
        <w:jc w:val="both"/>
        <w:rPr>
          <w:rFonts w:ascii="Times New Roman" w:hAnsi="Times New Roman" w:cs="Times New Roman"/>
          <w:b/>
          <w:bCs/>
        </w:rPr>
      </w:pPr>
      <w:r w:rsidRPr="00C119A5">
        <w:rPr>
          <w:rFonts w:ascii="Times New Roman" w:hAnsi="Times New Roman" w:cs="Times New Roman"/>
          <w:b/>
          <w:bCs/>
        </w:rPr>
        <w:t>2.5 Alda-1 and Daidzin intervention</w:t>
      </w:r>
    </w:p>
    <w:p w14:paraId="2511C2AE" w14:textId="77777777" w:rsidR="008D7AA0" w:rsidRPr="00C119A5" w:rsidRDefault="008D7AA0" w:rsidP="008D7AA0">
      <w:pPr>
        <w:jc w:val="both"/>
        <w:rPr>
          <w:rFonts w:ascii="Times New Roman" w:hAnsi="Times New Roman" w:cs="Times New Roman"/>
        </w:rPr>
      </w:pPr>
      <w:r w:rsidRPr="00C119A5">
        <w:rPr>
          <w:rFonts w:ascii="Times New Roman" w:hAnsi="Times New Roman" w:cs="Times New Roman"/>
        </w:rPr>
        <w:t>For pharmacological intervention experiments, cells were pretreated with 20 μM Alda-1 or 20 μM Daidzin for 1 h before CoCl₂ exposure. Specifically, 1.5 μL of 40 mM Alda-1 or Daidzin stock solution was added to each well containing a final culture volume of 3 mL. The CoCl₂-only group received 1.5 μL DMSO per well.</w:t>
      </w:r>
    </w:p>
    <w:p w14:paraId="3566567E" w14:textId="77777777" w:rsidR="008D7AA0" w:rsidRPr="008D7AA0" w:rsidRDefault="008D7AA0" w:rsidP="008D7AA0">
      <w:pPr>
        <w:jc w:val="both"/>
        <w:rPr>
          <w:rFonts w:ascii="Times New Roman" w:hAnsi="Times New Roman" w:cs="Times New Roman"/>
        </w:rPr>
      </w:pPr>
      <w:r w:rsidRPr="00C119A5">
        <w:rPr>
          <w:rFonts w:ascii="Times New Roman" w:hAnsi="Times New Roman" w:cs="Times New Roman"/>
        </w:rPr>
        <w:t>After pretreatment, cells were exposed to the corresponding CoCl₂-containing treatment medium. For each well, the final 3 mL treatment medium consisted of complete culture medium, 30 μL of 100× CoCl₂ working solution, and 1.5 μL of Alda-1, Daidzin, or DMSO according to group allocation. The final conc</w:t>
      </w:r>
      <w:r w:rsidRPr="008D7AA0">
        <w:rPr>
          <w:rFonts w:ascii="Times New Roman" w:hAnsi="Times New Roman" w:cs="Times New Roman"/>
        </w:rPr>
        <w:t>entrations were 500 μM CoCl₂ and 20 μM Alda-1 or Daidzin. The final DMSO concentration was 0.05% and was kept identical between the CoCl₂-only and drug-treated groups.</w:t>
      </w:r>
    </w:p>
    <w:p w14:paraId="3210EBFA" w14:textId="77777777" w:rsidR="0036340B" w:rsidRPr="000045F3" w:rsidRDefault="008D7AA0" w:rsidP="008D7AA0">
      <w:pPr>
        <w:jc w:val="both"/>
        <w:rPr>
          <w:rFonts w:ascii="Times New Roman" w:hAnsi="Times New Roman" w:cs="Times New Roman"/>
        </w:rPr>
      </w:pPr>
      <w:r w:rsidRPr="008D7AA0">
        <w:rPr>
          <w:rFonts w:ascii="Times New Roman" w:hAnsi="Times New Roman" w:cs="Times New Roman"/>
        </w:rPr>
        <w:t xml:space="preserve">For scratch-wound assays in the intervention experiments, cells were pretreated with Alda-1, </w:t>
      </w:r>
      <w:r w:rsidRPr="008D7AA0">
        <w:rPr>
          <w:rFonts w:ascii="Times New Roman" w:hAnsi="Times New Roman" w:cs="Times New Roman"/>
        </w:rPr>
        <w:lastRenderedPageBreak/>
        <w:t>Daidzin, or DMSO for 1 h before scratch generation. After scratching and PBS washing, the corresponding CoCl₂-containing treatment medium with or without Alda-1 or Daidzin was added, and 0 h images were captured immediately. Culture supernatants and cell lysates were collected at 24 h and/or 48 h for ELISA and Western blot analyses, and scratch-wound and morphology images were collected at the indicated time points</w:t>
      </w:r>
      <w:r w:rsidR="00680496" w:rsidRPr="00680496">
        <w:rPr>
          <w:rFonts w:ascii="Times New Roman" w:hAnsi="Times New Roman" w:cs="Times New Roman"/>
        </w:rPr>
        <w:t>.</w:t>
      </w:r>
    </w:p>
    <w:p w14:paraId="4E39A53E" w14:textId="77777777" w:rsidR="00ED4995" w:rsidRDefault="00ED4995" w:rsidP="00944015">
      <w:pPr>
        <w:jc w:val="both"/>
        <w:rPr>
          <w:rFonts w:ascii="Times New Roman" w:hAnsi="Times New Roman" w:cs="Times New Roman"/>
          <w:b/>
          <w:bCs/>
        </w:rPr>
      </w:pPr>
      <w:r w:rsidRPr="00ED4995">
        <w:rPr>
          <w:rFonts w:ascii="Times New Roman" w:hAnsi="Times New Roman" w:cs="Times New Roman"/>
          <w:b/>
          <w:bCs/>
        </w:rPr>
        <w:t xml:space="preserve">2.6 </w:t>
      </w:r>
      <w:r w:rsidR="008D7AA0" w:rsidRPr="008D7AA0">
        <w:rPr>
          <w:rFonts w:ascii="Times New Roman" w:hAnsi="Times New Roman" w:cs="Times New Roman"/>
          <w:b/>
          <w:bCs/>
        </w:rPr>
        <w:t>Scratch-wound assay and wound-area quantification</w:t>
      </w:r>
    </w:p>
    <w:p w14:paraId="14852A0C" w14:textId="77777777" w:rsidR="008D7AA0" w:rsidRPr="00C119A5" w:rsidRDefault="008D7AA0" w:rsidP="008D7AA0">
      <w:pPr>
        <w:jc w:val="both"/>
        <w:rPr>
          <w:rFonts w:ascii="Times New Roman" w:hAnsi="Times New Roman" w:cs="Times New Roman"/>
        </w:rPr>
      </w:pPr>
      <w:r w:rsidRPr="00C119A5">
        <w:rPr>
          <w:rFonts w:ascii="Times New Roman" w:hAnsi="Times New Roman" w:cs="Times New Roman"/>
        </w:rPr>
        <w:t>Scratch-wound assays were performed when cells reached approximately 80% confluence</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&lt;EndNote&gt;&lt;Cite&gt;&lt;Author&gt;Yang&lt;/Author&gt;&lt;Year&gt;2024&lt;/Year&gt;&lt;RecNum&gt;9128&lt;/RecNum&gt;&lt;DisplayText&gt; [28-30]&lt;/DisplayText&gt;&lt;record&gt;&lt;rec-number&gt;9128&lt;/rec-number&gt;&lt;foreign-keys&gt;&lt;key app="EN" db-id="codex-40refs" timestamp="1781575200"&gt;9128&lt;/key&gt;&lt;/foreign-keys&gt;&lt;ref-type name="Journal Article"&gt;17&lt;/ref-type&gt;&lt;contributors&gt;&lt;authors&gt;&lt;author&gt;Yang, C.&lt;/author&gt;&lt;author&gt;Yin, D.&lt;/author&gt;&lt;author&gt;Zhang, H.&lt;/author&gt;&lt;author&gt;Badea, I.&lt;/author&gt;&lt;author&gt;Yang, SM.&lt;/author&gt;&lt;author&gt;Zhang, W.&lt;/author&gt;&lt;/authors&gt;&lt;/contributors&gt;&lt;titles&gt;&lt;title&gt;Cell Migration Assays and Their Application to Wound Healing Assays-A Critical Review.&lt;/title&gt;&lt;secondary-title&gt;Micromachines (Basel)&lt;/secondary-title&gt;&lt;/titles&gt;&lt;periodical&gt;&lt;full-title&gt;Micromachines&lt;/full-title&gt;&lt;/periodical&gt;&lt;pages&gt;720&lt;/pages&gt;&lt;volume&gt;15&lt;/volume&gt;&lt;number&gt;6&lt;/number&gt;&lt;dates&gt;&lt;year&gt;2024&lt;/year&gt;&lt;/dates&gt;&lt;isbn&gt;&lt;/isbn&gt;&lt;accession-num&gt;38930690&lt;/accession-num&gt;&lt;urls&gt;&lt;/urls&gt;&lt;custom2&gt;PMC10537285&lt;/custom2&gt;&lt;electronic-resource-num&gt;10.3390/mi14091740&lt;/electronic-resource-num&gt;&lt;remote-database-provider&gt;NLM&lt;/remote-database-provider&gt;&lt;language&gt;eng&lt;/language&gt;&lt;/record&gt;&lt;/Cite&gt;&lt;Cite&gt;&lt;Author&gt;Jonkman&lt;/Author&gt;&lt;Year&gt;2014&lt;/Year&gt;&lt;RecNum&gt;9129&lt;/RecNum&gt;&lt;DisplayText&gt; [28-30]&lt;/DisplayText&gt;&lt;record&gt;&lt;rec-number&gt;9129&lt;/rec-number&gt;&lt;foreign-keys&gt;&lt;key app="EN" db-id="codex-40refs" timestamp="1781575200"&gt;9129&lt;/key&gt;&lt;/foreign-keys&gt;&lt;ref-type name="Journal Article"&gt;17&lt;/ref-type&gt;&lt;contributors&gt;&lt;authors&gt;&lt;author&gt;Jonkman, JE.&lt;/author&gt;&lt;author&gt;Cathcart, JA.&lt;/author&gt;&lt;author&gt;Xu, F.&lt;/author&gt;&lt;author&gt;Bartolini, ME.&lt;/author&gt;&lt;author&gt;Amon, JE.&lt;/author&gt;&lt;author&gt;Stevens, KM.&lt;/author&gt;&lt;author&gt;Colarusso, P.&lt;/author&gt;&lt;/authors&gt;&lt;/contributors&gt;&lt;titles&gt;&lt;title&gt;An introduction to the wound healing assay using live-cell microscopy.&lt;/title&gt;&lt;secondary-title&gt;Cell Adh Migr&lt;/secondary-title&gt;&lt;/titles&gt;&lt;periodical&gt;&lt;full-title&gt;Cell adhesion &amp;amp; migration&lt;/full-title&gt;&lt;/periodical&gt;&lt;pages&gt;440-51&lt;/pages&gt;&lt;volume&gt;8&lt;/volume&gt;&lt;number&gt;5&lt;/number&gt;&lt;dates&gt;&lt;year&gt;2014&lt;/year&gt;&lt;/dates&gt;&lt;isbn&gt;&lt;/isbn&gt;&lt;accession-num&gt;25482647&lt;/accession-num&gt;&lt;urls&gt;&lt;/urls&gt;&lt;custom2&gt;PMC3855844&lt;/custom2&gt;&lt;electronic-resource-num&gt;10.4161/cam.36224&lt;/electronic-resource-num&gt;&lt;remote-database-provider&gt;NLM&lt;/remote-database-provider&gt;&lt;language&gt;eng&lt;/language&gt;&lt;/record&gt;&lt;/Cite&gt;&lt;Cite&gt;&lt;Author&gt;Greene&lt;/Author&gt;&lt;Year&gt;2016&lt;/Year&gt;&lt;RecNum&gt;9130&lt;/RecNum&gt;&lt;DisplayText&gt; [28-30]&lt;/DisplayText&gt;&lt;record&gt;&lt;rec-number&gt;9130&lt;/rec-number&gt;&lt;foreign-keys&gt;&lt;key app="EN" db-id="codex-40refs" timestamp="1781575200"&gt;9130&lt;/key&gt;&lt;/foreign-keys&gt;&lt;ref-type name="Journal Article"&gt;17&lt;/ref-type&gt;&lt;contributors&gt;&lt;authors&gt;&lt;author&gt;Greene, WA.&lt;/author&gt;&lt;author&gt;Burke, TA.&lt;/author&gt;&lt;author&gt;Por, ED.&lt;/author&gt;&lt;author&gt;Kaini, RR.&lt;/author&gt;&lt;author&gt;Wang, HC.&lt;/author&gt;&lt;/authors&gt;&lt;/contributors&gt;&lt;titles&gt;&lt;title&gt;Secretion Profile of Induced Pluripotent Stem Cell-Derived Retinal Pigment Epithelium During Wound Healing.&lt;/title&gt;&lt;secondary-title&gt;Invest Ophthalmol Vis Sci&lt;/secondary-title&gt;&lt;/titles&gt;&lt;periodical&gt;&lt;full-title&gt;Investigative ophthalmology &amp;amp; visual science&lt;/full-title&gt;&lt;/periodical&gt;&lt;pages&gt;4428-4441&lt;/pages&gt;&lt;volume&gt;57&lt;/volume&gt;&lt;number&gt;10&lt;/number&gt;&lt;dates&gt;&lt;year&gt;2016&lt;/year&gt;&lt;/dates&gt;&lt;isbn&gt;&lt;/isbn&gt;&lt;accession-num&gt;27750286&lt;/accession-num&gt;&lt;urls&gt;&lt;/urls&gt;&lt;custom2&gt;&lt;/custom2&gt;&lt;electronic-resource-num&gt;10.1167/iovs.16-19192&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[28-30]</w:t>
      </w:r>
      <w:r w:rsidRPr="00C119A5">
        <w:rPr>
          <w:rFonts w:ascii="Times New Roman" w:hAnsi="Times New Roman" w:cs="Times New Roman"/>
        </w:rPr>
        <w:fldChar w:fldCharType="end"/>
      </w:r>
      <w:r w:rsidRPr="00C119A5">
        <w:rPr>
          <w:rFonts w:ascii="Times New Roman" w:hAnsi="Times New Roman" w:cs="Times New Roman"/>
        </w:rPr>
        <w:t>. A cross-shaped reference mark was drawn on the underside of each well before imaging to facilitate repeated localization of the same wound region. A linear scratch was generated in each well using the same type of sterile yellow pipette tip. After scratching, detached cells were gently removed with PBS.</w:t>
      </w:r>
    </w:p>
    <w:p w14:paraId="53AABEC3" w14:textId="77777777" w:rsidR="008D7AA0" w:rsidRPr="00C119A5" w:rsidRDefault="008D7AA0" w:rsidP="008D7AA0">
      <w:pPr>
        <w:jc w:val="both"/>
        <w:rPr>
          <w:rFonts w:ascii="Times New Roman" w:hAnsi="Times New Roman" w:cs="Times New Roman"/>
        </w:rPr>
      </w:pPr>
      <w:r w:rsidRPr="00C119A5">
        <w:rPr>
          <w:rFonts w:ascii="Times New Roman" w:hAnsi="Times New Roman" w:cs="Times New Roman"/>
        </w:rPr>
        <w:t>Fresh treatment medium containing the corresponding CoCl₂ concentration and/or pharmacological compound was then added according to group allocation. For each well, the imaging field was selected adjacent to the reference mark on the same side of the scratch at all time points, allowing longitudinal imaging of the same wound region.</w:t>
      </w:r>
    </w:p>
    <w:p w14:paraId="586525B7" w14:textId="77777777" w:rsidR="008D7AA0" w:rsidRPr="008D7AA0" w:rsidRDefault="008D7AA0" w:rsidP="008D7AA0">
      <w:pPr>
        <w:jc w:val="both"/>
        <w:rPr>
          <w:rFonts w:ascii="Times New Roman" w:hAnsi="Times New Roman" w:cs="Times New Roman"/>
        </w:rPr>
      </w:pPr>
      <w:r w:rsidRPr="00C119A5">
        <w:rPr>
          <w:rFonts w:ascii="Times New Roman" w:hAnsi="Times New Roman" w:cs="Times New Roman"/>
        </w:rPr>
        <w:t>Scratch-wound images were captured at 0, 6, 24, 48, and 72 h for the CoCl₂ dose-gradient experiment and at 0, 24, 48, and 72 h for Alda-1 and Daidzin intervention experiments. Images were acquired using an Olympus</w:t>
      </w:r>
      <w:r w:rsidRPr="008D7AA0">
        <w:rPr>
          <w:rFonts w:ascii="Times New Roman" w:hAnsi="Times New Roman" w:cs="Times New Roman"/>
        </w:rPr>
        <w:t xml:space="preserve"> CKX53 inverted microscope (Olympus, Japan). Wound areas were quantified using ImageJ software version 1.54p</w:t>
      </w:r>
      <w:r>
        <w:rPr>
          <w:rFonts w:ascii="Times New Roman" w:hAnsi="Times New Roman" w:cs="Times New Roman"/>
        </w:rPr>
        <w:fldChar w:fldCharType="begin"/>
      </w:r>
      <w:r>
        <w:rPr>
          <w:rFonts w:ascii="Times New Roman" w:hAnsi="Times New Roman" w:cs="Times New Roman"/>
        </w:rPr>
        <w:instrText xml:space="preserve"> ADDIN EN.CITE &lt;EndNote&gt;&lt;Cite&gt;&lt;Author&gt;Schneider&lt;/Author&gt;&lt;Year&gt;2012&lt;/Year&gt;&lt;RecNum&gt;9131&lt;/RecNum&gt;&lt;DisplayText&gt; [31]&lt;/DisplayText&gt;&lt;record&gt;&lt;rec-number&gt;9131&lt;/rec-number&gt;&lt;foreign-keys&gt;&lt;key app="EN" db-id="codex-40refs" timestamp="1781575200"&gt;9131&lt;/key&gt;&lt;/foreign-keys&gt;&lt;ref-type name="Journal Article"&gt;17&lt;/ref-type&gt;&lt;contributors&gt;&lt;authors&gt;&lt;author&gt;Schneider, CA.&lt;/author&gt;&lt;author&gt;Rasband, WS.&lt;/author&gt;&lt;author&gt;Eliceiri, KW.&lt;/author&gt;&lt;/authors&gt;&lt;/contributors&gt;&lt;titles&gt;&lt;title&gt;NIH Image to ImageJ: 25 years of image analysis.&lt;/title&gt;&lt;secondary-title&gt;Nat Methods&lt;/secondary-title&gt;&lt;/titles&gt;&lt;periodical&gt;&lt;full-title&gt;Nature methods&lt;/full-title&gt;&lt;/periodical&gt;&lt;pages&gt;671-5&lt;/pages&gt;&lt;volume&gt;9&lt;/volume&gt;&lt;number&gt;7&lt;/number&gt;&lt;dates&gt;&lt;year&gt;2012&lt;/year&gt;&lt;/dates&gt;&lt;isbn&gt;&lt;/isbn&gt;&lt;accession-num&gt;22930834&lt;/accession-num&gt;&lt;urls&gt;&lt;/urls&gt;&lt;custom2&gt;PMC1794559&lt;/custom2&gt;&lt;electronic-resource-num&gt;10.1038/nmeth.2089&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[31]</w:t>
      </w:r>
      <w:r>
        <w:rPr>
          <w:rFonts w:ascii="Times New Roman" w:hAnsi="Times New Roman" w:cs="Times New Roman"/>
        </w:rPr>
        <w:fldChar w:fldCharType="end"/>
      </w:r>
      <w:r>
        <w:rPr>
          <w:rFonts w:ascii="Times New Roman" w:hAnsi="Times New Roman" w:cs="Times New Roman"/>
        </w:rPr>
        <w:t>. For each well, the wound area at each time point was normalized to the corresponding 0 h wound area of the same well.</w:t>
      </w:r>
    </w:p>
    <w:p w14:paraId="3B64C661" w14:textId="77777777" w:rsidR="008D7AA0" w:rsidRPr="008D7AA0" w:rsidRDefault="008D7AA0" w:rsidP="008D7AA0">
      <w:pPr>
        <w:jc w:val="both"/>
        <w:rPr>
          <w:rFonts w:ascii="Times New Roman" w:hAnsi="Times New Roman" w:cs="Times New Roman"/>
        </w:rPr>
      </w:pPr>
      <w:r w:rsidRPr="008D7AA0">
        <w:rPr>
          <w:rFonts w:ascii="Times New Roman" w:hAnsi="Times New Roman" w:cs="Times New Roman"/>
        </w:rPr>
        <w:t>Relative wound area was calculated as:</w:t>
      </w:r>
    </w:p>
    <w:p w14:paraId="241B5C78" w14:textId="77777777" w:rsidR="008D7AA0" w:rsidRPr="008D7AA0" w:rsidRDefault="008D7AA0" w:rsidP="008D7AA0">
      <w:pPr>
        <w:jc w:val="both"/>
        <w:rPr>
          <w:rFonts w:ascii="Times New Roman" w:hAnsi="Times New Roman" w:cs="Times New Roman"/>
        </w:rPr>
      </w:pPr>
      <w:r w:rsidRPr="008D7AA0">
        <w:rPr>
          <w:rFonts w:ascii="Times New Roman" w:hAnsi="Times New Roman" w:cs="Times New Roman"/>
        </w:rPr>
        <w:t>Relative wound area (%) = wound area at time t / wound area at 0 h × 100%.</w:t>
      </w:r>
    </w:p>
    <w:p w14:paraId="48B72A48" w14:textId="77777777" w:rsidR="008D7AA0" w:rsidRPr="008D7AA0" w:rsidRDefault="008D7AA0" w:rsidP="008D7AA0">
      <w:pPr>
        <w:jc w:val="both"/>
        <w:rPr>
          <w:rFonts w:ascii="Times New Roman" w:hAnsi="Times New Roman" w:cs="Times New Roman"/>
        </w:rPr>
      </w:pPr>
      <w:r w:rsidRPr="008D7AA0">
        <w:rPr>
          <w:rFonts w:ascii="Times New Roman" w:hAnsi="Times New Roman" w:cs="Times New Roman"/>
        </w:rPr>
        <w:t>Wound closure was calculated as:</w:t>
      </w:r>
    </w:p>
    <w:p w14:paraId="35DDD8F5" w14:textId="77777777" w:rsidR="008D7AA0" w:rsidRPr="008D7AA0" w:rsidRDefault="008D7AA0" w:rsidP="008D7AA0">
      <w:pPr>
        <w:jc w:val="both"/>
        <w:rPr>
          <w:rFonts w:ascii="Times New Roman" w:hAnsi="Times New Roman" w:cs="Times New Roman"/>
        </w:rPr>
      </w:pPr>
      <w:r w:rsidRPr="008D7AA0">
        <w:rPr>
          <w:rFonts w:ascii="Times New Roman" w:hAnsi="Times New Roman" w:cs="Times New Roman"/>
        </w:rPr>
        <w:t>Wound closure (%) = (wound area at 0 h − wound area at time t) / wound area at 0 h × 100%.</w:t>
      </w:r>
    </w:p>
    <w:p w14:paraId="1AD90FD0" w14:textId="77777777" w:rsidR="008473EA" w:rsidRDefault="008D7AA0" w:rsidP="008D7AA0">
      <w:pPr>
        <w:jc w:val="both"/>
        <w:rPr>
          <w:rFonts w:ascii="Times New Roman" w:hAnsi="Times New Roman" w:cs="Times New Roman"/>
        </w:rPr>
      </w:pPr>
      <w:r w:rsidRPr="008D7AA0">
        <w:rPr>
          <w:rFonts w:ascii="Times New Roman" w:hAnsi="Times New Roman" w:cs="Times New Roman"/>
        </w:rPr>
        <w:t>The 0–72 h wound-closure rate was used as the primary endpoint for group comparisons. Each well was treated as one experimental unit</w:t>
      </w:r>
      <w:r w:rsidR="00F12FC2" w:rsidRPr="000045F3">
        <w:rPr>
          <w:rFonts w:ascii="Times New Roman" w:hAnsi="Times New Roman" w:cs="Times New Roman"/>
        </w:rPr>
        <w:t>.</w:t>
      </w:r>
    </w:p>
    <w:p w14:paraId="14406C1E" w14:textId="77777777" w:rsidR="00ED4995" w:rsidRDefault="00ED4995" w:rsidP="00ED4995">
      <w:pPr>
        <w:jc w:val="both"/>
        <w:rPr>
          <w:rFonts w:ascii="Times New Roman" w:hAnsi="Times New Roman" w:cs="Times New Roman"/>
          <w:b/>
          <w:bCs/>
        </w:rPr>
      </w:pPr>
      <w:r w:rsidRPr="00ED4995">
        <w:rPr>
          <w:rFonts w:ascii="Times New Roman" w:hAnsi="Times New Roman" w:cs="Times New Roman"/>
          <w:b/>
          <w:bCs/>
        </w:rPr>
        <w:t>2.7 Representative morphology imaging</w:t>
      </w:r>
    </w:p>
    <w:p w14:paraId="06806E4E" w14:textId="77777777" w:rsidR="00ED4995" w:rsidRPr="00C119A5" w:rsidRDefault="003A69BF" w:rsidP="00ED4995">
      <w:pPr>
        <w:jc w:val="both"/>
        <w:rPr>
          <w:rFonts w:ascii="Times New Roman" w:hAnsi="Times New Roman" w:cs="Times New Roman"/>
        </w:rPr>
      </w:pPr>
      <w:r w:rsidRPr="00C119A5">
        <w:rPr>
          <w:rFonts w:ascii="Times New Roman" w:hAnsi="Times New Roman" w:cs="Times New Roman"/>
        </w:rPr>
        <w:t xml:space="preserve">Representative non-scratch morphology images were captured using an Olympus CKX53 inverted microscope at the indicated time points. Images were obtained from predefined fields under consistent illumination and magnification settings within each experiment. Morphological assessment focused on cell spreading, cell rounding, local confluence, floating/debris-like cells, and cellular arrangement. Morphology images were used as </w:t>
      </w:r>
      <w:r w:rsidRPr="00C119A5">
        <w:rPr>
          <w:rFonts w:ascii="Times New Roman" w:hAnsi="Times New Roman" w:cs="Times New Roman"/>
        </w:rPr>
        <w:lastRenderedPageBreak/>
        <w:t>qualitative visual support and were interpreted together with scratch-wound, ELISA, and Western blot results</w:t>
      </w:r>
      <w:r w:rsidR="00ED4995" w:rsidRPr="00C119A5">
        <w:rPr>
          <w:rFonts w:ascii="Times New Roman" w:hAnsi="Times New Roman" w:cs="Times New Roman"/>
        </w:rPr>
        <w:t>.</w:t>
      </w:r>
    </w:p>
    <w:p w14:paraId="08144AAE" w14:textId="77777777" w:rsidR="00ED4995" w:rsidRPr="00C119A5" w:rsidRDefault="00ED4995" w:rsidP="00ED4995">
      <w:pPr>
        <w:jc w:val="both"/>
        <w:rPr>
          <w:rFonts w:ascii="Times New Roman" w:hAnsi="Times New Roman" w:cs="Times New Roman"/>
          <w:b/>
          <w:bCs/>
        </w:rPr>
      </w:pPr>
      <w:r w:rsidRPr="00C119A5">
        <w:rPr>
          <w:rFonts w:ascii="Times New Roman" w:hAnsi="Times New Roman" w:cs="Times New Roman"/>
          <w:b/>
          <w:bCs/>
        </w:rPr>
        <w:t>2.8 Culture-supernatant ELISA</w:t>
      </w:r>
    </w:p>
    <w:p w14:paraId="0D81AC5D" w14:textId="77777777" w:rsidR="003A69BF" w:rsidRPr="003A69BF" w:rsidRDefault="003A69BF" w:rsidP="003A69BF">
      <w:pPr>
        <w:jc w:val="both"/>
        <w:rPr>
          <w:rFonts w:ascii="Times New Roman" w:hAnsi="Times New Roman" w:cs="Times New Roman"/>
        </w:rPr>
      </w:pPr>
      <w:r w:rsidRPr="00C119A5">
        <w:rPr>
          <w:rFonts w:ascii="Times New Roman" w:hAnsi="Times New Roman" w:cs="Times New Roman"/>
        </w:rPr>
        <w:t>Culture supernatants were collected at the indicated time points. Samples were centrifuged at 4000 rpm for 5 min at 4°C to remove cell debri</w:t>
      </w:r>
      <w:r w:rsidRPr="003A69BF">
        <w:rPr>
          <w:rFonts w:ascii="Times New Roman" w:hAnsi="Times New Roman" w:cs="Times New Roman"/>
        </w:rPr>
        <w:t>s, and the clarified supernatants were stored at −80°C until analysis.</w:t>
      </w:r>
    </w:p>
    <w:p w14:paraId="42BE1346" w14:textId="77777777" w:rsidR="003A69BF" w:rsidRPr="00C119A5" w:rsidRDefault="003A69BF" w:rsidP="003A69BF">
      <w:pPr>
        <w:jc w:val="both"/>
        <w:rPr>
          <w:rFonts w:ascii="Times New Roman" w:hAnsi="Times New Roman" w:cs="Times New Roman"/>
        </w:rPr>
      </w:pPr>
      <w:r w:rsidRPr="003A69BF">
        <w:rPr>
          <w:rFonts w:ascii="Times New Roman" w:hAnsi="Times New Roman" w:cs="Times New Roman"/>
        </w:rPr>
        <w:t>For the 24 h 4-HNE assay, 4-HNE levels were measured using a commercial ELISA kit from Elabscience Biotechn</w:t>
      </w:r>
      <w:r w:rsidRPr="00C119A5">
        <w:rPr>
          <w:rFonts w:ascii="Times New Roman" w:hAnsi="Times New Roman" w:cs="Times New Roman"/>
        </w:rPr>
        <w:t>ology Co., Ltd. (Cat. No. E-EL-0128-96T). For the 48 h 4-HNE assay, 4-HNE levels were measured using a Human 4-HNE ELISA Kit from Jianglai Biotechnology Co., Ltd. (Shanghai, China; Cat. No. JL19014). VEGF-A levels were measured using a Human VEGF ELISA Kit from Jianglai Biotechnology Co., Ltd. (Shanghai, China; Cat. No. JL18341). All assays were performed according to the manufacturers’ instructions.</w:t>
      </w:r>
    </w:p>
    <w:p w14:paraId="10F633B5" w14:textId="77777777" w:rsidR="00ED4995" w:rsidRDefault="003A69BF" w:rsidP="003A69BF">
      <w:pPr>
        <w:jc w:val="both"/>
        <w:rPr>
          <w:rFonts w:ascii="Times New Roman" w:hAnsi="Times New Roman" w:cs="Times New Roman"/>
        </w:rPr>
      </w:pPr>
      <w:r w:rsidRPr="00C119A5">
        <w:rPr>
          <w:rFonts w:ascii="Times New Roman" w:hAnsi="Times New Roman" w:cs="Times New Roman"/>
        </w:rPr>
        <w:t>Absorbance was measured at 450 nm using a SpectraMax 190 microplate reader (Molecular Devices, USA). Each ELISA well was read three times, and the average optical density value was used for concentration calculation. T</w:t>
      </w:r>
      <w:r w:rsidRPr="003A69BF">
        <w:rPr>
          <w:rFonts w:ascii="Times New Roman" w:hAnsi="Times New Roman" w:cs="Times New Roman"/>
        </w:rPr>
        <w:t>echnical duplicate wells were included for each sample when applicable, and duplicate values were averaged to obtain the sample-level value before statistical analysis. Readings affected by visible technical artifacts, such as air bubbles or values outside the standard-curve range, were excluded before averaging</w:t>
      </w:r>
      <w:r w:rsidR="00ED4995" w:rsidRPr="00ED4995">
        <w:rPr>
          <w:rFonts w:ascii="Times New Roman" w:hAnsi="Times New Roman" w:cs="Times New Roman"/>
        </w:rPr>
        <w:t>.</w:t>
      </w:r>
    </w:p>
    <w:p w14:paraId="502A60F9" w14:textId="77777777" w:rsidR="00ED4995" w:rsidRPr="00ED4995" w:rsidRDefault="00ED4995" w:rsidP="00ED4995">
      <w:pPr>
        <w:jc w:val="both"/>
        <w:rPr>
          <w:rFonts w:ascii="Times New Roman" w:hAnsi="Times New Roman" w:cs="Times New Roman"/>
          <w:b/>
          <w:bCs/>
        </w:rPr>
      </w:pPr>
      <w:r w:rsidRPr="00ED4995">
        <w:rPr>
          <w:rFonts w:ascii="Times New Roman" w:hAnsi="Times New Roman" w:cs="Times New Roman"/>
          <w:b/>
          <w:bCs/>
        </w:rPr>
        <w:t>2.9 Western blotting</w:t>
      </w:r>
    </w:p>
    <w:p w14:paraId="04D70F78" w14:textId="77777777" w:rsidR="00ED4995" w:rsidRPr="00ED4995" w:rsidRDefault="00ED4995" w:rsidP="00ED4995">
      <w:pPr>
        <w:jc w:val="both"/>
        <w:rPr>
          <w:rFonts w:ascii="Times New Roman" w:hAnsi="Times New Roman" w:cs="Times New Roman"/>
        </w:rPr>
      </w:pPr>
      <w:r w:rsidRPr="00ED4995">
        <w:rPr>
          <w:rFonts w:ascii="Times New Roman" w:hAnsi="Times New Roman" w:cs="Times New Roman"/>
        </w:rPr>
        <w:t>Cells were lysed at the indicated time points using RIPA lysis buffer supplemented with protease inhibitor cocktail (MedChemExpress, Cat. No. HY-K0012). Protein concentration was determined using an Easy II Protein Quantitative Kit (BCA; TransGen Biotech, Cat. No. DQ111-01) according to the manufacturer’s instructions.</w:t>
      </w:r>
    </w:p>
    <w:p w14:paraId="49792E5C" w14:textId="77777777" w:rsidR="00ED4995" w:rsidRPr="00C119A5" w:rsidRDefault="00ED4995" w:rsidP="00ED4995">
      <w:pPr>
        <w:jc w:val="both"/>
        <w:rPr>
          <w:rFonts w:ascii="Times New Roman" w:hAnsi="Times New Roman" w:cs="Times New Roman"/>
        </w:rPr>
      </w:pPr>
      <w:r w:rsidRPr="00ED4995">
        <w:rPr>
          <w:rFonts w:ascii="Times New Roman" w:hAnsi="Times New Roman" w:cs="Times New Roman"/>
        </w:rPr>
        <w:t>Equal amounts of protein were loaded for SDS-PAGE, with 6 μg protein per lane. Proteins were separated using 10% FuturePAGE precast gels (ACE Biotechnology, China; Cat. No. ET15010Gel, 15 wells) and a DYY-6E electrophoresis power supply (Beijing Liuyi Biotechnology Co., Ltd., Beijing, China). Electrophoresis was performed at 160 V for approx</w:t>
      </w:r>
      <w:r w:rsidRPr="00C119A5">
        <w:rPr>
          <w:rFonts w:ascii="Times New Roman" w:hAnsi="Times New Roman" w:cs="Times New Roman"/>
        </w:rPr>
        <w:t>imately 50 min. Proteins were then transferred onto 0.45 μm PVDF membranes (Millipore, USA).</w:t>
      </w:r>
    </w:p>
    <w:p w14:paraId="48F44900" w14:textId="77777777" w:rsidR="00ED4995" w:rsidRPr="00C119A5" w:rsidRDefault="00ED4995" w:rsidP="00ED4995">
      <w:pPr>
        <w:jc w:val="both"/>
        <w:rPr>
          <w:rFonts w:ascii="Times New Roman" w:hAnsi="Times New Roman" w:cs="Times New Roman"/>
        </w:rPr>
      </w:pPr>
      <w:r w:rsidRPr="00C119A5">
        <w:rPr>
          <w:rFonts w:ascii="Times New Roman" w:hAnsi="Times New Roman" w:cs="Times New Roman"/>
        </w:rPr>
        <w:t>According to the expected molecular-weight regions, the gel/membrane was cut after electrophoresis. The lower molecular-weight region was transferred at 250 mA for 15 min, whereas the upper molecular-weight region was transferred at 300 mA for 80 min.</w:t>
      </w:r>
    </w:p>
    <w:p w14:paraId="5EA16D13" w14:textId="77777777" w:rsidR="00ED4995" w:rsidRPr="00ED4995" w:rsidRDefault="00ED4995" w:rsidP="00ED4995">
      <w:pPr>
        <w:jc w:val="both"/>
        <w:rPr>
          <w:rFonts w:ascii="Times New Roman" w:hAnsi="Times New Roman" w:cs="Times New Roman"/>
        </w:rPr>
      </w:pPr>
      <w:r w:rsidRPr="00C119A5">
        <w:rPr>
          <w:rFonts w:ascii="Times New Roman" w:hAnsi="Times New Roman" w:cs="Times New Roman"/>
        </w:rPr>
        <w:t xml:space="preserve">After transfer, membranes were blocked with 5% non-fat milk in TBST for 1 h at room </w:t>
      </w:r>
      <w:r w:rsidRPr="00C119A5">
        <w:rPr>
          <w:rFonts w:ascii="Times New Roman" w:hAnsi="Times New Roman" w:cs="Times New Roman"/>
        </w:rPr>
        <w:lastRenderedPageBreak/>
        <w:t>temperature and incubated overnight at 4°C with the following primary antibodies: HIF-1α (Cell Signaling Technology, Cat. No. 36169S, 1:1000), BAX (Cell Signaling Technology, Cat. No. 2772S, 1:1000), ALDH2 (Proteintech, Cat. No. 15310-1-AP, 1:20,000), and GAPDH (Proteintech, Cat. No. 60004-1-Ig, 1:50,</w:t>
      </w:r>
      <w:r w:rsidRPr="00ED4995">
        <w:rPr>
          <w:rFonts w:ascii="Times New Roman" w:hAnsi="Times New Roman" w:cs="Times New Roman"/>
        </w:rPr>
        <w:t>000). Primary antibodies were diluted with commercial WB antibody diluent (MedChemExpress, Cat. No. HY-K2007).</w:t>
      </w:r>
    </w:p>
    <w:p w14:paraId="71E25734" w14:textId="77777777" w:rsidR="008473EA" w:rsidRDefault="00ED4995" w:rsidP="00ED4995">
      <w:pPr>
        <w:jc w:val="both"/>
        <w:rPr>
          <w:rFonts w:ascii="Times New Roman" w:hAnsi="Times New Roman" w:cs="Times New Roman"/>
        </w:rPr>
      </w:pPr>
      <w:r w:rsidRPr="00ED4995">
        <w:rPr>
          <w:rFonts w:ascii="Times New Roman" w:hAnsi="Times New Roman" w:cs="Times New Roman"/>
        </w:rPr>
        <w:t>After washing with TBST, membranes were incubated with HRP-conjugated secondary antibodies for 1 h at room temperature. HRP-conjugated Goat Anti-Mouse IgG(H+L) (Proteintech, Cat. No. SA00001-1, 1:2000) was used for mouse primary antibodies, and HRP-conjugated Goat Anti-Rabbit IgG(H+L) (Proteintech, Cat. No. SA00001-2, 1:2000) was used for rabbit primary antibodies. Protein bands were visualized using Superstar ECL Plus chemiluminescent substrate (Boster Biological Technology Co., Ltd., Cat. No. AR1171S) and captured using a ChemScope 6200 Touch chemiluminescence imaging system (Clinx Science Instruments Co., Ltd., Shanghai, China).</w:t>
      </w:r>
      <w:r>
        <w:rPr>
          <w:rFonts w:ascii="Times New Roman" w:hAnsi="Times New Roman" w:cs="Times New Roman"/>
        </w:rPr>
        <w:t xml:space="preserve"> </w:t>
      </w:r>
      <w:r w:rsidRPr="00ED4995">
        <w:rPr>
          <w:rFonts w:ascii="Times New Roman" w:hAnsi="Times New Roman" w:cs="Times New Roman"/>
        </w:rPr>
        <w:t>Densitometric analysis was performed using ImageJ software version 1.54p</w:t>
      </w:r>
      <w:r>
        <w:rPr>
          <w:rFonts w:ascii="Times New Roman" w:hAnsi="Times New Roman" w:cs="Times New Roman"/>
        </w:rPr>
        <w:fldChar w:fldCharType="begin"/>
      </w:r>
      <w:r>
        <w:rPr>
          <w:rFonts w:ascii="Times New Roman" w:hAnsi="Times New Roman" w:cs="Times New Roman"/>
        </w:rPr>
        <w:instrText xml:space="preserve"> ADDIN EN.CITE &lt;EndNote&gt;&lt;Cite&gt;&lt;Author&gt;Schneider&lt;/Author&gt;&lt;Year&gt;2012&lt;/Year&gt;&lt;RecNum&gt;9131&lt;/RecNum&gt;&lt;DisplayText&gt; [31]&lt;/DisplayText&gt;&lt;record&gt;&lt;rec-number&gt;9131&lt;/rec-number&gt;&lt;foreign-keys&gt;&lt;key app="EN" db-id="codex-40refs" timestamp="1781575200"&gt;9131&lt;/key&gt;&lt;/foreign-keys&gt;&lt;ref-type name="Journal Article"&gt;17&lt;/ref-type&gt;&lt;contributors&gt;&lt;authors&gt;&lt;author&gt;Schneider, CA.&lt;/author&gt;&lt;author&gt;Rasband, WS.&lt;/author&gt;&lt;author&gt;Eliceiri, KW.&lt;/author&gt;&lt;/authors&gt;&lt;/contributors&gt;&lt;titles&gt;&lt;title&gt;NIH Image to ImageJ: 25 years of image analysis.&lt;/title&gt;&lt;secondary-title&gt;Nat Methods&lt;/secondary-title&gt;&lt;/titles&gt;&lt;periodical&gt;&lt;full-title&gt;Nature methods&lt;/full-title&gt;&lt;/periodical&gt;&lt;pages&gt;671-5&lt;/pages&gt;&lt;volume&gt;9&lt;/volume&gt;&lt;number&gt;7&lt;/number&gt;&lt;dates&gt;&lt;year&gt;2012&lt;/year&gt;&lt;/dates&gt;&lt;isbn&gt;&lt;/isbn&gt;&lt;accession-num&gt;22930834&lt;/accession-num&gt;&lt;urls&gt;&lt;/urls&gt;&lt;custom2&gt;PMC1794559&lt;/custom2&gt;&lt;electronic-resource-num&gt;10.1038/nmeth.2089&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[31]</w:t>
      </w:r>
      <w:r>
        <w:rPr>
          <w:rFonts w:ascii="Times New Roman" w:hAnsi="Times New Roman" w:cs="Times New Roman"/>
        </w:rPr>
        <w:fldChar w:fldCharType="end"/>
      </w:r>
      <w:r>
        <w:rPr>
          <w:rFonts w:ascii="Times New Roman" w:hAnsi="Times New Roman" w:cs="Times New Roman"/>
        </w:rPr>
        <w:t>. Target protein signals were normalized to GAPDH from the same lane.</w:t>
      </w:r>
    </w:p>
    <w:p w14:paraId="133855E9" w14:textId="77777777" w:rsidR="00ED4995" w:rsidRPr="00C119A5" w:rsidRDefault="00ED4995" w:rsidP="00ED4995">
      <w:pPr>
        <w:jc w:val="both"/>
        <w:rPr>
          <w:rFonts w:ascii="Times New Roman" w:hAnsi="Times New Roman" w:cs="Times New Roman"/>
          <w:b/>
          <w:bCs/>
        </w:rPr>
      </w:pPr>
      <w:r w:rsidRPr="00C119A5">
        <w:rPr>
          <w:rFonts w:ascii="Times New Roman" w:hAnsi="Times New Roman" w:cs="Times New Roman"/>
          <w:b/>
          <w:bCs/>
        </w:rPr>
        <w:t>2.10 Statistical analysis</w:t>
      </w:r>
    </w:p>
    <w:p w14:paraId="4DD2AF81" w14:textId="542516A7" w:rsidR="00B278C9" w:rsidRPr="00B97E07" w:rsidRDefault="00B278C9" w:rsidP="00B278C9">
      <w:pPr>
        <w:jc w:val="both"/>
        <w:rPr>
          <w:rFonts w:ascii="Times New Roman" w:hAnsi="Times New Roman" w:cs="Times New Roman"/>
        </w:rPr>
      </w:pPr>
      <w:r w:rsidRPr="00B278C9">
        <w:rPr>
          <w:rFonts w:ascii="Times New Roman" w:hAnsi="Times New Roman" w:cs="Times New Roman"/>
        </w:rPr>
        <w:t>Data are presented as mean ± standard deviation (SD). For scratch-wound assays, each well was treated as one experimental unit, and the 0–72 h wound-closure rate was calculated as (area at 0 h − area at 72 h) / area at 0 h × 100%. For the CoCl₂ dose-gradient experiment, 0–72 h wound-closure rates were compared among concentration groups using one-way ANOVA followed by Dunnett’s multiple-comparison test versus the 0 μM group; raw baseline wound area at 0 h was compared using one-way ANOVA. Time-course relative wound-area data were analyzed usin</w:t>
      </w:r>
      <w:r w:rsidRPr="00B97E07">
        <w:rPr>
          <w:rFonts w:ascii="Times New Roman" w:hAnsi="Times New Roman" w:cs="Times New Roman"/>
        </w:rPr>
        <w:t>g a repeated-measures mixed-effects model, with well identity specified as the repeated-measure unit and concentration, time, and concentration × time interaction included as model terms.</w:t>
      </w:r>
    </w:p>
    <w:p w14:paraId="7134401D" w14:textId="1073FE1B" w:rsidR="00B278C9" w:rsidRPr="00B278C9" w:rsidRDefault="003E0E7C" w:rsidP="00B278C9">
      <w:pPr>
        <w:jc w:val="both"/>
        <w:rPr>
          <w:rFonts w:ascii="Times New Roman" w:hAnsi="Times New Roman" w:cs="Times New Roman"/>
        </w:rPr>
      </w:pPr>
      <w:r w:rsidRPr="00B97E07">
        <w:rPr>
          <w:rFonts w:ascii="Times New Roman" w:hAnsi="Times New Roman" w:cs="Times New Roman"/>
        </w:rPr>
        <w:t>For the CCK-8 assay, the six instrument-level readings obtained from each physical well were first averaged to generate one well-level A₄₅₀ value. Each separately seeded and individually treated physical well was then treated as one well-level experimental unit. Wells affected by documented optical-measurement artifacts, such as air bubbles, were excluded before group-level analysis. Concentration groups were analyz</w:t>
      </w:r>
      <w:r w:rsidRPr="003E0E7C">
        <w:rPr>
          <w:rFonts w:ascii="Times New Roman" w:hAnsi="Times New Roman" w:cs="Times New Roman"/>
        </w:rPr>
        <w:t>ed separately at 24, 48, and 72 h using one-way ANOVA followed by Dunnett’s multiple-comparison test versus the corresponding 0 μM group.</w:t>
      </w:r>
    </w:p>
    <w:p w14:paraId="73449466" w14:textId="124EB833" w:rsidR="00ED4995" w:rsidRPr="00806F69" w:rsidRDefault="00B278C9" w:rsidP="00B278C9">
      <w:pPr>
        <w:jc w:val="both"/>
        <w:rPr>
          <w:rFonts w:ascii="Times New Roman" w:hAnsi="Times New Roman" w:cs="Times New Roman"/>
        </w:rPr>
      </w:pPr>
      <w:r w:rsidRPr="00B278C9">
        <w:rPr>
          <w:rFonts w:ascii="Times New Roman" w:hAnsi="Times New Roman" w:cs="Times New Roman"/>
        </w:rPr>
        <w:t xml:space="preserve">For Alda-1 and Daidzin intervention experiments, 0–72 h wound-closure rates were compared between two groups using Welch’s unpaired t-test. For ELISA analysis, instrument readings and technical duplicate values from the same sample were averaged before statistical testing, </w:t>
      </w:r>
      <w:r w:rsidRPr="00B278C9">
        <w:rPr>
          <w:rFonts w:ascii="Times New Roman" w:hAnsi="Times New Roman" w:cs="Times New Roman"/>
        </w:rPr>
        <w:lastRenderedPageBreak/>
        <w:t>and two-group comparisons were performed using Welch’s unpaired t-test. Western blot densitometric values were normalized to GAPDH from the same lane and expressed relative to the corresponding reference group; two-group comparisons were performed using Welch’s unpaired t-test unless otherwise specified. Because the number of valid CoCl₂ lanes for BAX was limited, BAX was interpreted as a directional trend. Statistical analyses were performed using IBM SPSS Statistics version 27.0.1 and GraphPad Prism version 9.5.1. A two-sided P &lt; 0.05 was considered statistically significant</w:t>
      </w:r>
      <w:r w:rsidR="00806F69" w:rsidRPr="00806F69">
        <w:rPr>
          <w:rFonts w:ascii="Times New Roman" w:hAnsi="Times New Roman" w:cs="Times New Roman"/>
        </w:rPr>
        <w:t>.</w:t>
      </w:r>
    </w:p>
    <w:p w14:paraId="28FDF535" w14:textId="77777777" w:rsidR="008473EA" w:rsidRPr="000045F3" w:rsidRDefault="00F12FC2" w:rsidP="00944015">
      <w:pPr>
        <w:jc w:val="both"/>
        <w:rPr>
          <w:rFonts w:ascii="Times New Roman" w:hAnsi="Times New Roman" w:cs="Times New Roman"/>
          <w:b/>
          <w:bCs/>
        </w:rPr>
      </w:pPr>
      <w:bookmarkStart w:id="4" w:name="OLE_LINK8"/>
      <w:r w:rsidRPr="000045F3">
        <w:rPr>
          <w:rFonts w:ascii="Times New Roman" w:hAnsi="Times New Roman" w:cs="Times New Roman"/>
          <w:b/>
          <w:bCs/>
        </w:rPr>
        <w:t>3. Results</w:t>
      </w:r>
    </w:p>
    <w:p w14:paraId="31B4B850" w14:textId="188D0A0F" w:rsidR="008473EA" w:rsidRPr="000045F3" w:rsidRDefault="00F12FC2" w:rsidP="00944015">
      <w:pPr>
        <w:jc w:val="both"/>
        <w:rPr>
          <w:rFonts w:ascii="Times New Roman" w:hAnsi="Times New Roman" w:cs="Times New Roman"/>
        </w:rPr>
      </w:pPr>
      <w:r w:rsidRPr="000045F3">
        <w:rPr>
          <w:rFonts w:ascii="Times New Roman" w:hAnsi="Times New Roman" w:cs="Times New Roman"/>
          <w:b/>
          <w:bCs/>
        </w:rPr>
        <w:t xml:space="preserve">3.1 </w:t>
      </w:r>
      <w:r w:rsidR="00486DC1" w:rsidRPr="00486DC1">
        <w:rPr>
          <w:rFonts w:ascii="Times New Roman" w:hAnsi="Times New Roman" w:cs="Times New Roman"/>
          <w:b/>
          <w:bCs/>
        </w:rPr>
        <w:t>CoCl₂ dose-gradient screening identified 500 μM as the subsequent injury condition</w:t>
      </w:r>
    </w:p>
    <w:p w14:paraId="409BB897" w14:textId="4FD5471B" w:rsidR="00486DC1" w:rsidRPr="00B97E07" w:rsidRDefault="00486DC1" w:rsidP="00486DC1">
      <w:pPr>
        <w:jc w:val="both"/>
        <w:rPr>
          <w:rFonts w:ascii="Times New Roman" w:hAnsi="Times New Roman" w:cs="Times New Roman"/>
        </w:rPr>
      </w:pPr>
      <w:r w:rsidRPr="00486DC1">
        <w:rPr>
          <w:rFonts w:ascii="Times New Roman" w:hAnsi="Times New Roman" w:cs="Times New Roman"/>
        </w:rPr>
        <w:t>CoCl₂ exposure produced two distinct scratch-wound recovery patterns in ARPE-19/RPE cells. In the low-dose range, the scratch gap progressively narrowed over time. Cells exposed to 0 and 10 μM CoCl₂ showed near-complete wound closure by 72 h, while the 100 μM group also retained an overall closing pattern, although recovery appeared slightly slower and less complete than that in the lower-dose groups (Figure 2A–C). Quantitatively, the 0–72 h wound-closure rates were 98.5 ± 2.6%, 100.0 ± 0.0%, and 87.5 ± 10.0% in the 0, 10, and 100 μM groups, respectively. Compared with the 0 μM control, neither 10 μM nor 100 μM CoCl₂ significantly changed the 0–72 h wound-closure rate after Dunnett correction (10 μM: P &gt; 0.999; 100 μM: P = 0.786; Table 1).</w:t>
      </w:r>
      <w:r>
        <w:rPr>
          <w:rFonts w:ascii="Times New Roman" w:hAnsi="Times New Roman" w:cs="Times New Roman"/>
        </w:rPr>
        <w:t xml:space="preserve"> </w:t>
      </w:r>
      <w:r w:rsidRPr="00486DC1">
        <w:rPr>
          <w:rFonts w:ascii="Times New Roman" w:hAnsi="Times New Roman" w:cs="Times New Roman"/>
        </w:rPr>
        <w:t>By contrast, a clear wound-closure failure pattern emerged at CoCl₂ concentrations of 500 μM and above. In the 500, 1000, and 2000 μM groups, the scratch area did not progressively close and instead remained enlarged or further expanded at later time points (Figure 2D–F). The corresponding 0–72 h wound-closure rates were −18.1 ± 21.6%, −22.8 ± 20.1%, and −27.3 ± 12.4%, respectively. These negative values represented wound expansion-like changes or disruption of the wound edges rather than effective wound repair. Compared with the 0 μM group, all three higher CoCl₂ concentrations significantly reduced the 0–72 h wound-closure rate after Dunnett correction (all P &lt; 0.001; Table 1).</w:t>
      </w:r>
      <w:r>
        <w:rPr>
          <w:rFonts w:ascii="Times New Roman" w:hAnsi="Times New Roman" w:cs="Times New Roman"/>
        </w:rPr>
        <w:t xml:space="preserve"> </w:t>
      </w:r>
      <w:r w:rsidRPr="00486DC1">
        <w:rPr>
          <w:rFonts w:ascii="Times New Roman" w:hAnsi="Times New Roman" w:cs="Times New Roman"/>
        </w:rPr>
        <w:t>The initial wound area at 0 h did not differ significantly among the concentration groups (P = 0.078). Time-course analysis of the relative wound-area curves further showed a significant concentration × time interaction (P &lt; 0.001), de</w:t>
      </w:r>
      <w:r w:rsidRPr="00B97E07">
        <w:rPr>
          <w:rFonts w:ascii="Times New Roman" w:hAnsi="Times New Roman" w:cs="Times New Roman"/>
        </w:rPr>
        <w:t>monstrating that the separation of the wound-recovery patterns developed progressively during CoCl₂ exposure.</w:t>
      </w:r>
    </w:p>
    <w:p w14:paraId="3FBBA6B8" w14:textId="5E640E92" w:rsidR="003210CF" w:rsidRPr="00B97E07" w:rsidRDefault="003210CF" w:rsidP="003210CF">
      <w:pPr>
        <w:jc w:val="both"/>
        <w:rPr>
          <w:rFonts w:ascii="Times New Roman" w:hAnsi="Times New Roman" w:cs="Times New Roman"/>
        </w:rPr>
      </w:pPr>
      <w:r w:rsidRPr="00B97E07">
        <w:rPr>
          <w:rFonts w:ascii="Times New Roman" w:hAnsi="Times New Roman" w:cs="Times New Roman"/>
        </w:rPr>
        <w:t xml:space="preserve">The CCK-8 assay provided a complementary quantitative assessment of relative cellular metabolic activity across the CoCl₂ dose gradient (Figure 2G). Overall concentration effects were detected at 24, 48, and 72 h (one-way ANOVA, all overall P &lt; 0.001). At 24 h, 500 μM CoCl₂ retained a near-control relative CCK-8 signal, whereas the most pronounced reduction was observed at 2000 μM (39.9 ± 3.0%, adjusted P = 0.004). At 48 h, the 100 μM group showed a transiently elevated signal (142.2 ± 32.2%, adjusted P = 0.010), whereas the relative signals were 85.5 ± 16.2%, 55.2 ± 13.3%, and 21.3 ± 1.8% at 500, 1000, and 2000 μM, respectively; </w:t>
      </w:r>
      <w:r w:rsidRPr="00B97E07">
        <w:rPr>
          <w:rFonts w:ascii="Times New Roman" w:hAnsi="Times New Roman" w:cs="Times New Roman"/>
        </w:rPr>
        <w:lastRenderedPageBreak/>
        <w:t>the reductions at 1000 and 2000 μM were statistically significant (adjusted P = 0.006 and P &lt; 0.001, respectively). At 72 h, the relative CCK-8 signal at 500 μM showed a descriptive downward shift to 69.1 ± 36.4%, but the difference from the 0 μM group was not statistically significant (adjusted P = 0.285). In contrast, 1000 and 2000 μM produced marked reductions to 21.0 ± 8.8% and 13.5 ± 1.1%, respectively (both adjusted P &lt; 0.001).</w:t>
      </w:r>
    </w:p>
    <w:p w14:paraId="310541B0" w14:textId="1E1D57F0" w:rsidR="00486DC1" w:rsidRPr="00B97E07" w:rsidRDefault="003210CF" w:rsidP="003210CF">
      <w:pPr>
        <w:jc w:val="both"/>
        <w:rPr>
          <w:rFonts w:ascii="Times New Roman" w:hAnsi="Times New Roman" w:cs="Times New Roman"/>
        </w:rPr>
      </w:pPr>
      <w:r w:rsidRPr="00B97E07">
        <w:rPr>
          <w:rFonts w:ascii="Times New Roman" w:hAnsi="Times New Roman" w:cs="Times New Roman"/>
        </w:rPr>
        <w:t>The CCK-8 profile therefore showed concentration-dependent differences at each time point but did not fully parallel the scratch-wound response. Notably, 500 μM CoCl₂ was the lowest tested concentration that produced statistically significant wound-recovery failure and observable morphological injury, while its relative CCK-8 signal remained substantially higher than those observed at 1000 and 2000 μM at the later time points. On this integrated basis, 500 μM was selected as an operational, nonmaximal injury condition for subsequent molecular and pharmacological experiments. Because CCK-8 reflects dehydrogenase-dependent metabolic activity rather than directly quantifying viable-cell number or apoptosis, these findings do not establish that 500 μM was non-cytotoxic or hypoxia-specific, and concurrent direct CoCl₂ cytotoxicity cannot be excluded</w:t>
      </w:r>
      <w:r w:rsidR="00486DC1" w:rsidRPr="00B97E07">
        <w:rPr>
          <w:rFonts w:ascii="Times New Roman" w:hAnsi="Times New Roman" w:cs="Times New Roman"/>
        </w:rPr>
        <w:t>.</w:t>
      </w:r>
    </w:p>
    <w:p w14:paraId="7F3D429C" w14:textId="7AF14B82" w:rsidR="008473EA" w:rsidRPr="000045F3" w:rsidRDefault="00792992" w:rsidP="00B278C9">
      <w:pPr>
        <w:jc w:val="both"/>
        <w:rPr>
          <w:rFonts w:ascii="Times New Roman" w:hAnsi="Times New Roman" w:cs="Times New Roman"/>
        </w:rPr>
      </w:pPr>
      <w:r w:rsidRPr="00B97E07">
        <w:rPr>
          <w:rFonts w:ascii="Times New Roman" w:hAnsi="Times New Roman" w:cs="Times New Roman"/>
        </w:rPr>
        <w:t>Representative morphology provided complementary eviden</w:t>
      </w:r>
      <w:r w:rsidRPr="00792992">
        <w:rPr>
          <w:rFonts w:ascii="Times New Roman" w:hAnsi="Times New Roman" w:cs="Times New Roman"/>
        </w:rPr>
        <w:t>ce for the concentration-resolved injury pattern. At 500 μM CoCl₂, cell spreading was reduced, and cell rounding and enlarged intercellular gaps became evident, while a substantial population of adherent cells remained. In contrast, the 1000 and 2000 μM groups showed more extensive late-stage deterioration, including pronounced cell rounding, disruption of monolayer-like organization, detachment, and increased floating or debris-like structures (Figure 3A,B). Taken together with the scratch-wound and CCK-8 findings, these observations supported the operational selection of 500 μM as the lowest tested concentration producing clear functional and morphological injury without the more extensive late-stage damage observed at higher concentrations. The 500 μM condition was therefore selected as a measurable, nonmaximal injury window for subsequent molecular and pharmacological experiments and was not intended to represent a non-cytotoxic or hypoxia-specific model</w:t>
      </w:r>
      <w:r w:rsidR="00486DC1" w:rsidRPr="00486DC1">
        <w:rPr>
          <w:rFonts w:ascii="Times New Roman" w:hAnsi="Times New Roman" w:cs="Times New Roman"/>
        </w:rPr>
        <w:t>.</w:t>
      </w:r>
    </w:p>
    <w:p w14:paraId="6C315CBF" w14:textId="6447E90D" w:rsidR="00A65E0A" w:rsidRPr="00C119A5" w:rsidRDefault="00BB424F" w:rsidP="000C75CE">
      <w:pPr>
        <w:spacing w:line="240" w:lineRule="auto"/>
        <w:jc w:val="both"/>
        <w:rPr>
          <w:rFonts w:ascii="Times New Roman" w:hAnsi="Times New Roman" w:cs="Times New Roman"/>
        </w:rPr>
      </w:pPr>
      <w:r>
        <w:rPr>
          <w:rFonts w:ascii="Times New Roman" w:hAnsi="Times New Roman" w:cs="Times New Roman"/>
          <w:noProof/>
        </w:rPr>
        <w:lastRenderedPageBreak/>
        <w:drawing>
          <wp:inline distT="0" distB="0" distL="0" distR="0" wp14:anchorId="629E55A9" wp14:editId="51A93AF7">
            <wp:extent cx="5211445" cy="8863965"/>
            <wp:effectExtent l="0" t="0" r="825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1445" cy="8863965"/>
                    </a:xfrm>
                    <a:prstGeom prst="rect">
                      <a:avLst/>
                    </a:prstGeom>
                    <a:noFill/>
                    <a:ln>
                      <a:noFill/>
                    </a:ln>
                  </pic:spPr>
                </pic:pic>
              </a:graphicData>
            </a:graphic>
          </wp:inline>
        </w:drawing>
      </w:r>
      <w:r w:rsidR="00E9551E" w:rsidRPr="000C75CE">
        <w:rPr>
          <w:rFonts w:ascii="Times New Roman" w:hAnsi="Times New Roman" w:cs="Times New Roman"/>
          <w:b/>
          <w:bCs/>
          <w:sz w:val="20"/>
          <w:szCs w:val="20"/>
        </w:rPr>
        <w:lastRenderedPageBreak/>
        <w:t xml:space="preserve">Figure </w:t>
      </w:r>
      <w:r w:rsidR="00E9551E" w:rsidRPr="00C119A5">
        <w:rPr>
          <w:rFonts w:ascii="Times New Roman" w:hAnsi="Times New Roman" w:cs="Times New Roman"/>
          <w:b/>
          <w:bCs/>
          <w:sz w:val="20"/>
          <w:szCs w:val="20"/>
        </w:rPr>
        <w:t xml:space="preserve">2. </w:t>
      </w:r>
      <w:r w:rsidR="00792992" w:rsidRPr="00792992">
        <w:rPr>
          <w:rFonts w:ascii="Times New Roman" w:hAnsi="Times New Roman" w:cs="Times New Roman"/>
          <w:sz w:val="20"/>
          <w:szCs w:val="20"/>
        </w:rPr>
        <w:t>Concentration-dependent effects of CoCl₂ on scratch-wound recovery and relative CCK-8 metabolic activity in ARPE-19 cells. (A) Representative scratch-wound images of cells exposed to 0, 10, and 100 μM CoCl₂ at 0, 6, 24, 48, and 72 h. (B) Time-course scratch-wound closure curves for the low-dose groups. (C) Relative wound-area curves for the low-dose groups, normalized to the corresponding 0 h wound area of each well. (D) Representative scratch-wound images of cells exposed to 500, 1000, and 2000 μM CoCl₂ at the same time points. (E) Relative wound-area curves for the higher-concentration groups. (F) Time-course scratch-wound closure curves for the higher-concentration groups. (G) Relative CCK-8 metabolic activity after 24, 48, and 72 h of CoCl₂ exposure. The left panel shows individual well-level values with mean ± SD, and the right panel shows concentration-response profiles across the three exposure times. Each well-level value represents the mean of six instrument-level absorbance readings obtained from two consecutive plate-reader acquisition runs. The shaded region indicates the operational 500 μM injury condition selected for subsequent molecular and pharmacological experiments. CCK-8 values represent relative dehydrogenase-dependent metabolic activity and should not be interpreted as direct measurements of viable-cell number or apoptosis. Time-course relative wound-area curves were analyzed using a repeated-measures mixed-effects model, which showed a significant concentration × time interaction (P &lt; 0.001); endpoint statistics for the 0–72 h wound-closure rate are summarized in Table 1. CCK-8 data at each exposure time were analyzed separately using one-way ANOVA followed by Dunnett’s multiple-comparison test versus the corresponding 0 μM group. Scale bars are shown in the representative images</w:t>
      </w:r>
      <w:r w:rsidR="006121D8" w:rsidRPr="00C119A5">
        <w:rPr>
          <w:rFonts w:ascii="Times New Roman" w:hAnsi="Times New Roman" w:cs="Times New Roman"/>
          <w:sz w:val="20"/>
          <w:szCs w:val="20"/>
        </w:rPr>
        <w:t>.</w:t>
      </w:r>
      <w:r w:rsidR="00E9551E" w:rsidRPr="00C119A5">
        <w:rPr>
          <w:rFonts w:ascii="Times New Roman" w:hAnsi="Times New Roman" w:cs="Times New Roman"/>
          <w:sz w:val="20"/>
          <w:szCs w:val="20"/>
        </w:rPr>
        <w:t xml:space="preserve"> </w:t>
      </w:r>
    </w:p>
    <w:p w14:paraId="3CBFF1D0" w14:textId="77777777" w:rsidR="00E9551E" w:rsidRPr="00C119A5" w:rsidRDefault="00E9551E" w:rsidP="00E9551E">
      <w:pPr>
        <w:jc w:val="both"/>
        <w:rPr>
          <w:rFonts w:ascii="Times New Roman" w:hAnsi="Times New Roman" w:cs="Times New Roman"/>
        </w:rPr>
      </w:pPr>
      <w:r w:rsidRPr="00C119A5">
        <w:rPr>
          <w:rFonts w:ascii="Times New Roman" w:hAnsi="Times New Roman" w:cs="Times New Roman"/>
          <w:b/>
          <w:bCs/>
        </w:rPr>
        <w:t xml:space="preserve">Table 1. </w:t>
      </w:r>
      <w:r w:rsidR="006C625E" w:rsidRPr="00C119A5">
        <w:rPr>
          <w:rFonts w:ascii="Times New Roman" w:hAnsi="Times New Roman" w:cs="Times New Roman"/>
        </w:rPr>
        <w:t>Statistical summary of CoCl₂ dose-gradient scratch-wound recovery.</w:t>
      </w:r>
    </w:p>
    <w:tbl>
      <w:tblPr>
        <w:tblW w:w="8406" w:type="dxa"/>
        <w:jc w:val="center"/>
        <w:tblLook w:val="04A0" w:firstRow="1" w:lastRow="0" w:firstColumn="1" w:lastColumn="0" w:noHBand="0" w:noVBand="1"/>
      </w:tblPr>
      <w:tblGrid>
        <w:gridCol w:w="1098"/>
        <w:gridCol w:w="874"/>
        <w:gridCol w:w="1596"/>
        <w:gridCol w:w="2035"/>
        <w:gridCol w:w="1287"/>
        <w:gridCol w:w="1516"/>
      </w:tblGrid>
      <w:tr w:rsidR="0006269D" w14:paraId="31CBFC45" w14:textId="77777777" w:rsidTr="006121D8">
        <w:trPr>
          <w:trHeight w:val="23"/>
          <w:jc w:val="center"/>
        </w:trPr>
        <w:tc>
          <w:tcPr>
            <w:tcW w:w="1098" w:type="dxa"/>
            <w:tcBorders>
              <w:top w:val="single" w:sz="16" w:space="0" w:color="000000"/>
              <w:left w:val="nil"/>
              <w:bottom w:val="single" w:sz="8" w:space="0" w:color="000000"/>
              <w:right w:val="nil"/>
            </w:tcBorders>
            <w:vAlign w:val="center"/>
          </w:tcPr>
          <w:p w14:paraId="2AAC9E18"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CoCl₂ (µM)</w:t>
            </w:r>
          </w:p>
        </w:tc>
        <w:tc>
          <w:tcPr>
            <w:tcW w:w="874" w:type="dxa"/>
            <w:tcBorders>
              <w:top w:val="single" w:sz="16" w:space="0" w:color="000000"/>
              <w:left w:val="nil"/>
              <w:bottom w:val="single" w:sz="8" w:space="0" w:color="000000"/>
              <w:right w:val="nil"/>
            </w:tcBorders>
            <w:vAlign w:val="center"/>
          </w:tcPr>
          <w:p w14:paraId="3B39B6EA"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n wells</w:t>
            </w:r>
          </w:p>
        </w:tc>
        <w:tc>
          <w:tcPr>
            <w:tcW w:w="1596" w:type="dxa"/>
            <w:tcBorders>
              <w:top w:val="single" w:sz="16" w:space="0" w:color="000000"/>
              <w:left w:val="nil"/>
              <w:bottom w:val="single" w:sz="8" w:space="0" w:color="000000"/>
              <w:right w:val="nil"/>
            </w:tcBorders>
            <w:vAlign w:val="center"/>
          </w:tcPr>
          <w:p w14:paraId="302B11B1"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0–72 h wound closure (%)</w:t>
            </w:r>
          </w:p>
        </w:tc>
        <w:tc>
          <w:tcPr>
            <w:tcW w:w="2035" w:type="dxa"/>
            <w:tcBorders>
              <w:top w:val="single" w:sz="16" w:space="0" w:color="000000"/>
              <w:left w:val="nil"/>
              <w:bottom w:val="single" w:sz="8" w:space="0" w:color="000000"/>
              <w:right w:val="nil"/>
            </w:tcBorders>
            <w:vAlign w:val="center"/>
          </w:tcPr>
          <w:p w14:paraId="7F526F3D"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Difference vs 0 µM (percentage points)</w:t>
            </w:r>
          </w:p>
        </w:tc>
        <w:tc>
          <w:tcPr>
            <w:tcW w:w="1287" w:type="dxa"/>
            <w:tcBorders>
              <w:top w:val="single" w:sz="16" w:space="0" w:color="000000"/>
              <w:left w:val="nil"/>
              <w:bottom w:val="single" w:sz="8" w:space="0" w:color="000000"/>
              <w:right w:val="nil"/>
            </w:tcBorders>
            <w:vAlign w:val="center"/>
          </w:tcPr>
          <w:p w14:paraId="1882835B"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95% CI</w:t>
            </w:r>
          </w:p>
        </w:tc>
        <w:tc>
          <w:tcPr>
            <w:tcW w:w="1516" w:type="dxa"/>
            <w:tcBorders>
              <w:top w:val="single" w:sz="16" w:space="0" w:color="000000"/>
              <w:left w:val="nil"/>
              <w:bottom w:val="single" w:sz="8" w:space="0" w:color="000000"/>
              <w:right w:val="nil"/>
            </w:tcBorders>
            <w:vAlign w:val="center"/>
          </w:tcPr>
          <w:p w14:paraId="61F5E7D7" w14:textId="77777777" w:rsidR="0006269D" w:rsidRPr="002E00B4" w:rsidRDefault="0006269D" w:rsidP="002E00B4">
            <w:pPr>
              <w:spacing w:line="240" w:lineRule="auto"/>
              <w:jc w:val="center"/>
              <w:rPr>
                <w:sz w:val="18"/>
                <w:szCs w:val="18"/>
              </w:rPr>
            </w:pPr>
            <w:r w:rsidRPr="002E00B4">
              <w:rPr>
                <w:rFonts w:ascii="Times New Roman" w:eastAsia="Times New Roman" w:hAnsi="Times New Roman"/>
                <w:b/>
                <w:sz w:val="18"/>
                <w:szCs w:val="18"/>
              </w:rPr>
              <w:t>Adjusted P vs 0 µM</w:t>
            </w:r>
          </w:p>
        </w:tc>
      </w:tr>
      <w:tr w:rsidR="0006269D" w14:paraId="7A2D86F2" w14:textId="77777777" w:rsidTr="006121D8">
        <w:trPr>
          <w:trHeight w:val="23"/>
          <w:jc w:val="center"/>
        </w:trPr>
        <w:tc>
          <w:tcPr>
            <w:tcW w:w="1098" w:type="dxa"/>
            <w:tcBorders>
              <w:top w:val="nil"/>
              <w:left w:val="nil"/>
              <w:bottom w:val="nil"/>
              <w:right w:val="nil"/>
            </w:tcBorders>
            <w:vAlign w:val="center"/>
          </w:tcPr>
          <w:p w14:paraId="7999C2BF"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0</w:t>
            </w:r>
          </w:p>
        </w:tc>
        <w:tc>
          <w:tcPr>
            <w:tcW w:w="874" w:type="dxa"/>
            <w:tcBorders>
              <w:top w:val="nil"/>
              <w:left w:val="nil"/>
              <w:bottom w:val="nil"/>
              <w:right w:val="nil"/>
            </w:tcBorders>
            <w:vAlign w:val="center"/>
          </w:tcPr>
          <w:p w14:paraId="1AD117DE"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nil"/>
              <w:right w:val="nil"/>
            </w:tcBorders>
            <w:vAlign w:val="center"/>
          </w:tcPr>
          <w:p w14:paraId="628D6A80"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98.5 ± 2.6</w:t>
            </w:r>
          </w:p>
        </w:tc>
        <w:tc>
          <w:tcPr>
            <w:tcW w:w="2035" w:type="dxa"/>
            <w:tcBorders>
              <w:top w:val="nil"/>
              <w:left w:val="nil"/>
              <w:bottom w:val="nil"/>
              <w:right w:val="nil"/>
            </w:tcBorders>
            <w:vAlign w:val="center"/>
          </w:tcPr>
          <w:p w14:paraId="663B9BF2"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Reference</w:t>
            </w:r>
          </w:p>
        </w:tc>
        <w:tc>
          <w:tcPr>
            <w:tcW w:w="1287" w:type="dxa"/>
            <w:tcBorders>
              <w:top w:val="nil"/>
              <w:left w:val="nil"/>
              <w:bottom w:val="nil"/>
              <w:right w:val="nil"/>
            </w:tcBorders>
            <w:vAlign w:val="center"/>
          </w:tcPr>
          <w:p w14:paraId="17DA7EE3"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w:t>
            </w:r>
          </w:p>
        </w:tc>
        <w:tc>
          <w:tcPr>
            <w:tcW w:w="1516" w:type="dxa"/>
            <w:tcBorders>
              <w:top w:val="nil"/>
              <w:left w:val="nil"/>
              <w:bottom w:val="nil"/>
              <w:right w:val="nil"/>
            </w:tcBorders>
            <w:vAlign w:val="center"/>
          </w:tcPr>
          <w:p w14:paraId="34429A7D"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w:t>
            </w:r>
          </w:p>
        </w:tc>
      </w:tr>
      <w:tr w:rsidR="0006269D" w14:paraId="30F6D7DA" w14:textId="77777777" w:rsidTr="006121D8">
        <w:trPr>
          <w:trHeight w:val="23"/>
          <w:jc w:val="center"/>
        </w:trPr>
        <w:tc>
          <w:tcPr>
            <w:tcW w:w="1098" w:type="dxa"/>
            <w:tcBorders>
              <w:top w:val="nil"/>
              <w:left w:val="nil"/>
              <w:bottom w:val="nil"/>
              <w:right w:val="nil"/>
            </w:tcBorders>
            <w:vAlign w:val="center"/>
          </w:tcPr>
          <w:p w14:paraId="3F9EF471"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10</w:t>
            </w:r>
          </w:p>
        </w:tc>
        <w:tc>
          <w:tcPr>
            <w:tcW w:w="874" w:type="dxa"/>
            <w:tcBorders>
              <w:top w:val="nil"/>
              <w:left w:val="nil"/>
              <w:bottom w:val="nil"/>
              <w:right w:val="nil"/>
            </w:tcBorders>
            <w:vAlign w:val="center"/>
          </w:tcPr>
          <w:p w14:paraId="501456B6"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nil"/>
              <w:right w:val="nil"/>
            </w:tcBorders>
            <w:vAlign w:val="center"/>
          </w:tcPr>
          <w:p w14:paraId="374F5EC8"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100.0 ± 0.0</w:t>
            </w:r>
          </w:p>
        </w:tc>
        <w:tc>
          <w:tcPr>
            <w:tcW w:w="2035" w:type="dxa"/>
            <w:tcBorders>
              <w:top w:val="nil"/>
              <w:left w:val="nil"/>
              <w:bottom w:val="nil"/>
              <w:right w:val="nil"/>
            </w:tcBorders>
            <w:vAlign w:val="center"/>
          </w:tcPr>
          <w:p w14:paraId="7AF3F040"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+1.5</w:t>
            </w:r>
          </w:p>
        </w:tc>
        <w:tc>
          <w:tcPr>
            <w:tcW w:w="1287" w:type="dxa"/>
            <w:tcBorders>
              <w:top w:val="nil"/>
              <w:left w:val="nil"/>
              <w:bottom w:val="nil"/>
              <w:right w:val="nil"/>
            </w:tcBorders>
            <w:vAlign w:val="center"/>
          </w:tcPr>
          <w:p w14:paraId="7B54C008"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-31.0 to 34.0</w:t>
            </w:r>
          </w:p>
        </w:tc>
        <w:tc>
          <w:tcPr>
            <w:tcW w:w="1516" w:type="dxa"/>
            <w:tcBorders>
              <w:top w:val="nil"/>
              <w:left w:val="nil"/>
              <w:bottom w:val="nil"/>
              <w:right w:val="nil"/>
            </w:tcBorders>
            <w:vAlign w:val="center"/>
          </w:tcPr>
          <w:p w14:paraId="7D57EB9D"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P &gt; 0.999</w:t>
            </w:r>
          </w:p>
        </w:tc>
      </w:tr>
      <w:tr w:rsidR="0006269D" w14:paraId="2210F255" w14:textId="77777777" w:rsidTr="006121D8">
        <w:trPr>
          <w:trHeight w:val="23"/>
          <w:jc w:val="center"/>
        </w:trPr>
        <w:tc>
          <w:tcPr>
            <w:tcW w:w="1098" w:type="dxa"/>
            <w:tcBorders>
              <w:top w:val="nil"/>
              <w:left w:val="nil"/>
              <w:bottom w:val="nil"/>
              <w:right w:val="nil"/>
            </w:tcBorders>
            <w:vAlign w:val="center"/>
          </w:tcPr>
          <w:p w14:paraId="08C39CBE"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100</w:t>
            </w:r>
          </w:p>
        </w:tc>
        <w:tc>
          <w:tcPr>
            <w:tcW w:w="874" w:type="dxa"/>
            <w:tcBorders>
              <w:top w:val="nil"/>
              <w:left w:val="nil"/>
              <w:bottom w:val="nil"/>
              <w:right w:val="nil"/>
            </w:tcBorders>
            <w:vAlign w:val="center"/>
          </w:tcPr>
          <w:p w14:paraId="5360D0A1"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nil"/>
              <w:right w:val="nil"/>
            </w:tcBorders>
            <w:vAlign w:val="center"/>
          </w:tcPr>
          <w:p w14:paraId="4430A5C0"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87.5 ± 10.0</w:t>
            </w:r>
          </w:p>
        </w:tc>
        <w:tc>
          <w:tcPr>
            <w:tcW w:w="2035" w:type="dxa"/>
            <w:tcBorders>
              <w:top w:val="nil"/>
              <w:left w:val="nil"/>
              <w:bottom w:val="nil"/>
              <w:right w:val="nil"/>
            </w:tcBorders>
            <w:vAlign w:val="center"/>
          </w:tcPr>
          <w:p w14:paraId="19539ADB"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-11.0</w:t>
            </w:r>
          </w:p>
        </w:tc>
        <w:tc>
          <w:tcPr>
            <w:tcW w:w="1287" w:type="dxa"/>
            <w:tcBorders>
              <w:top w:val="nil"/>
              <w:left w:val="nil"/>
              <w:bottom w:val="nil"/>
              <w:right w:val="nil"/>
            </w:tcBorders>
            <w:vAlign w:val="center"/>
          </w:tcPr>
          <w:p w14:paraId="376890CF"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-43.5 to 21.5</w:t>
            </w:r>
          </w:p>
        </w:tc>
        <w:tc>
          <w:tcPr>
            <w:tcW w:w="1516" w:type="dxa"/>
            <w:tcBorders>
              <w:top w:val="nil"/>
              <w:left w:val="nil"/>
              <w:bottom w:val="nil"/>
              <w:right w:val="nil"/>
            </w:tcBorders>
            <w:vAlign w:val="center"/>
          </w:tcPr>
          <w:p w14:paraId="41883974"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P = 0.786</w:t>
            </w:r>
          </w:p>
        </w:tc>
      </w:tr>
      <w:tr w:rsidR="0006269D" w14:paraId="5DEC66FB" w14:textId="77777777" w:rsidTr="006121D8">
        <w:trPr>
          <w:trHeight w:val="23"/>
          <w:jc w:val="center"/>
        </w:trPr>
        <w:tc>
          <w:tcPr>
            <w:tcW w:w="1098" w:type="dxa"/>
            <w:tcBorders>
              <w:top w:val="nil"/>
              <w:left w:val="nil"/>
              <w:bottom w:val="nil"/>
              <w:right w:val="nil"/>
            </w:tcBorders>
            <w:vAlign w:val="center"/>
          </w:tcPr>
          <w:p w14:paraId="7F2D5C86"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500</w:t>
            </w:r>
          </w:p>
        </w:tc>
        <w:tc>
          <w:tcPr>
            <w:tcW w:w="874" w:type="dxa"/>
            <w:tcBorders>
              <w:top w:val="nil"/>
              <w:left w:val="nil"/>
              <w:bottom w:val="nil"/>
              <w:right w:val="nil"/>
            </w:tcBorders>
            <w:vAlign w:val="center"/>
          </w:tcPr>
          <w:p w14:paraId="0A4382FC"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nil"/>
              <w:right w:val="nil"/>
            </w:tcBorders>
            <w:vAlign w:val="center"/>
          </w:tcPr>
          <w:p w14:paraId="5B04AC3A"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-18.1 ± 21.6</w:t>
            </w:r>
          </w:p>
        </w:tc>
        <w:tc>
          <w:tcPr>
            <w:tcW w:w="2035" w:type="dxa"/>
            <w:tcBorders>
              <w:top w:val="nil"/>
              <w:left w:val="nil"/>
              <w:bottom w:val="nil"/>
              <w:right w:val="nil"/>
            </w:tcBorders>
            <w:vAlign w:val="center"/>
          </w:tcPr>
          <w:p w14:paraId="5D500D20"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-116.6</w:t>
            </w:r>
          </w:p>
        </w:tc>
        <w:tc>
          <w:tcPr>
            <w:tcW w:w="1287" w:type="dxa"/>
            <w:tcBorders>
              <w:top w:val="nil"/>
              <w:left w:val="nil"/>
              <w:bottom w:val="nil"/>
              <w:right w:val="nil"/>
            </w:tcBorders>
            <w:vAlign w:val="center"/>
          </w:tcPr>
          <w:p w14:paraId="63147F95"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-149.1 to -84.1</w:t>
            </w:r>
          </w:p>
        </w:tc>
        <w:tc>
          <w:tcPr>
            <w:tcW w:w="1516" w:type="dxa"/>
            <w:tcBorders>
              <w:top w:val="nil"/>
              <w:left w:val="nil"/>
              <w:bottom w:val="nil"/>
              <w:right w:val="nil"/>
            </w:tcBorders>
            <w:vAlign w:val="center"/>
          </w:tcPr>
          <w:p w14:paraId="246F53BE"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P &lt; 0.001</w:t>
            </w:r>
          </w:p>
        </w:tc>
      </w:tr>
      <w:tr w:rsidR="0006269D" w14:paraId="664990CD" w14:textId="77777777" w:rsidTr="006121D8">
        <w:trPr>
          <w:trHeight w:val="23"/>
          <w:jc w:val="center"/>
        </w:trPr>
        <w:tc>
          <w:tcPr>
            <w:tcW w:w="1098" w:type="dxa"/>
            <w:tcBorders>
              <w:top w:val="nil"/>
              <w:left w:val="nil"/>
              <w:bottom w:val="nil"/>
              <w:right w:val="nil"/>
            </w:tcBorders>
            <w:vAlign w:val="center"/>
          </w:tcPr>
          <w:p w14:paraId="5137858C"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1000</w:t>
            </w:r>
          </w:p>
        </w:tc>
        <w:tc>
          <w:tcPr>
            <w:tcW w:w="874" w:type="dxa"/>
            <w:tcBorders>
              <w:top w:val="nil"/>
              <w:left w:val="nil"/>
              <w:bottom w:val="nil"/>
              <w:right w:val="nil"/>
            </w:tcBorders>
            <w:vAlign w:val="center"/>
          </w:tcPr>
          <w:p w14:paraId="5A0B27F2"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nil"/>
              <w:right w:val="nil"/>
            </w:tcBorders>
            <w:vAlign w:val="center"/>
          </w:tcPr>
          <w:p w14:paraId="790851D1"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-22.8 ± 20.1</w:t>
            </w:r>
          </w:p>
        </w:tc>
        <w:tc>
          <w:tcPr>
            <w:tcW w:w="2035" w:type="dxa"/>
            <w:tcBorders>
              <w:top w:val="nil"/>
              <w:left w:val="nil"/>
              <w:bottom w:val="nil"/>
              <w:right w:val="nil"/>
            </w:tcBorders>
            <w:vAlign w:val="center"/>
          </w:tcPr>
          <w:p w14:paraId="4F37B623"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-121.3</w:t>
            </w:r>
          </w:p>
        </w:tc>
        <w:tc>
          <w:tcPr>
            <w:tcW w:w="1287" w:type="dxa"/>
            <w:tcBorders>
              <w:top w:val="nil"/>
              <w:left w:val="nil"/>
              <w:bottom w:val="nil"/>
              <w:right w:val="nil"/>
            </w:tcBorders>
            <w:vAlign w:val="center"/>
          </w:tcPr>
          <w:p w14:paraId="27533642"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-153.8 to -88.9</w:t>
            </w:r>
          </w:p>
        </w:tc>
        <w:tc>
          <w:tcPr>
            <w:tcW w:w="1516" w:type="dxa"/>
            <w:tcBorders>
              <w:top w:val="nil"/>
              <w:left w:val="nil"/>
              <w:bottom w:val="nil"/>
              <w:right w:val="nil"/>
            </w:tcBorders>
            <w:vAlign w:val="center"/>
          </w:tcPr>
          <w:p w14:paraId="3E5537C7"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P &lt; 0.001</w:t>
            </w:r>
          </w:p>
        </w:tc>
      </w:tr>
      <w:tr w:rsidR="0006269D" w14:paraId="1B4F161D" w14:textId="77777777" w:rsidTr="006121D8">
        <w:trPr>
          <w:trHeight w:val="23"/>
          <w:jc w:val="center"/>
        </w:trPr>
        <w:tc>
          <w:tcPr>
            <w:tcW w:w="1098" w:type="dxa"/>
            <w:tcBorders>
              <w:top w:val="nil"/>
              <w:left w:val="nil"/>
              <w:bottom w:val="single" w:sz="16" w:space="0" w:color="000000"/>
              <w:right w:val="nil"/>
            </w:tcBorders>
            <w:vAlign w:val="center"/>
          </w:tcPr>
          <w:p w14:paraId="2F44FB90"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2000</w:t>
            </w:r>
          </w:p>
        </w:tc>
        <w:tc>
          <w:tcPr>
            <w:tcW w:w="874" w:type="dxa"/>
            <w:tcBorders>
              <w:top w:val="nil"/>
              <w:left w:val="nil"/>
              <w:bottom w:val="single" w:sz="16" w:space="0" w:color="000000"/>
              <w:right w:val="nil"/>
            </w:tcBorders>
            <w:vAlign w:val="center"/>
          </w:tcPr>
          <w:p w14:paraId="04739D28"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3</w:t>
            </w:r>
          </w:p>
        </w:tc>
        <w:tc>
          <w:tcPr>
            <w:tcW w:w="1596" w:type="dxa"/>
            <w:tcBorders>
              <w:top w:val="nil"/>
              <w:left w:val="nil"/>
              <w:bottom w:val="single" w:sz="16" w:space="0" w:color="000000"/>
              <w:right w:val="nil"/>
            </w:tcBorders>
            <w:vAlign w:val="center"/>
          </w:tcPr>
          <w:p w14:paraId="6260B2D7"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-27.3 ± 12.4</w:t>
            </w:r>
          </w:p>
        </w:tc>
        <w:tc>
          <w:tcPr>
            <w:tcW w:w="2035" w:type="dxa"/>
            <w:tcBorders>
              <w:top w:val="nil"/>
              <w:left w:val="nil"/>
              <w:bottom w:val="single" w:sz="16" w:space="0" w:color="000000"/>
              <w:right w:val="nil"/>
            </w:tcBorders>
            <w:vAlign w:val="center"/>
          </w:tcPr>
          <w:p w14:paraId="32B9BB7F"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-125.8</w:t>
            </w:r>
          </w:p>
        </w:tc>
        <w:tc>
          <w:tcPr>
            <w:tcW w:w="1287" w:type="dxa"/>
            <w:tcBorders>
              <w:top w:val="nil"/>
              <w:left w:val="nil"/>
              <w:bottom w:val="single" w:sz="16" w:space="0" w:color="000000"/>
              <w:right w:val="nil"/>
            </w:tcBorders>
            <w:vAlign w:val="center"/>
          </w:tcPr>
          <w:p w14:paraId="1A5AC55D"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-158.3 to -93.4</w:t>
            </w:r>
          </w:p>
        </w:tc>
        <w:tc>
          <w:tcPr>
            <w:tcW w:w="1516" w:type="dxa"/>
            <w:tcBorders>
              <w:top w:val="nil"/>
              <w:left w:val="nil"/>
              <w:bottom w:val="single" w:sz="16" w:space="0" w:color="000000"/>
              <w:right w:val="nil"/>
            </w:tcBorders>
            <w:vAlign w:val="center"/>
          </w:tcPr>
          <w:p w14:paraId="27524C8A" w14:textId="77777777" w:rsidR="0006269D" w:rsidRPr="002E00B4" w:rsidRDefault="0006269D" w:rsidP="0006269D">
            <w:pPr>
              <w:spacing w:line="240" w:lineRule="auto"/>
              <w:jc w:val="center"/>
              <w:rPr>
                <w:sz w:val="18"/>
                <w:szCs w:val="18"/>
              </w:rPr>
            </w:pPr>
            <w:r w:rsidRPr="002E00B4">
              <w:rPr>
                <w:rFonts w:ascii="Times New Roman" w:eastAsia="Times New Roman" w:hAnsi="Times New Roman"/>
                <w:sz w:val="18"/>
                <w:szCs w:val="18"/>
              </w:rPr>
              <w:t>P &lt; 0.001</w:t>
            </w:r>
          </w:p>
        </w:tc>
      </w:tr>
    </w:tbl>
    <w:p w14:paraId="4410110E" w14:textId="285E689C" w:rsidR="00E9551E" w:rsidRDefault="002C754D" w:rsidP="00FA05F5">
      <w:pPr>
        <w:spacing w:line="240" w:lineRule="auto"/>
        <w:jc w:val="both"/>
        <w:rPr>
          <w:rFonts w:ascii="Times New Roman" w:hAnsi="Times New Roman" w:cs="Times New Roman"/>
          <w:sz w:val="20"/>
          <w:szCs w:val="20"/>
        </w:rPr>
      </w:pPr>
      <w:r w:rsidRPr="00C119A5">
        <w:rPr>
          <w:rFonts w:ascii="Times New Roman" w:hAnsi="Times New Roman" w:cs="Times New Roman"/>
          <w:sz w:val="20"/>
          <w:szCs w:val="20"/>
        </w:rPr>
        <w:t>Data are presented as mean ± SD. Each well was treated as one experimental unit. The 0–72 h wound-closure rate was calculated as (area at 0 h − area at 72 h) / area at 0 h × 100%. Difference vs 0 μM indicates the mean difference in the</w:t>
      </w:r>
      <w:r w:rsidRPr="000C75CE">
        <w:rPr>
          <w:rFonts w:ascii="Times New Roman" w:hAnsi="Times New Roman" w:cs="Times New Roman"/>
          <w:sz w:val="20"/>
          <w:szCs w:val="20"/>
        </w:rPr>
        <w:t xml:space="preserve"> 0–72 h wound-closure rate relative to the 0 μM group and is expressed in percentage points. Adjusted P values were obtained using one-way ANOVA followed by Dunnett’s multiple-comparison test versus the 0 μM group. Initial wound area at 0 h was not significantly imbalanced among groups (P = 0.078). All concentration groups were performed within the same experimental batch across multiple plates</w:t>
      </w:r>
      <w:r w:rsidR="00E9551E" w:rsidRPr="000C75CE">
        <w:rPr>
          <w:rFonts w:ascii="Times New Roman" w:hAnsi="Times New Roman" w:cs="Times New Roman"/>
          <w:sz w:val="20"/>
          <w:szCs w:val="20"/>
        </w:rPr>
        <w:t xml:space="preserve">. </w:t>
      </w:r>
    </w:p>
    <w:p w14:paraId="48E0012A" w14:textId="43D9322F" w:rsidR="00A0344A" w:rsidRDefault="00A0344A" w:rsidP="00FA05F5">
      <w:pPr>
        <w:spacing w:line="240" w:lineRule="auto"/>
        <w:jc w:val="both"/>
        <w:rPr>
          <w:rFonts w:ascii="Times New Roman" w:hAnsi="Times New Roman" w:cs="Times New Roman"/>
          <w:sz w:val="20"/>
          <w:szCs w:val="20"/>
        </w:rPr>
      </w:pPr>
    </w:p>
    <w:p w14:paraId="7E6713EE" w14:textId="77777777" w:rsidR="00A0344A" w:rsidRPr="000C75CE" w:rsidRDefault="00A0344A" w:rsidP="00FA05F5">
      <w:pPr>
        <w:spacing w:line="240" w:lineRule="auto"/>
        <w:jc w:val="both"/>
        <w:rPr>
          <w:rFonts w:ascii="Times New Roman" w:hAnsi="Times New Roman" w:cs="Times New Roman"/>
          <w:sz w:val="20"/>
          <w:szCs w:val="20"/>
        </w:rPr>
      </w:pPr>
    </w:p>
    <w:p w14:paraId="376B1A9B" w14:textId="6CBC0E7E" w:rsidR="00E9551E" w:rsidRPr="00E97D04" w:rsidRDefault="00E9551E" w:rsidP="00944015">
      <w:pPr>
        <w:jc w:val="both"/>
        <w:rPr>
          <w:rFonts w:ascii="Times New Roman" w:hAnsi="Times New Roman" w:cs="Times New Roman"/>
          <w:b/>
          <w:bCs/>
        </w:rPr>
      </w:pPr>
      <w:r w:rsidRPr="00E97D04">
        <w:rPr>
          <w:rFonts w:ascii="Times New Roman" w:hAnsi="Times New Roman" w:cs="Times New Roman"/>
          <w:b/>
          <w:bCs/>
        </w:rPr>
        <w:lastRenderedPageBreak/>
        <w:t xml:space="preserve">3.2 </w:t>
      </w:r>
      <w:r w:rsidR="00792992" w:rsidRPr="00792992">
        <w:rPr>
          <w:rFonts w:ascii="Times New Roman" w:hAnsi="Times New Roman" w:cs="Times New Roman"/>
          <w:b/>
          <w:bCs/>
        </w:rPr>
        <w:t>CoCl₂-induced wound-recovery impairment was accompanied by concentration-dependent morphological deterioration and molecular stress responses</w:t>
      </w:r>
    </w:p>
    <w:p w14:paraId="5F293050" w14:textId="6D744C63" w:rsidR="00792992" w:rsidRPr="00792992" w:rsidRDefault="00792992" w:rsidP="00792992">
      <w:pPr>
        <w:jc w:val="both"/>
        <w:rPr>
          <w:rFonts w:ascii="Times New Roman" w:hAnsi="Times New Roman" w:cs="Times New Roman"/>
        </w:rPr>
      </w:pPr>
      <w:bookmarkStart w:id="5" w:name="OLE_LINK1"/>
      <w:r w:rsidRPr="00792992">
        <w:rPr>
          <w:rFonts w:ascii="Times New Roman" w:hAnsi="Times New Roman" w:cs="Times New Roman"/>
        </w:rPr>
        <w:t>Consistent with the concentration-dependent wound-recovery results, representative non-scratch morphology images showed a graded cellular injury pattern as the CoCl₂ concentration increased. In the low-dose groups, cells exposed to 0 and 10 μM CoCl₂ largely maintained an adherent and spread morphology over time, with relatively continuous cellular coverage and only limited cell rounding. At 100 μM, the overall adherent morphology remained largely preserved, although mild late-stage irregularity became visible at 48–72 h, including reduced local compactness and occasional rounded cells (Figure 3A).</w:t>
      </w:r>
    </w:p>
    <w:p w14:paraId="15FBB859" w14:textId="74EC149F" w:rsidR="00792992" w:rsidRPr="00792992" w:rsidRDefault="00792992" w:rsidP="00792992">
      <w:pPr>
        <w:jc w:val="both"/>
        <w:rPr>
          <w:rFonts w:ascii="Times New Roman" w:hAnsi="Times New Roman" w:cs="Times New Roman"/>
        </w:rPr>
      </w:pPr>
      <w:r w:rsidRPr="00792992">
        <w:rPr>
          <w:rFonts w:ascii="Times New Roman" w:hAnsi="Times New Roman" w:cs="Times New Roman"/>
        </w:rPr>
        <w:t>By contrast, cells exposed to 500–2000 μM CoCl₂ displayed progressively more evident injury-range morphology. At 500 μM, cell spreading was reduced, and rounded, bright, refractile cells became increasingly apparent from 24 h onward. At 1000 μM, the cell layer became more disorganized, with enlarged intercellular spaces, clustered rounded cells, and increased floating or debris-like structures. Under 2000 μM CoCl₂, monolayer-like organization was markedly disrupted, and late-stage images showed persistent loss of spread morphology together with scattered rounded or detached cells (Figure 3B). These morphological changes were consistent with the wound-recovery failure observed at the higher CoCl₂ concentrations.</w:t>
      </w:r>
    </w:p>
    <w:p w14:paraId="32BD5082" w14:textId="6B48A269" w:rsidR="00792992" w:rsidRPr="00792992" w:rsidRDefault="00792992" w:rsidP="00792992">
      <w:pPr>
        <w:jc w:val="both"/>
        <w:rPr>
          <w:rFonts w:ascii="Times New Roman" w:hAnsi="Times New Roman" w:cs="Times New Roman"/>
        </w:rPr>
      </w:pPr>
      <w:r w:rsidRPr="00792992">
        <w:rPr>
          <w:rFonts w:ascii="Times New Roman" w:hAnsi="Times New Roman" w:cs="Times New Roman"/>
        </w:rPr>
        <w:t>For the molecular analyses presented in Figure 3C–G, cells were exposed to 500 μM CoCl₂ or the corresponding 0 μM vehicle control. Culture-supernatant ELISA showed that 4-HNE did not differ significantly between the groups at 24 h (fold change, 1.002; P = 0.057). By 48 h, however, 4-HNE was significantly increased to approximately 1.49-fold of the control level (P = 0.010). VEGF-A was also significantly elevated at 48 h, reaching approximately 1.19-fold of the control level (P = 0.002) (Figure 3C). These findings indicate that prolonged exposure to 500 μM CoCl₂ was associated with extracellular aldehyde-related and pro-angiogenic stress responses.</w:t>
      </w:r>
    </w:p>
    <w:p w14:paraId="0E3F81EB" w14:textId="7A77C1DE" w:rsidR="00792992" w:rsidRPr="00792992" w:rsidRDefault="00792992" w:rsidP="00792992">
      <w:pPr>
        <w:jc w:val="both"/>
        <w:rPr>
          <w:rFonts w:ascii="Times New Roman" w:hAnsi="Times New Roman" w:cs="Times New Roman"/>
        </w:rPr>
      </w:pPr>
      <w:r w:rsidRPr="00792992">
        <w:rPr>
          <w:rFonts w:ascii="Times New Roman" w:hAnsi="Times New Roman" w:cs="Times New Roman"/>
        </w:rPr>
        <w:t>Western blot analysis showed that 500 μM CoCl₂ induced an early hypoxia-responsive signal and a sustained reduction in ALDH2 protein abundance. HIF-1α was significantly increased at 24 h, reaching approximately 2.75-fold of the vehicle-control level (P = 0.010). At 48 h, this difference was attenuated, with HIF-1α showing only a mild and nonsignificant increase (fold change, 1.08; P = 0.734). In parallel, ALDH2 protein abundance was significantly reduced at both 24 and 48 h, reaching approximately 0.59-fold (P = 0.039) and 0.70-fold (P = 0.006) of the control level, respectively (Figure 3D–G). BAX was also examined at 48 h as an apoptosis-associated stress marker and showed an increasing direction under 500 μM CoCl₂ exposure; however, this finding was interpreted as a directional trend because of the limited number of valid CoCl₂ lanes (Figure 3F,G).</w:t>
      </w:r>
    </w:p>
    <w:p w14:paraId="35A21480" w14:textId="17053C1E" w:rsidR="0006269D" w:rsidRPr="000045F3" w:rsidRDefault="00792992" w:rsidP="00944015">
      <w:pPr>
        <w:jc w:val="both"/>
        <w:rPr>
          <w:rFonts w:ascii="Times New Roman" w:hAnsi="Times New Roman" w:cs="Times New Roman"/>
        </w:rPr>
      </w:pPr>
      <w:r w:rsidRPr="00792992">
        <w:rPr>
          <w:rFonts w:ascii="Times New Roman" w:hAnsi="Times New Roman" w:cs="Times New Roman"/>
        </w:rPr>
        <w:lastRenderedPageBreak/>
        <w:t>Together, these results show that concentration-dependent wound-recovery failure was accompanied by progressive morphological deterioration. Under the selected 500 μM CoCl₂ condition, the injury phenotype was further characterized by early HIF-1α induction, reduced ALDH2 protein abundance, later increases in culture-supernatant 4-HNE and VEGF-A, and a BAX-associated increasing trend</w:t>
      </w:r>
      <w:r w:rsidR="00B45E87" w:rsidRPr="00B45E87">
        <w:rPr>
          <w:rFonts w:ascii="Times New Roman" w:hAnsi="Times New Roman" w:cs="Times New Roman"/>
        </w:rPr>
        <w:t>.</w:t>
      </w:r>
      <w:bookmarkEnd w:id="5"/>
    </w:p>
    <w:p w14:paraId="25F93A5C" w14:textId="77777777" w:rsidR="008473EA" w:rsidRPr="000045F3" w:rsidRDefault="00993247" w:rsidP="00944015">
      <w:pPr>
        <w:jc w:val="both"/>
        <w:rPr>
          <w:rFonts w:ascii="Times New Roman" w:hAnsi="Times New Roman" w:cs="Times New Roman"/>
        </w:rPr>
      </w:pPr>
      <w:r>
        <w:rPr>
          <w:rFonts w:ascii="Times New Roman" w:hAnsi="Times New Roman" w:cs="Times New Roman"/>
          <w:noProof/>
        </w:rPr>
        <w:drawing>
          <wp:inline distT="0" distB="0" distL="0" distR="0" wp14:anchorId="06193902" wp14:editId="10ACBB93">
            <wp:extent cx="5269230" cy="6590665"/>
            <wp:effectExtent l="0" t="0" r="762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269230" cy="6590665"/>
                    </a:xfrm>
                    <a:prstGeom prst="rect">
                      <a:avLst/>
                    </a:prstGeom>
                    <a:noFill/>
                    <a:ln>
                      <a:noFill/>
                    </a:ln>
                  </pic:spPr>
                </pic:pic>
              </a:graphicData>
            </a:graphic>
          </wp:inline>
        </w:drawing>
      </w:r>
    </w:p>
    <w:p w14:paraId="65409650" w14:textId="7872BED8" w:rsidR="008473EA" w:rsidRPr="000C75CE" w:rsidRDefault="00BA1B82" w:rsidP="000C75CE">
      <w:pPr>
        <w:spacing w:line="240" w:lineRule="auto"/>
        <w:jc w:val="both"/>
        <w:rPr>
          <w:rFonts w:ascii="Times New Roman" w:hAnsi="Times New Roman" w:cs="Times New Roman"/>
          <w:sz w:val="20"/>
          <w:szCs w:val="20"/>
        </w:rPr>
      </w:pPr>
      <w:bookmarkStart w:id="6" w:name="OLE_LINK3"/>
      <w:r w:rsidRPr="000C75CE">
        <w:rPr>
          <w:rFonts w:ascii="Times New Roman" w:hAnsi="Times New Roman" w:cs="Times New Roman"/>
          <w:b/>
          <w:bCs/>
          <w:sz w:val="20"/>
          <w:szCs w:val="20"/>
        </w:rPr>
        <w:t>Fig</w:t>
      </w:r>
      <w:r w:rsidRPr="00C119A5">
        <w:rPr>
          <w:rFonts w:ascii="Times New Roman" w:hAnsi="Times New Roman" w:cs="Times New Roman"/>
          <w:b/>
          <w:bCs/>
          <w:sz w:val="20"/>
          <w:szCs w:val="20"/>
        </w:rPr>
        <w:t xml:space="preserve">ure </w:t>
      </w:r>
      <w:r w:rsidR="006B0FF9" w:rsidRPr="00C119A5">
        <w:rPr>
          <w:rFonts w:ascii="Times New Roman" w:hAnsi="Times New Roman" w:cs="Times New Roman"/>
          <w:b/>
          <w:bCs/>
          <w:sz w:val="20"/>
          <w:szCs w:val="20"/>
        </w:rPr>
        <w:t>3</w:t>
      </w:r>
      <w:r w:rsidRPr="00C119A5">
        <w:rPr>
          <w:rFonts w:ascii="Times New Roman" w:hAnsi="Times New Roman" w:cs="Times New Roman"/>
          <w:b/>
          <w:bCs/>
          <w:sz w:val="20"/>
          <w:szCs w:val="20"/>
        </w:rPr>
        <w:t xml:space="preserve">. </w:t>
      </w:r>
      <w:r w:rsidR="00792992" w:rsidRPr="00792992">
        <w:rPr>
          <w:rFonts w:ascii="Times New Roman" w:hAnsi="Times New Roman" w:cs="Times New Roman"/>
          <w:sz w:val="20"/>
          <w:szCs w:val="20"/>
        </w:rPr>
        <w:t xml:space="preserve">Morphological and molecular features accompanying CoCl₂-induced RPE injury. (A) Representative morphology images of cells exposed to 0, 10, and 100 μM CoCl₂ at 0, 24, 48, and 72 h. </w:t>
      </w:r>
      <w:r w:rsidR="00792992" w:rsidRPr="00792992">
        <w:rPr>
          <w:rFonts w:ascii="Times New Roman" w:hAnsi="Times New Roman" w:cs="Times New Roman"/>
          <w:sz w:val="20"/>
          <w:szCs w:val="20"/>
        </w:rPr>
        <w:lastRenderedPageBreak/>
        <w:t>Cells in the low-dose range largely retained adherent and spread morphology, with only mild late-stage changes in the 100 μM group. (B) Representative morphology images of cells exposed to 500, 1000, and 2000 μM CoCl₂ at the same time points. Increasing CoCl₂ concentrations were accompanied by progressively greater morphological deterioration, including reduced spreading, cell rounding, enlarged intercellular spaces, and floating or debris-like structures. For panels C–G, cells were exposed to 500 μM CoCl₂ or the corresponding 0 μM vehicle control. (C) Culture-supernatant ELISA analysis of 4-HNE and VEGF-A. At 24 h, 4-HNE did not differ significantly between the 500 μM CoCl₂ and vehicle-control groups. At 48 h, 500 μM CoCl₂ significantly increased both 4-HNE and VEGF-A. Fold-change and P-value summaries are shown on the right. (D) Representative Western blot images of HIF-1α, ALDH2, and GAPDH after 24 h of 500 μM CoCl₂ exposure. (E) Representative Western blot images of HIF-1α, ALDH2, and GAPDH after 48 h of 500 μM CoCl₂ exposure. (F) Representative Western blot images of BAX and GAPDH after 48 h of 500 μM CoCl₂ exposure. (G) Densitometric quantification of the Western blot results. HIF-1α, ALDH2, and BAX were normalized to GAPDH from the corresponding lane. Five hundred micromolar CoCl₂ significantly increased HIF-1α at 24 h, whereas this difference was attenuated at 48 h. ALDH2 was significantly reduced at both 24 and 48 h. BAX showed an increasing direction at 48 h and was interpreted cautiously because of the limited number of valid CoCl₂ lanes. Scale bars are shown in the representative morphology images</w:t>
      </w:r>
      <w:r w:rsidR="00C7744A" w:rsidRPr="000C75CE">
        <w:rPr>
          <w:rFonts w:ascii="Times New Roman" w:hAnsi="Times New Roman" w:cs="Times New Roman"/>
          <w:sz w:val="20"/>
          <w:szCs w:val="20"/>
        </w:rPr>
        <w:t>.</w:t>
      </w:r>
      <w:bookmarkEnd w:id="6"/>
    </w:p>
    <w:p w14:paraId="79D3726C" w14:textId="592D3DB5" w:rsidR="008473EA" w:rsidRPr="000045F3" w:rsidRDefault="00F12FC2" w:rsidP="00944015">
      <w:pPr>
        <w:jc w:val="both"/>
        <w:rPr>
          <w:rFonts w:ascii="Times New Roman" w:hAnsi="Times New Roman" w:cs="Times New Roman"/>
          <w:b/>
          <w:bCs/>
        </w:rPr>
      </w:pPr>
      <w:r w:rsidRPr="000045F3">
        <w:rPr>
          <w:rFonts w:ascii="Times New Roman" w:hAnsi="Times New Roman" w:cs="Times New Roman"/>
          <w:b/>
          <w:bCs/>
        </w:rPr>
        <w:t>3.</w:t>
      </w:r>
      <w:r w:rsidR="00381CEE">
        <w:rPr>
          <w:rFonts w:ascii="Times New Roman" w:hAnsi="Times New Roman" w:cs="Times New Roman"/>
          <w:b/>
          <w:bCs/>
        </w:rPr>
        <w:t>3</w:t>
      </w:r>
      <w:r w:rsidR="00381CEE" w:rsidRPr="00381CEE">
        <w:t xml:space="preserve"> </w:t>
      </w:r>
      <w:r w:rsidR="000252B1" w:rsidRPr="000252B1">
        <w:rPr>
          <w:rFonts w:ascii="Times New Roman" w:hAnsi="Times New Roman" w:cs="Times New Roman"/>
          <w:b/>
          <w:bCs/>
        </w:rPr>
        <w:t>Alda-1 attenuated 500 μM CoCl₂-induced wound-recovery impairment and increased ALDH2 protein abundance</w:t>
      </w:r>
    </w:p>
    <w:p w14:paraId="5CECECA8" w14:textId="60BD71B5" w:rsidR="000252B1" w:rsidRPr="000252B1" w:rsidRDefault="000252B1" w:rsidP="000252B1">
      <w:pPr>
        <w:jc w:val="both"/>
        <w:rPr>
          <w:rFonts w:ascii="Times New Roman" w:hAnsi="Times New Roman" w:cs="Times New Roman"/>
        </w:rPr>
      </w:pPr>
      <w:r w:rsidRPr="000252B1">
        <w:rPr>
          <w:rFonts w:ascii="Times New Roman" w:hAnsi="Times New Roman" w:cs="Times New Roman"/>
        </w:rPr>
        <w:t>Within the Alda-1 intervention module, cells were treated with 500 μM CoCl₂ plus the matched DMSO vehicle or with 500 μM CoCl₂ plus 20 μM Alda-1. Alda-1 shifted the CoCl₂-induced wound-recovery impairment toward a partial rescue phenotype. In the 500 μM CoCl₂-only comparator group, the scratch area remained widened over time and showed an expansion-like pattern at the later time points. In contrast, cells treated with 500 μM CoCl₂ plus 20 μM Alda-1 showed a narrower wound gap and a more favorable wound-closure trajectory by 72 h (Figure 4A,C).</w:t>
      </w:r>
    </w:p>
    <w:p w14:paraId="10F5B8C2" w14:textId="1A9C47B6" w:rsidR="000252B1" w:rsidRPr="000252B1" w:rsidRDefault="000252B1" w:rsidP="000252B1">
      <w:pPr>
        <w:jc w:val="both"/>
        <w:rPr>
          <w:rFonts w:ascii="Times New Roman" w:hAnsi="Times New Roman" w:cs="Times New Roman"/>
        </w:rPr>
      </w:pPr>
      <w:r w:rsidRPr="000252B1">
        <w:rPr>
          <w:rFonts w:ascii="Times New Roman" w:hAnsi="Times New Roman" w:cs="Times New Roman"/>
        </w:rPr>
        <w:t>Quantitatively, the 500 μM CoCl₂-only group showed a negative 0–72 h wound-closure rate of −34.7 ± 16.7%, whereas the 500 μM CoCl₂ plus 20 μM Alda-1 group showed a positive wound-closure rate of 12.6 ± 20.4%. The between-group mean difference was 47.3 percentage points, with a 95% confidence interval of 4.4 to 90.2 percentage points, and this difference reached statistical significance (P = 0.038; Table 2). This comparison was made against the concurrently processed CoCl₂-only comparator within the same experimental module.</w:t>
      </w:r>
    </w:p>
    <w:p w14:paraId="2CB23EB6" w14:textId="0512934E" w:rsidR="000252B1" w:rsidRPr="000252B1" w:rsidRDefault="000252B1" w:rsidP="000252B1">
      <w:pPr>
        <w:jc w:val="both"/>
        <w:rPr>
          <w:rFonts w:ascii="Times New Roman" w:hAnsi="Times New Roman" w:cs="Times New Roman"/>
        </w:rPr>
      </w:pPr>
      <w:r w:rsidRPr="000252B1">
        <w:rPr>
          <w:rFonts w:ascii="Times New Roman" w:hAnsi="Times New Roman" w:cs="Times New Roman"/>
        </w:rPr>
        <w:t>Representative morphology images were consistent with the functional findings. Under 500 μM CoCl₂ exposure, cells progressively showed reduced spreading, increased numbers of rounded or bright cells, and less organized cellular coverage, particularly at 48</w:t>
      </w:r>
      <w:r w:rsidRPr="000252B1">
        <w:rPr>
          <w:rFonts w:ascii="Times New Roman" w:hAnsi="Times New Roman" w:cs="Times New Roman" w:hint="eastAsia"/>
        </w:rPr>
        <w:t>–</w:t>
      </w:r>
      <w:r w:rsidRPr="000252B1">
        <w:rPr>
          <w:rFonts w:ascii="Times New Roman" w:hAnsi="Times New Roman" w:cs="Times New Roman"/>
        </w:rPr>
        <w:t>72 h. Alda-1 treatment partially preserved adherent and spread cellular morphology, with fewer overtly rounded or debris-like cells and a relatively more continuous cellular layer compared with 500 μM CoCl₂ alone (Figure 4B).</w:t>
      </w:r>
    </w:p>
    <w:p w14:paraId="337ACC01" w14:textId="1B794726" w:rsidR="008473EA" w:rsidRPr="000045F3" w:rsidRDefault="000252B1" w:rsidP="000252B1">
      <w:pPr>
        <w:jc w:val="both"/>
        <w:rPr>
          <w:rFonts w:ascii="Times New Roman" w:hAnsi="Times New Roman" w:cs="Times New Roman"/>
        </w:rPr>
      </w:pPr>
      <w:r w:rsidRPr="000252B1">
        <w:rPr>
          <w:rFonts w:ascii="Times New Roman" w:hAnsi="Times New Roman" w:cs="Times New Roman"/>
        </w:rPr>
        <w:lastRenderedPageBreak/>
        <w:t>The molecular results provided partial support for the protective direction observed in the scratch-wound and morphology assays. In culture-supernatant ELISA, 20 μM Alda-1 did not produce a consistent reduction in 4-HNE under 500 μM CoCl₂ exposure at either 24 or 48 h, whereas VEGF-A at 48 h showed a lower direction in the Alda-1-treated group (Figure 4D). Western blot analysis at 24 h showed no clear reduction in HIF-1α, while ALDH2 protein abundance showed an increasing direction. At 48 h, Alda-1 significantly increased ALDH2 protein abundance compared with the concurrently processed 500 μM CoCl₂-only group (P = 0.014; Figure 4E,F). Overall, the Alda-1-associated protective direction was supported most clearly by the significant improvement in wound recovery and the increase in ALDH2 protein abundance at 48 h, with morphology preservation and the lower VEGF-A direction providing additional supportive evidence. The culture-supernatant 4-HNE response was not consistently reduced</w:t>
      </w:r>
      <w:r w:rsidR="005030F7" w:rsidRPr="000045F3">
        <w:rPr>
          <w:rFonts w:ascii="Times New Roman" w:hAnsi="Times New Roman" w:cs="Times New Roman"/>
        </w:rPr>
        <w:t>.</w:t>
      </w:r>
    </w:p>
    <w:p w14:paraId="08F107AD" w14:textId="77777777" w:rsidR="008473EA" w:rsidRPr="000045F3" w:rsidRDefault="00993247" w:rsidP="00944015">
      <w:pPr>
        <w:jc w:val="both"/>
        <w:rPr>
          <w:rFonts w:ascii="Times New Roman" w:hAnsi="Times New Roman" w:cs="Times New Roman"/>
        </w:rPr>
      </w:pPr>
      <w:r>
        <w:rPr>
          <w:rFonts w:ascii="Times New Roman" w:hAnsi="Times New Roman" w:cs="Times New Roman"/>
          <w:noProof/>
        </w:rPr>
        <w:drawing>
          <wp:inline distT="0" distB="0" distL="0" distR="0" wp14:anchorId="4DA4B292" wp14:editId="42635F69">
            <wp:extent cx="5278120" cy="505206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5278120" cy="5052060"/>
                    </a:xfrm>
                    <a:prstGeom prst="rect">
                      <a:avLst/>
                    </a:prstGeom>
                    <a:noFill/>
                    <a:ln>
                      <a:noFill/>
                    </a:ln>
                  </pic:spPr>
                </pic:pic>
              </a:graphicData>
            </a:graphic>
          </wp:inline>
        </w:drawing>
      </w:r>
    </w:p>
    <w:p w14:paraId="21C02C00" w14:textId="19FFDD52" w:rsidR="003E7A21" w:rsidRPr="000C75CE" w:rsidRDefault="0004434C" w:rsidP="007509EF">
      <w:pPr>
        <w:jc w:val="both"/>
        <w:rPr>
          <w:rFonts w:ascii="Times New Roman" w:hAnsi="Times New Roman" w:cs="Times New Roman"/>
          <w:sz w:val="20"/>
          <w:szCs w:val="20"/>
        </w:rPr>
      </w:pPr>
      <w:bookmarkStart w:id="7" w:name="OLE_LINK5"/>
      <w:r w:rsidRPr="000C75CE">
        <w:rPr>
          <w:rFonts w:ascii="Times New Roman" w:hAnsi="Times New Roman" w:cs="Times New Roman"/>
          <w:b/>
          <w:bCs/>
          <w:sz w:val="20"/>
          <w:szCs w:val="20"/>
        </w:rPr>
        <w:t>Fig</w:t>
      </w:r>
      <w:r w:rsidRPr="00C119A5">
        <w:rPr>
          <w:rFonts w:ascii="Times New Roman" w:hAnsi="Times New Roman" w:cs="Times New Roman"/>
          <w:b/>
          <w:bCs/>
          <w:sz w:val="20"/>
          <w:szCs w:val="20"/>
        </w:rPr>
        <w:t xml:space="preserve">ure </w:t>
      </w:r>
      <w:r w:rsidR="006B0FF9" w:rsidRPr="00C119A5">
        <w:rPr>
          <w:rFonts w:ascii="Times New Roman" w:hAnsi="Times New Roman" w:cs="Times New Roman"/>
          <w:b/>
          <w:bCs/>
          <w:sz w:val="20"/>
          <w:szCs w:val="20"/>
        </w:rPr>
        <w:t>4</w:t>
      </w:r>
      <w:r w:rsidRPr="00C119A5">
        <w:rPr>
          <w:rFonts w:ascii="Times New Roman" w:hAnsi="Times New Roman" w:cs="Times New Roman"/>
          <w:b/>
          <w:bCs/>
          <w:sz w:val="20"/>
          <w:szCs w:val="20"/>
        </w:rPr>
        <w:t xml:space="preserve">. </w:t>
      </w:r>
      <w:r w:rsidR="000252B1" w:rsidRPr="000252B1">
        <w:rPr>
          <w:rFonts w:ascii="Times New Roman" w:hAnsi="Times New Roman" w:cs="Times New Roman"/>
          <w:sz w:val="20"/>
          <w:szCs w:val="20"/>
        </w:rPr>
        <w:t xml:space="preserve">Alda-1 attenuates 500 μM CoCl₂-induced wound-recovery impairment and increases ALDH2 protein abundance. (A) Representative scratch-wound images of cells treated with 500 μM CoCl₂ plus </w:t>
      </w:r>
      <w:r w:rsidR="000252B1" w:rsidRPr="000252B1">
        <w:rPr>
          <w:rFonts w:ascii="Times New Roman" w:hAnsi="Times New Roman" w:cs="Times New Roman"/>
          <w:sz w:val="20"/>
          <w:szCs w:val="20"/>
        </w:rPr>
        <w:lastRenderedPageBreak/>
        <w:t>the matched DMSO vehicle or 500 μM CoCl₂ plus 20 μM Alda-1 at 0, 24, 48, and 72 h. Alda-1 treatment produced a narrower late-stage wound gap than the concurrently processed CoCl₂-only comparator. (B) Representative morphology images under the same treatment conditions. Alda-1 partially preserved adherent and spread cellular morphology and reduced the appearance of overtly rounded or debris-like cells compared with 500 μM CoCl₂ alone. (C) Quantitative scratch-wound analysis showing relative wound area and scratch-wound closure over time. Endpoint statistics for the 0–72 h wound-closure rate are summarized in Table 2. (D) Culture-supernatant ELISA analysis of 4-HNE and VEGF-A under 500 μM CoCl₂ exposure with or without 20 μM Alda-1. Mean differences and percentage effects are shown as descriptive effect-size readouts. Alda-1 did not consistently reduce 4-HNE, whereas VEGF-A showed a lower direction at 48 h. (E) Western blot analysis of HIF-1α and ALDH2 after 24 h of 500 μM CoCl₂ exposure with or without 20 μM Alda-1. HIF-1α did not show a clear reduction, whereas ALDH2 showed an increasing direction. (F) Western blot analysis of ALDH2 after 48 h under the same treatment conditions. Alda-1 significantly increased ALDH2 protein abundance compared with the concurrently processed 500 μM CoCl₂-only group. Only statistically significant P values are annotated in the figure. Scale bars are shown in the representative image</w:t>
      </w:r>
      <w:r w:rsidRPr="000C75CE">
        <w:rPr>
          <w:rFonts w:ascii="Times New Roman" w:hAnsi="Times New Roman" w:cs="Times New Roman"/>
          <w:sz w:val="20"/>
          <w:szCs w:val="20"/>
        </w:rPr>
        <w:t>.</w:t>
      </w:r>
    </w:p>
    <w:p w14:paraId="57DEBE0C" w14:textId="77777777" w:rsidR="003E7A21" w:rsidRPr="007744A1" w:rsidRDefault="0004434C" w:rsidP="00944015">
      <w:pPr>
        <w:jc w:val="both"/>
        <w:rPr>
          <w:rFonts w:ascii="Times New Roman" w:hAnsi="Times New Roman" w:cs="Times New Roman"/>
          <w:highlight w:val="yellow"/>
        </w:rPr>
      </w:pPr>
      <w:r w:rsidRPr="0004434C">
        <w:rPr>
          <w:rFonts w:ascii="Times New Roman" w:hAnsi="Times New Roman" w:cs="Times New Roman"/>
          <w:b/>
          <w:bCs/>
        </w:rPr>
        <w:t>T</w:t>
      </w:r>
      <w:r w:rsidRPr="00C119A5">
        <w:rPr>
          <w:rFonts w:ascii="Times New Roman" w:hAnsi="Times New Roman" w:cs="Times New Roman"/>
          <w:b/>
          <w:bCs/>
        </w:rPr>
        <w:t>able 2.</w:t>
      </w:r>
      <w:r w:rsidRPr="00C119A5">
        <w:rPr>
          <w:rFonts w:ascii="Times New Roman" w:hAnsi="Times New Roman" w:cs="Times New Roman"/>
        </w:rPr>
        <w:t xml:space="preserve"> </w:t>
      </w:r>
      <w:r w:rsidR="007509EF" w:rsidRPr="00C119A5">
        <w:rPr>
          <w:rFonts w:ascii="Times New Roman" w:hAnsi="Times New Roman" w:cs="Times New Roman"/>
        </w:rPr>
        <w:t>Statistical summary of Alda-1 scratch-wound recovery under CoCl₂ stress</w:t>
      </w:r>
      <w:r w:rsidRPr="00C119A5">
        <w:rPr>
          <w:rFonts w:ascii="Times New Roman" w:hAnsi="Times New Roman" w:cs="Times New Roman"/>
        </w:rPr>
        <w:t>.</w:t>
      </w:r>
    </w:p>
    <w:tbl>
      <w:tblPr>
        <w:tblW w:w="8373" w:type="dxa"/>
        <w:jc w:val="center"/>
        <w:tblBorders>
          <w:top w:val="nil"/>
          <w:left w:val="nil"/>
          <w:bottom w:val="nil"/>
          <w:right w:val="nil"/>
          <w:insideH w:val="nil"/>
          <w:insideV w:val="nil"/>
        </w:tblBorders>
        <w:tblLook w:val="04A0" w:firstRow="1" w:lastRow="0" w:firstColumn="1" w:lastColumn="0" w:noHBand="0" w:noVBand="1"/>
      </w:tblPr>
      <w:tblGrid>
        <w:gridCol w:w="1525"/>
        <w:gridCol w:w="1292"/>
        <w:gridCol w:w="1384"/>
        <w:gridCol w:w="1543"/>
        <w:gridCol w:w="1281"/>
        <w:gridCol w:w="1348"/>
      </w:tblGrid>
      <w:tr w:rsidR="003E7A21" w14:paraId="0CAAF9F0" w14:textId="77777777" w:rsidTr="003E7A21">
        <w:trPr>
          <w:trHeight w:val="398"/>
          <w:jc w:val="center"/>
        </w:trPr>
        <w:tc>
          <w:tcPr>
            <w:tcW w:w="1525" w:type="dxa"/>
            <w:tcBorders>
              <w:top w:val="single" w:sz="12" w:space="0" w:color="000000"/>
              <w:bottom w:val="single" w:sz="6" w:space="0" w:color="000000"/>
            </w:tcBorders>
            <w:vAlign w:val="center"/>
          </w:tcPr>
          <w:bookmarkEnd w:id="7"/>
          <w:p w14:paraId="172DA4C9" w14:textId="77777777" w:rsidR="003E7A21" w:rsidRDefault="003E7A21" w:rsidP="003E7A21">
            <w:pPr>
              <w:spacing w:line="240" w:lineRule="auto"/>
              <w:jc w:val="center"/>
            </w:pPr>
            <w:r>
              <w:rPr>
                <w:rFonts w:ascii="Times New Roman" w:eastAsia="Times New Roman" w:hAnsi="Times New Roman"/>
                <w:b/>
                <w:sz w:val="17"/>
              </w:rPr>
              <w:t>Treatment</w:t>
            </w:r>
          </w:p>
        </w:tc>
        <w:tc>
          <w:tcPr>
            <w:tcW w:w="1292" w:type="dxa"/>
            <w:tcBorders>
              <w:top w:val="single" w:sz="12" w:space="0" w:color="000000"/>
              <w:bottom w:val="single" w:sz="6" w:space="0" w:color="000000"/>
            </w:tcBorders>
            <w:vAlign w:val="center"/>
          </w:tcPr>
          <w:p w14:paraId="4D175F01" w14:textId="77777777" w:rsidR="003E7A21" w:rsidRDefault="003E7A21" w:rsidP="003E7A21">
            <w:pPr>
              <w:spacing w:line="240" w:lineRule="auto"/>
              <w:jc w:val="center"/>
            </w:pPr>
            <w:r>
              <w:rPr>
                <w:rFonts w:ascii="Times New Roman" w:eastAsia="Times New Roman" w:hAnsi="Times New Roman"/>
                <w:b/>
                <w:sz w:val="17"/>
              </w:rPr>
              <w:t>n wells</w:t>
            </w:r>
          </w:p>
        </w:tc>
        <w:tc>
          <w:tcPr>
            <w:tcW w:w="1384" w:type="dxa"/>
            <w:tcBorders>
              <w:top w:val="single" w:sz="12" w:space="0" w:color="000000"/>
              <w:bottom w:val="single" w:sz="6" w:space="0" w:color="000000"/>
            </w:tcBorders>
            <w:vAlign w:val="center"/>
          </w:tcPr>
          <w:p w14:paraId="14A474BE" w14:textId="77777777" w:rsidR="003E7A21" w:rsidRDefault="003E7A21" w:rsidP="003E7A21">
            <w:pPr>
              <w:spacing w:line="240" w:lineRule="auto"/>
              <w:jc w:val="center"/>
            </w:pPr>
            <w:r>
              <w:rPr>
                <w:rFonts w:ascii="Times New Roman" w:eastAsia="Times New Roman" w:hAnsi="Times New Roman"/>
                <w:b/>
                <w:sz w:val="17"/>
              </w:rPr>
              <w:t>0–72 h wound closure (%), mean ± SD</w:t>
            </w:r>
          </w:p>
        </w:tc>
        <w:tc>
          <w:tcPr>
            <w:tcW w:w="1543" w:type="dxa"/>
            <w:tcBorders>
              <w:top w:val="single" w:sz="12" w:space="0" w:color="000000"/>
              <w:bottom w:val="single" w:sz="6" w:space="0" w:color="000000"/>
            </w:tcBorders>
            <w:vAlign w:val="center"/>
          </w:tcPr>
          <w:p w14:paraId="041F6C87" w14:textId="77777777" w:rsidR="003E7A21" w:rsidRDefault="003E7A21" w:rsidP="003E7A21">
            <w:pPr>
              <w:spacing w:line="240" w:lineRule="auto"/>
              <w:jc w:val="center"/>
            </w:pPr>
            <w:r>
              <w:rPr>
                <w:rFonts w:ascii="Times New Roman" w:eastAsia="Times New Roman" w:hAnsi="Times New Roman"/>
                <w:b/>
                <w:sz w:val="17"/>
              </w:rPr>
              <w:t>Difference vs CoCl₂, percentage points</w:t>
            </w:r>
          </w:p>
        </w:tc>
        <w:tc>
          <w:tcPr>
            <w:tcW w:w="1281" w:type="dxa"/>
            <w:tcBorders>
              <w:top w:val="single" w:sz="12" w:space="0" w:color="000000"/>
              <w:bottom w:val="single" w:sz="6" w:space="0" w:color="000000"/>
            </w:tcBorders>
            <w:vAlign w:val="center"/>
          </w:tcPr>
          <w:p w14:paraId="44931FCE" w14:textId="77777777" w:rsidR="003E7A21" w:rsidRDefault="003E7A21" w:rsidP="003E7A21">
            <w:pPr>
              <w:spacing w:line="240" w:lineRule="auto"/>
              <w:jc w:val="center"/>
            </w:pPr>
            <w:r>
              <w:rPr>
                <w:rFonts w:ascii="Times New Roman" w:eastAsia="Times New Roman" w:hAnsi="Times New Roman"/>
                <w:b/>
                <w:sz w:val="17"/>
              </w:rPr>
              <w:t>95% CI</w:t>
            </w:r>
          </w:p>
        </w:tc>
        <w:tc>
          <w:tcPr>
            <w:tcW w:w="1348" w:type="dxa"/>
            <w:tcBorders>
              <w:top w:val="single" w:sz="12" w:space="0" w:color="000000"/>
              <w:bottom w:val="single" w:sz="6" w:space="0" w:color="000000"/>
            </w:tcBorders>
            <w:vAlign w:val="center"/>
          </w:tcPr>
          <w:p w14:paraId="5B37F47B" w14:textId="77777777" w:rsidR="003E7A21" w:rsidRDefault="003E7A21" w:rsidP="003E7A21">
            <w:pPr>
              <w:spacing w:line="240" w:lineRule="auto"/>
              <w:jc w:val="center"/>
            </w:pPr>
            <w:r>
              <w:rPr>
                <w:rFonts w:ascii="Times New Roman" w:eastAsia="Times New Roman" w:hAnsi="Times New Roman"/>
                <w:b/>
                <w:sz w:val="17"/>
              </w:rPr>
              <w:t>P value</w:t>
            </w:r>
          </w:p>
        </w:tc>
      </w:tr>
      <w:tr w:rsidR="003E7A21" w14:paraId="57E8D7A2" w14:textId="77777777" w:rsidTr="003E7A21">
        <w:trPr>
          <w:trHeight w:val="398"/>
          <w:jc w:val="center"/>
        </w:trPr>
        <w:tc>
          <w:tcPr>
            <w:tcW w:w="1525" w:type="dxa"/>
            <w:vAlign w:val="center"/>
          </w:tcPr>
          <w:p w14:paraId="16432B34" w14:textId="3A412BE0" w:rsidR="003E7A21" w:rsidRDefault="003E7A21" w:rsidP="003E7A21">
            <w:pPr>
              <w:spacing w:line="240" w:lineRule="auto"/>
            </w:pPr>
            <w:r>
              <w:rPr>
                <w:rFonts w:ascii="Times New Roman" w:eastAsia="Times New Roman" w:hAnsi="Times New Roman"/>
                <w:sz w:val="17"/>
              </w:rPr>
              <w:t>CoCl₂</w:t>
            </w:r>
          </w:p>
        </w:tc>
        <w:tc>
          <w:tcPr>
            <w:tcW w:w="1292" w:type="dxa"/>
            <w:vAlign w:val="center"/>
          </w:tcPr>
          <w:p w14:paraId="29DD3A84" w14:textId="77777777" w:rsidR="003E7A21" w:rsidRDefault="003E7A21" w:rsidP="003E7A21">
            <w:pPr>
              <w:spacing w:line="240" w:lineRule="auto"/>
              <w:jc w:val="center"/>
            </w:pPr>
            <w:r>
              <w:rPr>
                <w:rFonts w:ascii="Times New Roman" w:eastAsia="Times New Roman" w:hAnsi="Times New Roman"/>
                <w:sz w:val="17"/>
              </w:rPr>
              <w:t>3</w:t>
            </w:r>
          </w:p>
        </w:tc>
        <w:tc>
          <w:tcPr>
            <w:tcW w:w="1384" w:type="dxa"/>
            <w:vAlign w:val="center"/>
          </w:tcPr>
          <w:p w14:paraId="271A9E84" w14:textId="77777777" w:rsidR="003E7A21" w:rsidRDefault="003E7A21" w:rsidP="003E7A21">
            <w:pPr>
              <w:spacing w:line="240" w:lineRule="auto"/>
              <w:jc w:val="center"/>
            </w:pPr>
            <w:r>
              <w:rPr>
                <w:rFonts w:ascii="Times New Roman" w:eastAsia="Times New Roman" w:hAnsi="Times New Roman"/>
                <w:sz w:val="17"/>
              </w:rPr>
              <w:t>−34.7 ± 16.7</w:t>
            </w:r>
          </w:p>
        </w:tc>
        <w:tc>
          <w:tcPr>
            <w:tcW w:w="1543" w:type="dxa"/>
            <w:vAlign w:val="center"/>
          </w:tcPr>
          <w:p w14:paraId="433FE926" w14:textId="77777777" w:rsidR="003E7A21" w:rsidRDefault="003E7A21" w:rsidP="003E7A21">
            <w:pPr>
              <w:spacing w:line="240" w:lineRule="auto"/>
              <w:jc w:val="center"/>
            </w:pPr>
            <w:r>
              <w:rPr>
                <w:rFonts w:ascii="Times New Roman" w:eastAsia="Times New Roman" w:hAnsi="Times New Roman"/>
                <w:sz w:val="17"/>
              </w:rPr>
              <w:t>—</w:t>
            </w:r>
          </w:p>
        </w:tc>
        <w:tc>
          <w:tcPr>
            <w:tcW w:w="1281" w:type="dxa"/>
            <w:vAlign w:val="center"/>
          </w:tcPr>
          <w:p w14:paraId="05E01D51" w14:textId="77777777" w:rsidR="003E7A21" w:rsidRDefault="003E7A21" w:rsidP="003E7A21">
            <w:pPr>
              <w:spacing w:line="240" w:lineRule="auto"/>
              <w:jc w:val="center"/>
            </w:pPr>
            <w:r>
              <w:rPr>
                <w:rFonts w:ascii="Times New Roman" w:eastAsia="Times New Roman" w:hAnsi="Times New Roman"/>
                <w:sz w:val="17"/>
              </w:rPr>
              <w:t>—</w:t>
            </w:r>
          </w:p>
        </w:tc>
        <w:tc>
          <w:tcPr>
            <w:tcW w:w="1348" w:type="dxa"/>
            <w:vAlign w:val="center"/>
          </w:tcPr>
          <w:p w14:paraId="01D15CFC" w14:textId="77777777" w:rsidR="003E7A21" w:rsidRDefault="003E7A21" w:rsidP="003E7A21">
            <w:pPr>
              <w:spacing w:line="240" w:lineRule="auto"/>
              <w:jc w:val="center"/>
            </w:pPr>
            <w:r>
              <w:rPr>
                <w:rFonts w:ascii="Times New Roman" w:eastAsia="Times New Roman" w:hAnsi="Times New Roman"/>
                <w:sz w:val="17"/>
              </w:rPr>
              <w:t>—</w:t>
            </w:r>
          </w:p>
        </w:tc>
      </w:tr>
      <w:tr w:rsidR="003E7A21" w14:paraId="04FA0AA6" w14:textId="77777777" w:rsidTr="003E7A21">
        <w:trPr>
          <w:trHeight w:val="398"/>
          <w:jc w:val="center"/>
        </w:trPr>
        <w:tc>
          <w:tcPr>
            <w:tcW w:w="1525" w:type="dxa"/>
            <w:tcBorders>
              <w:bottom w:val="single" w:sz="12" w:space="0" w:color="000000"/>
            </w:tcBorders>
            <w:vAlign w:val="center"/>
          </w:tcPr>
          <w:p w14:paraId="1AA54284" w14:textId="77777777" w:rsidR="003E7A21" w:rsidRDefault="003E7A21" w:rsidP="003E7A21">
            <w:pPr>
              <w:spacing w:line="240" w:lineRule="auto"/>
            </w:pPr>
            <w:r>
              <w:rPr>
                <w:rFonts w:ascii="Times New Roman" w:eastAsia="Times New Roman" w:hAnsi="Times New Roman"/>
                <w:sz w:val="17"/>
              </w:rPr>
              <w:t>CoCl₂ + Alda-1</w:t>
            </w:r>
          </w:p>
        </w:tc>
        <w:tc>
          <w:tcPr>
            <w:tcW w:w="1292" w:type="dxa"/>
            <w:tcBorders>
              <w:bottom w:val="single" w:sz="12" w:space="0" w:color="000000"/>
            </w:tcBorders>
            <w:vAlign w:val="center"/>
          </w:tcPr>
          <w:p w14:paraId="50F57235" w14:textId="77777777" w:rsidR="003E7A21" w:rsidRDefault="003E7A21" w:rsidP="003E7A21">
            <w:pPr>
              <w:spacing w:line="240" w:lineRule="auto"/>
              <w:jc w:val="center"/>
            </w:pPr>
            <w:r>
              <w:rPr>
                <w:rFonts w:ascii="Times New Roman" w:eastAsia="Times New Roman" w:hAnsi="Times New Roman"/>
                <w:sz w:val="17"/>
              </w:rPr>
              <w:t>3</w:t>
            </w:r>
          </w:p>
        </w:tc>
        <w:tc>
          <w:tcPr>
            <w:tcW w:w="1384" w:type="dxa"/>
            <w:tcBorders>
              <w:bottom w:val="single" w:sz="12" w:space="0" w:color="000000"/>
            </w:tcBorders>
            <w:vAlign w:val="center"/>
          </w:tcPr>
          <w:p w14:paraId="732B3431" w14:textId="77777777" w:rsidR="003E7A21" w:rsidRDefault="003E7A21" w:rsidP="003E7A21">
            <w:pPr>
              <w:spacing w:line="240" w:lineRule="auto"/>
              <w:jc w:val="center"/>
            </w:pPr>
            <w:r>
              <w:rPr>
                <w:rFonts w:ascii="Times New Roman" w:eastAsia="Times New Roman" w:hAnsi="Times New Roman"/>
                <w:sz w:val="17"/>
              </w:rPr>
              <w:t>12.6 ± 20.4</w:t>
            </w:r>
          </w:p>
        </w:tc>
        <w:tc>
          <w:tcPr>
            <w:tcW w:w="1543" w:type="dxa"/>
            <w:tcBorders>
              <w:bottom w:val="single" w:sz="12" w:space="0" w:color="000000"/>
            </w:tcBorders>
            <w:vAlign w:val="center"/>
          </w:tcPr>
          <w:p w14:paraId="5B7E2CF1" w14:textId="77777777" w:rsidR="003E7A21" w:rsidRDefault="003E7A21" w:rsidP="003E7A21">
            <w:pPr>
              <w:spacing w:line="240" w:lineRule="auto"/>
              <w:jc w:val="center"/>
            </w:pPr>
            <w:r>
              <w:rPr>
                <w:rFonts w:ascii="Times New Roman" w:eastAsia="Times New Roman" w:hAnsi="Times New Roman"/>
                <w:sz w:val="17"/>
              </w:rPr>
              <w:t>47.3</w:t>
            </w:r>
          </w:p>
        </w:tc>
        <w:tc>
          <w:tcPr>
            <w:tcW w:w="1281" w:type="dxa"/>
            <w:tcBorders>
              <w:bottom w:val="single" w:sz="12" w:space="0" w:color="000000"/>
            </w:tcBorders>
            <w:vAlign w:val="center"/>
          </w:tcPr>
          <w:p w14:paraId="128EFE2F" w14:textId="77777777" w:rsidR="003E7A21" w:rsidRDefault="003E7A21" w:rsidP="003E7A21">
            <w:pPr>
              <w:spacing w:line="240" w:lineRule="auto"/>
              <w:jc w:val="center"/>
            </w:pPr>
            <w:r>
              <w:rPr>
                <w:rFonts w:ascii="Times New Roman" w:eastAsia="Times New Roman" w:hAnsi="Times New Roman"/>
                <w:sz w:val="17"/>
              </w:rPr>
              <w:t>4.4 to 90.2</w:t>
            </w:r>
          </w:p>
        </w:tc>
        <w:tc>
          <w:tcPr>
            <w:tcW w:w="1348" w:type="dxa"/>
            <w:tcBorders>
              <w:bottom w:val="single" w:sz="12" w:space="0" w:color="000000"/>
            </w:tcBorders>
            <w:vAlign w:val="center"/>
          </w:tcPr>
          <w:p w14:paraId="12BA0261" w14:textId="77777777" w:rsidR="003E7A21" w:rsidRDefault="003E7A21" w:rsidP="003E7A21">
            <w:pPr>
              <w:spacing w:line="240" w:lineRule="auto"/>
              <w:jc w:val="center"/>
            </w:pPr>
            <w:r>
              <w:rPr>
                <w:rFonts w:ascii="Times New Roman" w:eastAsia="Times New Roman" w:hAnsi="Times New Roman"/>
                <w:sz w:val="17"/>
              </w:rPr>
              <w:t>P = 0.038</w:t>
            </w:r>
          </w:p>
        </w:tc>
      </w:tr>
    </w:tbl>
    <w:p w14:paraId="077739C1" w14:textId="07DC226F" w:rsidR="00D66C9C" w:rsidRPr="00C119A5" w:rsidRDefault="000252B1" w:rsidP="00944015">
      <w:pPr>
        <w:jc w:val="both"/>
        <w:rPr>
          <w:rFonts w:ascii="Times New Roman" w:hAnsi="Times New Roman" w:cs="Times New Roman"/>
        </w:rPr>
      </w:pPr>
      <w:r w:rsidRPr="000252B1">
        <w:rPr>
          <w:rFonts w:ascii="Times New Roman" w:hAnsi="Times New Roman" w:cs="Times New Roman"/>
        </w:rPr>
        <w:t>Data are presented as mean ± SD. Each well was treated as one experimental unit. The 0–72 h wound-closure rate was calculated as (area at 0 h − area at 72 h) / area at 0 h × 100%. Difference vs CoCl₂ indicates the mean difference in the 0–72 h wound-closure rate between the 500 μM CoCl₂ plus 20 μM Alda-1 group and the concurrently processed 500 μM CoCl₂ plus vehicle group and is expressed in percentage points. The between-group comparison was performed using Welch’s unpaired t-test</w:t>
      </w:r>
      <w:r w:rsidR="0004434C" w:rsidRPr="00C119A5">
        <w:rPr>
          <w:rFonts w:ascii="Times New Roman" w:hAnsi="Times New Roman" w:cs="Times New Roman"/>
        </w:rPr>
        <w:t>.</w:t>
      </w:r>
    </w:p>
    <w:p w14:paraId="03EF647A" w14:textId="77777777" w:rsidR="008473EA" w:rsidRPr="00C119A5" w:rsidRDefault="00F12FC2" w:rsidP="00944015">
      <w:pPr>
        <w:jc w:val="both"/>
        <w:rPr>
          <w:rFonts w:ascii="Times New Roman" w:hAnsi="Times New Roman" w:cs="Times New Roman"/>
        </w:rPr>
      </w:pPr>
      <w:r w:rsidRPr="00C119A5">
        <w:rPr>
          <w:rFonts w:ascii="Times New Roman" w:hAnsi="Times New Roman" w:cs="Times New Roman"/>
          <w:b/>
          <w:bCs/>
        </w:rPr>
        <w:t>3.</w:t>
      </w:r>
      <w:r w:rsidR="0004434C" w:rsidRPr="00C119A5">
        <w:rPr>
          <w:rFonts w:ascii="Times New Roman" w:hAnsi="Times New Roman" w:cs="Times New Roman"/>
          <w:b/>
          <w:bCs/>
        </w:rPr>
        <w:t>4</w:t>
      </w:r>
      <w:r w:rsidRPr="00C119A5">
        <w:rPr>
          <w:rFonts w:ascii="Times New Roman" w:hAnsi="Times New Roman" w:cs="Times New Roman"/>
          <w:b/>
          <w:bCs/>
        </w:rPr>
        <w:t xml:space="preserve"> </w:t>
      </w:r>
      <w:r w:rsidR="007509EF" w:rsidRPr="00C119A5">
        <w:rPr>
          <w:rFonts w:ascii="Times New Roman" w:hAnsi="Times New Roman" w:cs="Times New Roman"/>
          <w:b/>
          <w:bCs/>
        </w:rPr>
        <w:t>Daidzin exacerbated CoCl₂-induced wound-recovery impairment and was accompanied by upward extracellular stress-marker directions</w:t>
      </w:r>
    </w:p>
    <w:p w14:paraId="133FFCEE" w14:textId="72736EB1" w:rsidR="000252B1" w:rsidRPr="000252B1" w:rsidRDefault="000252B1" w:rsidP="000252B1">
      <w:pPr>
        <w:jc w:val="both"/>
        <w:rPr>
          <w:rFonts w:ascii="Times New Roman" w:hAnsi="Times New Roman" w:cs="Times New Roman"/>
        </w:rPr>
      </w:pPr>
      <w:r w:rsidRPr="000252B1">
        <w:rPr>
          <w:rFonts w:ascii="Times New Roman" w:hAnsi="Times New Roman" w:cs="Times New Roman"/>
        </w:rPr>
        <w:t>Within the Daidzin intervention module, cells were treated with 500 μM CoCl₂ plus the matched DMSO vehicle or with 500 μM CoCl₂ plus 20 μM Daidzin. Compared with the concurrently processed 500 μM CoCl₂-only comparator, Daidzin produced a less favorable wound-recovery trajectory. The scratch gap remained wider at the later time points, and the relative wound-area curve shifted upward rather than progressively declining (Figure 5A,C).</w:t>
      </w:r>
    </w:p>
    <w:p w14:paraId="09D916D8" w14:textId="48953DB3" w:rsidR="000252B1" w:rsidRPr="000252B1" w:rsidRDefault="000252B1" w:rsidP="000252B1">
      <w:pPr>
        <w:jc w:val="both"/>
        <w:rPr>
          <w:rFonts w:ascii="Times New Roman" w:hAnsi="Times New Roman" w:cs="Times New Roman"/>
        </w:rPr>
      </w:pPr>
      <w:r w:rsidRPr="000252B1">
        <w:rPr>
          <w:rFonts w:ascii="Times New Roman" w:hAnsi="Times New Roman" w:cs="Times New Roman"/>
        </w:rPr>
        <w:lastRenderedPageBreak/>
        <w:t>Quantitative analysis confirmed the aggravating functional effect of Daidzin. The 500 μM CoCl₂ plus vehicle group showed a positive 0–72 h wound-closure rate of 22.6 ± 9.3%, whereas the 500 μM CoCl₂ plus 20 μM Daidzin group showed a negative wound-closure rate of −30.5 ± 17.8%. The between-group mean difference was −53.1 percentage points, with a 95% confidence interval of −89.9 to −16.3 percentage points, and the difference reached statistical significance (P = 0.019; Table 3). This comparison was made against the concurrently processed CoCl₂-only comparator within the same experimental module.</w:t>
      </w:r>
    </w:p>
    <w:p w14:paraId="15031162" w14:textId="71E59C2D" w:rsidR="000252B1" w:rsidRPr="000252B1" w:rsidRDefault="000252B1" w:rsidP="000252B1">
      <w:pPr>
        <w:jc w:val="both"/>
        <w:rPr>
          <w:rFonts w:ascii="Times New Roman" w:hAnsi="Times New Roman" w:cs="Times New Roman"/>
        </w:rPr>
      </w:pPr>
      <w:r w:rsidRPr="000252B1">
        <w:rPr>
          <w:rFonts w:ascii="Times New Roman" w:hAnsi="Times New Roman" w:cs="Times New Roman"/>
        </w:rPr>
        <w:t xml:space="preserve">Representative morphology images were consistent with the quantitative wound-recovery findings. In the 500 μM CoCl₂-only group, some cells retained adherent and spindle-like morphology despite stress-associated changes. In contrast, cells treated with 500 </w:t>
      </w:r>
      <w:r w:rsidRPr="000252B1">
        <w:rPr>
          <w:rFonts w:ascii="Times New Roman" w:hAnsi="Times New Roman" w:cs="Times New Roman" w:hint="eastAsia"/>
        </w:rPr>
        <w:t>μ</w:t>
      </w:r>
      <w:r w:rsidRPr="000252B1">
        <w:rPr>
          <w:rFonts w:ascii="Times New Roman" w:hAnsi="Times New Roman" w:cs="Times New Roman"/>
        </w:rPr>
        <w:t>M CoCl₂ plus 20 μM Daidzin showed a poorer late-stage phenotype, particularly at 48–72 h, with increased numbers of rounded and bright cells, reduced cellular organization, and more floating or debris-like structures (Figure 5B).</w:t>
      </w:r>
    </w:p>
    <w:p w14:paraId="78594D89" w14:textId="41FC09F4" w:rsidR="000252B1" w:rsidRPr="000252B1" w:rsidRDefault="000252B1" w:rsidP="000252B1">
      <w:pPr>
        <w:jc w:val="both"/>
        <w:rPr>
          <w:rFonts w:ascii="Times New Roman" w:hAnsi="Times New Roman" w:cs="Times New Roman"/>
        </w:rPr>
      </w:pPr>
      <w:r w:rsidRPr="000252B1">
        <w:rPr>
          <w:rFonts w:ascii="Times New Roman" w:hAnsi="Times New Roman" w:cs="Times New Roman"/>
        </w:rPr>
        <w:t>Culture-supernatant ELISA showed that Daidzin did not reduce extracellular stress-marker readouts under 500 μM CoCl₂ exposure. The 24 h 4-HNE level changed little between the groups, whereas 4-HNE at 48 h showed a marked upward direction in the Daidzin-treated group. VEGF-A at 48 h also shifted upward compared with the concurrently processed 500 μM CoCl₂-only group (Figure 5D). Because these differences were presented as descriptive effect-size directions rather than statistically significant changes, they were interpreted as supportive but not confirmatory molecular evidence.</w:t>
      </w:r>
    </w:p>
    <w:p w14:paraId="25537935" w14:textId="22F6EC8E" w:rsidR="008473EA" w:rsidRPr="000045F3" w:rsidRDefault="000252B1" w:rsidP="000252B1">
      <w:pPr>
        <w:jc w:val="both"/>
        <w:rPr>
          <w:rFonts w:ascii="Times New Roman" w:hAnsi="Times New Roman" w:cs="Times New Roman"/>
        </w:rPr>
      </w:pPr>
      <w:r w:rsidRPr="000252B1">
        <w:rPr>
          <w:rFonts w:ascii="Times New Roman" w:hAnsi="Times New Roman" w:cs="Times New Roman"/>
        </w:rPr>
        <w:t>Western blot analysis at 24 h showed that 20 μM Daidzin did not further increase HIF-1α and did not produce a clear reduction in ALDH2 protein abundance under 500 μM CoCl₂ exposure (Figure 5E). Overall, the Daidzin-associated aggravating direction was supported most clearly by the statistically significant impairment of wound recovery and the poorer late-stage morphology. The upward 48 h 4-HNE and VEGF-A directions provided additional descriptive support, whereas the early ALDH2 protein response did not show a simple inverse pattern relative to the Alda-1 intervention.</w:t>
      </w:r>
    </w:p>
    <w:p w14:paraId="0E5D9F6D" w14:textId="77777777" w:rsidR="008473EA" w:rsidRPr="000045F3" w:rsidRDefault="00993247" w:rsidP="00944015">
      <w:pPr>
        <w:jc w:val="both"/>
        <w:rPr>
          <w:rFonts w:ascii="Times New Roman" w:hAnsi="Times New Roman" w:cs="Times New Roman"/>
        </w:rPr>
      </w:pPr>
      <w:r>
        <w:rPr>
          <w:rFonts w:ascii="Times New Roman" w:hAnsi="Times New Roman" w:cs="Times New Roman"/>
          <w:noProof/>
        </w:rPr>
        <w:lastRenderedPageBreak/>
        <w:drawing>
          <wp:inline distT="0" distB="0" distL="0" distR="0" wp14:anchorId="795006D9" wp14:editId="0E23AC85">
            <wp:extent cx="5260340" cy="491617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260340" cy="4916170"/>
                    </a:xfrm>
                    <a:prstGeom prst="rect">
                      <a:avLst/>
                    </a:prstGeom>
                    <a:noFill/>
                    <a:ln>
                      <a:noFill/>
                    </a:ln>
                  </pic:spPr>
                </pic:pic>
              </a:graphicData>
            </a:graphic>
          </wp:inline>
        </w:drawing>
      </w:r>
    </w:p>
    <w:p w14:paraId="31E423AA" w14:textId="0D257998" w:rsidR="001577CA" w:rsidRDefault="006F5228" w:rsidP="001577CA">
      <w:pPr>
        <w:spacing w:line="240" w:lineRule="auto"/>
        <w:jc w:val="both"/>
        <w:rPr>
          <w:rFonts w:ascii="Times New Roman" w:hAnsi="Times New Roman" w:cs="Times New Roman"/>
          <w:sz w:val="20"/>
          <w:szCs w:val="20"/>
        </w:rPr>
      </w:pPr>
      <w:r w:rsidRPr="000C75CE">
        <w:rPr>
          <w:rFonts w:ascii="Times New Roman" w:hAnsi="Times New Roman" w:cs="Times New Roman"/>
          <w:b/>
          <w:bCs/>
          <w:sz w:val="20"/>
          <w:szCs w:val="20"/>
        </w:rPr>
        <w:t>Fi</w:t>
      </w:r>
      <w:r w:rsidRPr="00C119A5">
        <w:rPr>
          <w:rFonts w:ascii="Times New Roman" w:hAnsi="Times New Roman" w:cs="Times New Roman"/>
          <w:b/>
          <w:bCs/>
          <w:sz w:val="20"/>
          <w:szCs w:val="20"/>
        </w:rPr>
        <w:t xml:space="preserve">gure </w:t>
      </w:r>
      <w:r w:rsidR="00D903C2" w:rsidRPr="00C119A5">
        <w:rPr>
          <w:rFonts w:ascii="Times New Roman" w:hAnsi="Times New Roman" w:cs="Times New Roman"/>
          <w:b/>
          <w:bCs/>
          <w:sz w:val="20"/>
          <w:szCs w:val="20"/>
        </w:rPr>
        <w:t>5</w:t>
      </w:r>
      <w:r w:rsidRPr="00C119A5">
        <w:rPr>
          <w:rFonts w:ascii="Times New Roman" w:hAnsi="Times New Roman" w:cs="Times New Roman"/>
          <w:b/>
          <w:bCs/>
          <w:sz w:val="20"/>
          <w:szCs w:val="20"/>
        </w:rPr>
        <w:t xml:space="preserve">. </w:t>
      </w:r>
      <w:r w:rsidR="000252B1" w:rsidRPr="000252B1">
        <w:rPr>
          <w:rFonts w:ascii="Times New Roman" w:hAnsi="Times New Roman" w:cs="Times New Roman"/>
          <w:sz w:val="20"/>
          <w:szCs w:val="20"/>
        </w:rPr>
        <w:t xml:space="preserve">Daidzin exacerbates 500 μM CoCl₂-induced wound-recovery impairment and is accompanied by upward shifts in extracellular stress-marker readouts. (A) Representative scratch-wound images of cells treated with 500 μM CoCl₂ plus the matched DMSO vehicle or 500 </w:t>
      </w:r>
      <w:r w:rsidR="000252B1" w:rsidRPr="000252B1">
        <w:rPr>
          <w:rFonts w:ascii="Times New Roman" w:hAnsi="Times New Roman" w:cs="Times New Roman" w:hint="eastAsia"/>
          <w:sz w:val="20"/>
          <w:szCs w:val="20"/>
        </w:rPr>
        <w:t>μ</w:t>
      </w:r>
      <w:r w:rsidR="000252B1" w:rsidRPr="000252B1">
        <w:rPr>
          <w:rFonts w:ascii="Times New Roman" w:hAnsi="Times New Roman" w:cs="Times New Roman"/>
          <w:sz w:val="20"/>
          <w:szCs w:val="20"/>
        </w:rPr>
        <w:t>M CoCl₂ plus 20 μM Daidzin at 0, 24, 48, and 72 h. The Daidzin-treated group showed a wider late-stage wound gap than the concurrently processed CoCl₂-only comparator. (B) Representative morphology images under the same treatment conditions. Cells treated with 500 μM CoCl₂ plus 20 μM Daidzin showed poorer late-stage morphology, including increased cell rounding, reduced cellular organization, and more floating or debris-like structures compared with 500 μM CoCl₂ alone. (C) Quantitative scratch-wound analysis showing relative wound area and scratch-wound closure over time. Endpoint statistics for the 0–72 h wound-closure rate are summarized in Table 3. (D) Culture-supernatant ELISA analysis of 4-HNE and VEGF-A under 500 μM CoCl₂ exposure with or without 20 μM Daidzin. Mean differences and percentage effects are shown as descriptive effect-size readouts. Daidzin had little effect on 4-HNE at 24 h, whereas 4-HNE and VEGF-A at 48 h showed upward directions compared with the concurrently processed CoCl₂-only group. (E) Western blot analysis of HIF-1α and ALDH2 after 24 h of 500 μM CoCl₂ exposure with or without 20 μM Daidzin. Daidzin did not further increase HIF-1α and did not produce a clear reduction in ALDH2 protein abundance at this time point. Scale bars are shown in the representative images</w:t>
      </w:r>
      <w:r w:rsidR="00F77B3D" w:rsidRPr="000C75CE">
        <w:rPr>
          <w:rFonts w:ascii="Times New Roman" w:hAnsi="Times New Roman" w:cs="Times New Roman"/>
          <w:sz w:val="20"/>
          <w:szCs w:val="20"/>
        </w:rPr>
        <w:t>.</w:t>
      </w:r>
    </w:p>
    <w:p w14:paraId="1838FD6A" w14:textId="77777777" w:rsidR="003E7A21" w:rsidRPr="007744A1" w:rsidRDefault="006F5228" w:rsidP="00944015">
      <w:pPr>
        <w:jc w:val="both"/>
        <w:rPr>
          <w:rFonts w:ascii="Times New Roman" w:hAnsi="Times New Roman" w:cs="Times New Roman"/>
          <w:highlight w:val="yellow"/>
        </w:rPr>
      </w:pPr>
      <w:r w:rsidRPr="006F5228">
        <w:rPr>
          <w:rFonts w:ascii="Times New Roman" w:hAnsi="Times New Roman" w:cs="Times New Roman"/>
          <w:b/>
          <w:bCs/>
        </w:rPr>
        <w:lastRenderedPageBreak/>
        <w:t xml:space="preserve">Table </w:t>
      </w:r>
      <w:r w:rsidRPr="00C119A5">
        <w:rPr>
          <w:rFonts w:ascii="Times New Roman" w:hAnsi="Times New Roman" w:cs="Times New Roman"/>
          <w:b/>
          <w:bCs/>
        </w:rPr>
        <w:t>3.</w:t>
      </w:r>
      <w:r w:rsidRPr="00C119A5">
        <w:rPr>
          <w:rFonts w:ascii="Times New Roman" w:hAnsi="Times New Roman" w:cs="Times New Roman"/>
        </w:rPr>
        <w:t xml:space="preserve"> </w:t>
      </w:r>
      <w:r w:rsidR="001577CA" w:rsidRPr="00C119A5">
        <w:rPr>
          <w:rFonts w:ascii="Times New Roman" w:hAnsi="Times New Roman" w:cs="Times New Roman"/>
        </w:rPr>
        <w:t>Statistical summary of Daidzin scratch-wound recovery under CoCl₂ stress</w:t>
      </w:r>
      <w:r w:rsidRPr="00C119A5">
        <w:rPr>
          <w:rFonts w:ascii="Times New Roman" w:hAnsi="Times New Roman" w:cs="Times New Roman"/>
        </w:rPr>
        <w:t>.</w:t>
      </w:r>
    </w:p>
    <w:tbl>
      <w:tblPr>
        <w:tblW w:w="8343" w:type="dxa"/>
        <w:jc w:val="center"/>
        <w:tblBorders>
          <w:top w:val="nil"/>
          <w:left w:val="nil"/>
          <w:bottom w:val="nil"/>
          <w:right w:val="nil"/>
          <w:insideH w:val="nil"/>
          <w:insideV w:val="nil"/>
        </w:tblBorders>
        <w:tblLook w:val="04A0" w:firstRow="1" w:lastRow="0" w:firstColumn="1" w:lastColumn="0" w:noHBand="0" w:noVBand="1"/>
      </w:tblPr>
      <w:tblGrid>
        <w:gridCol w:w="1519"/>
        <w:gridCol w:w="1288"/>
        <w:gridCol w:w="1379"/>
        <w:gridCol w:w="1537"/>
        <w:gridCol w:w="1277"/>
        <w:gridCol w:w="1343"/>
      </w:tblGrid>
      <w:tr w:rsidR="003E7A21" w14:paraId="270ED8CA" w14:textId="77777777" w:rsidTr="003E7A21">
        <w:trPr>
          <w:trHeight w:val="20"/>
          <w:jc w:val="center"/>
        </w:trPr>
        <w:tc>
          <w:tcPr>
            <w:tcW w:w="1519" w:type="dxa"/>
            <w:tcBorders>
              <w:top w:val="single" w:sz="12" w:space="0" w:color="000000"/>
              <w:bottom w:val="single" w:sz="6" w:space="0" w:color="000000"/>
            </w:tcBorders>
            <w:vAlign w:val="center"/>
          </w:tcPr>
          <w:p w14:paraId="5D5E7804" w14:textId="77777777" w:rsidR="003E7A21" w:rsidRDefault="003E7A21" w:rsidP="003E7A21">
            <w:pPr>
              <w:spacing w:line="240" w:lineRule="auto"/>
              <w:jc w:val="center"/>
            </w:pPr>
            <w:r>
              <w:rPr>
                <w:rFonts w:ascii="Times New Roman" w:eastAsia="Times New Roman" w:hAnsi="Times New Roman"/>
                <w:b/>
                <w:sz w:val="17"/>
              </w:rPr>
              <w:t>Treatment</w:t>
            </w:r>
          </w:p>
        </w:tc>
        <w:tc>
          <w:tcPr>
            <w:tcW w:w="1288" w:type="dxa"/>
            <w:tcBorders>
              <w:top w:val="single" w:sz="12" w:space="0" w:color="000000"/>
              <w:bottom w:val="single" w:sz="6" w:space="0" w:color="000000"/>
            </w:tcBorders>
            <w:vAlign w:val="center"/>
          </w:tcPr>
          <w:p w14:paraId="0C2F0740" w14:textId="77777777" w:rsidR="003E7A21" w:rsidRDefault="003E7A21" w:rsidP="003E7A21">
            <w:pPr>
              <w:spacing w:line="240" w:lineRule="auto"/>
              <w:jc w:val="center"/>
            </w:pPr>
            <w:r>
              <w:rPr>
                <w:rFonts w:ascii="Times New Roman" w:eastAsia="Times New Roman" w:hAnsi="Times New Roman"/>
                <w:b/>
                <w:sz w:val="17"/>
              </w:rPr>
              <w:t>n wells</w:t>
            </w:r>
          </w:p>
        </w:tc>
        <w:tc>
          <w:tcPr>
            <w:tcW w:w="1379" w:type="dxa"/>
            <w:tcBorders>
              <w:top w:val="single" w:sz="12" w:space="0" w:color="000000"/>
              <w:bottom w:val="single" w:sz="6" w:space="0" w:color="000000"/>
            </w:tcBorders>
            <w:vAlign w:val="center"/>
          </w:tcPr>
          <w:p w14:paraId="0335D4E8" w14:textId="77777777" w:rsidR="003E7A21" w:rsidRDefault="003E7A21" w:rsidP="003E7A21">
            <w:pPr>
              <w:spacing w:line="240" w:lineRule="auto"/>
              <w:jc w:val="center"/>
            </w:pPr>
            <w:r>
              <w:rPr>
                <w:rFonts w:ascii="Times New Roman" w:eastAsia="Times New Roman" w:hAnsi="Times New Roman"/>
                <w:b/>
                <w:sz w:val="17"/>
              </w:rPr>
              <w:t>0–72 h wound closure (%), mean ± SD</w:t>
            </w:r>
          </w:p>
        </w:tc>
        <w:tc>
          <w:tcPr>
            <w:tcW w:w="1537" w:type="dxa"/>
            <w:tcBorders>
              <w:top w:val="single" w:sz="12" w:space="0" w:color="000000"/>
              <w:bottom w:val="single" w:sz="6" w:space="0" w:color="000000"/>
            </w:tcBorders>
            <w:vAlign w:val="center"/>
          </w:tcPr>
          <w:p w14:paraId="433573AA" w14:textId="77777777" w:rsidR="003E7A21" w:rsidRDefault="003E7A21" w:rsidP="003E7A21">
            <w:pPr>
              <w:spacing w:line="240" w:lineRule="auto"/>
              <w:jc w:val="center"/>
            </w:pPr>
            <w:r>
              <w:rPr>
                <w:rFonts w:ascii="Times New Roman" w:eastAsia="Times New Roman" w:hAnsi="Times New Roman"/>
                <w:b/>
                <w:sz w:val="17"/>
              </w:rPr>
              <w:t>Difference vs CoCl₂, percentage points</w:t>
            </w:r>
          </w:p>
        </w:tc>
        <w:tc>
          <w:tcPr>
            <w:tcW w:w="1277" w:type="dxa"/>
            <w:tcBorders>
              <w:top w:val="single" w:sz="12" w:space="0" w:color="000000"/>
              <w:bottom w:val="single" w:sz="6" w:space="0" w:color="000000"/>
            </w:tcBorders>
            <w:vAlign w:val="center"/>
          </w:tcPr>
          <w:p w14:paraId="74A3211D" w14:textId="77777777" w:rsidR="003E7A21" w:rsidRDefault="003E7A21" w:rsidP="003E7A21">
            <w:pPr>
              <w:spacing w:line="240" w:lineRule="auto"/>
              <w:jc w:val="center"/>
            </w:pPr>
            <w:r>
              <w:rPr>
                <w:rFonts w:ascii="Times New Roman" w:eastAsia="Times New Roman" w:hAnsi="Times New Roman"/>
                <w:b/>
                <w:sz w:val="17"/>
              </w:rPr>
              <w:t>95% CI</w:t>
            </w:r>
          </w:p>
        </w:tc>
        <w:tc>
          <w:tcPr>
            <w:tcW w:w="1343" w:type="dxa"/>
            <w:tcBorders>
              <w:top w:val="single" w:sz="12" w:space="0" w:color="000000"/>
              <w:bottom w:val="single" w:sz="6" w:space="0" w:color="000000"/>
            </w:tcBorders>
            <w:vAlign w:val="center"/>
          </w:tcPr>
          <w:p w14:paraId="313A5D02" w14:textId="77777777" w:rsidR="003E7A21" w:rsidRDefault="003E7A21" w:rsidP="003E7A21">
            <w:pPr>
              <w:spacing w:line="240" w:lineRule="auto"/>
              <w:jc w:val="center"/>
            </w:pPr>
            <w:r>
              <w:rPr>
                <w:rFonts w:ascii="Times New Roman" w:eastAsia="Times New Roman" w:hAnsi="Times New Roman"/>
                <w:b/>
                <w:sz w:val="17"/>
              </w:rPr>
              <w:t>P value</w:t>
            </w:r>
          </w:p>
        </w:tc>
      </w:tr>
      <w:tr w:rsidR="003E7A21" w14:paraId="0F9DF1EB" w14:textId="77777777" w:rsidTr="003E7A21">
        <w:trPr>
          <w:trHeight w:val="20"/>
          <w:jc w:val="center"/>
        </w:trPr>
        <w:tc>
          <w:tcPr>
            <w:tcW w:w="1519" w:type="dxa"/>
            <w:vAlign w:val="center"/>
          </w:tcPr>
          <w:p w14:paraId="7F9F86A9" w14:textId="77777777" w:rsidR="003E7A21" w:rsidRDefault="003E7A21" w:rsidP="003E7A21">
            <w:pPr>
              <w:spacing w:line="240" w:lineRule="auto"/>
            </w:pPr>
            <w:r>
              <w:rPr>
                <w:rFonts w:ascii="Times New Roman" w:eastAsia="Times New Roman" w:hAnsi="Times New Roman"/>
                <w:sz w:val="17"/>
              </w:rPr>
              <w:t>CoCl₂</w:t>
            </w:r>
          </w:p>
        </w:tc>
        <w:tc>
          <w:tcPr>
            <w:tcW w:w="1288" w:type="dxa"/>
            <w:vAlign w:val="center"/>
          </w:tcPr>
          <w:p w14:paraId="25FDF3F6" w14:textId="77777777" w:rsidR="003E7A21" w:rsidRDefault="003E7A21" w:rsidP="003E7A21">
            <w:pPr>
              <w:spacing w:line="240" w:lineRule="auto"/>
              <w:jc w:val="center"/>
            </w:pPr>
            <w:r>
              <w:rPr>
                <w:rFonts w:ascii="Times New Roman" w:eastAsia="Times New Roman" w:hAnsi="Times New Roman"/>
                <w:sz w:val="17"/>
              </w:rPr>
              <w:t>3</w:t>
            </w:r>
          </w:p>
        </w:tc>
        <w:tc>
          <w:tcPr>
            <w:tcW w:w="1379" w:type="dxa"/>
            <w:vAlign w:val="center"/>
          </w:tcPr>
          <w:p w14:paraId="1A84F3DE" w14:textId="77777777" w:rsidR="003E7A21" w:rsidRDefault="003E7A21" w:rsidP="003E7A21">
            <w:pPr>
              <w:spacing w:line="240" w:lineRule="auto"/>
              <w:jc w:val="center"/>
            </w:pPr>
            <w:r>
              <w:rPr>
                <w:rFonts w:ascii="Times New Roman" w:eastAsia="Times New Roman" w:hAnsi="Times New Roman"/>
                <w:sz w:val="17"/>
              </w:rPr>
              <w:t>22.6 ± 9.3</w:t>
            </w:r>
          </w:p>
        </w:tc>
        <w:tc>
          <w:tcPr>
            <w:tcW w:w="1537" w:type="dxa"/>
            <w:vAlign w:val="center"/>
          </w:tcPr>
          <w:p w14:paraId="798C5AC5" w14:textId="77777777" w:rsidR="003E7A21" w:rsidRDefault="003E7A21" w:rsidP="003E7A21">
            <w:pPr>
              <w:spacing w:line="240" w:lineRule="auto"/>
              <w:jc w:val="center"/>
            </w:pPr>
            <w:r>
              <w:rPr>
                <w:rFonts w:ascii="Times New Roman" w:eastAsia="Times New Roman" w:hAnsi="Times New Roman"/>
                <w:sz w:val="17"/>
              </w:rPr>
              <w:t>—</w:t>
            </w:r>
          </w:p>
        </w:tc>
        <w:tc>
          <w:tcPr>
            <w:tcW w:w="1277" w:type="dxa"/>
            <w:vAlign w:val="center"/>
          </w:tcPr>
          <w:p w14:paraId="18833094" w14:textId="77777777" w:rsidR="003E7A21" w:rsidRDefault="003E7A21" w:rsidP="003E7A21">
            <w:pPr>
              <w:spacing w:line="240" w:lineRule="auto"/>
              <w:jc w:val="center"/>
            </w:pPr>
            <w:r>
              <w:rPr>
                <w:rFonts w:ascii="Times New Roman" w:eastAsia="Times New Roman" w:hAnsi="Times New Roman"/>
                <w:sz w:val="17"/>
              </w:rPr>
              <w:t>—</w:t>
            </w:r>
          </w:p>
        </w:tc>
        <w:tc>
          <w:tcPr>
            <w:tcW w:w="1343" w:type="dxa"/>
            <w:vAlign w:val="center"/>
          </w:tcPr>
          <w:p w14:paraId="7BEB5EBA" w14:textId="77777777" w:rsidR="003E7A21" w:rsidRDefault="003E7A21" w:rsidP="003E7A21">
            <w:pPr>
              <w:spacing w:line="240" w:lineRule="auto"/>
              <w:jc w:val="center"/>
            </w:pPr>
            <w:r>
              <w:rPr>
                <w:rFonts w:ascii="Times New Roman" w:eastAsia="Times New Roman" w:hAnsi="Times New Roman"/>
                <w:sz w:val="17"/>
              </w:rPr>
              <w:t>—</w:t>
            </w:r>
          </w:p>
        </w:tc>
      </w:tr>
      <w:tr w:rsidR="003E7A21" w14:paraId="419E4056" w14:textId="77777777" w:rsidTr="003E7A21">
        <w:trPr>
          <w:trHeight w:val="20"/>
          <w:jc w:val="center"/>
        </w:trPr>
        <w:tc>
          <w:tcPr>
            <w:tcW w:w="1519" w:type="dxa"/>
            <w:tcBorders>
              <w:bottom w:val="single" w:sz="12" w:space="0" w:color="000000"/>
            </w:tcBorders>
            <w:vAlign w:val="center"/>
          </w:tcPr>
          <w:p w14:paraId="39569106" w14:textId="77777777" w:rsidR="003E7A21" w:rsidRDefault="003E7A21" w:rsidP="003E7A21">
            <w:pPr>
              <w:spacing w:line="240" w:lineRule="auto"/>
            </w:pPr>
            <w:r>
              <w:rPr>
                <w:rFonts w:ascii="Times New Roman" w:eastAsia="Times New Roman" w:hAnsi="Times New Roman"/>
                <w:sz w:val="17"/>
              </w:rPr>
              <w:t>CoCl₂ + Daidzin</w:t>
            </w:r>
          </w:p>
        </w:tc>
        <w:tc>
          <w:tcPr>
            <w:tcW w:w="1288" w:type="dxa"/>
            <w:tcBorders>
              <w:bottom w:val="single" w:sz="12" w:space="0" w:color="000000"/>
            </w:tcBorders>
            <w:vAlign w:val="center"/>
          </w:tcPr>
          <w:p w14:paraId="4906660D" w14:textId="77777777" w:rsidR="003E7A21" w:rsidRDefault="003E7A21" w:rsidP="003E7A21">
            <w:pPr>
              <w:spacing w:line="240" w:lineRule="auto"/>
              <w:jc w:val="center"/>
            </w:pPr>
            <w:r>
              <w:rPr>
                <w:rFonts w:ascii="Times New Roman" w:eastAsia="Times New Roman" w:hAnsi="Times New Roman"/>
                <w:sz w:val="17"/>
              </w:rPr>
              <w:t>3</w:t>
            </w:r>
          </w:p>
        </w:tc>
        <w:tc>
          <w:tcPr>
            <w:tcW w:w="1379" w:type="dxa"/>
            <w:tcBorders>
              <w:bottom w:val="single" w:sz="12" w:space="0" w:color="000000"/>
            </w:tcBorders>
            <w:vAlign w:val="center"/>
          </w:tcPr>
          <w:p w14:paraId="1585D685" w14:textId="77777777" w:rsidR="003E7A21" w:rsidRDefault="003E7A21" w:rsidP="003E7A21">
            <w:pPr>
              <w:spacing w:line="240" w:lineRule="auto"/>
              <w:jc w:val="center"/>
            </w:pPr>
            <w:r>
              <w:rPr>
                <w:rFonts w:ascii="Times New Roman" w:eastAsia="Times New Roman" w:hAnsi="Times New Roman"/>
                <w:sz w:val="17"/>
              </w:rPr>
              <w:t>−30.5 ± 17.8</w:t>
            </w:r>
          </w:p>
        </w:tc>
        <w:tc>
          <w:tcPr>
            <w:tcW w:w="1537" w:type="dxa"/>
            <w:tcBorders>
              <w:bottom w:val="single" w:sz="12" w:space="0" w:color="000000"/>
            </w:tcBorders>
            <w:vAlign w:val="center"/>
          </w:tcPr>
          <w:p w14:paraId="4A835EF8" w14:textId="77777777" w:rsidR="003E7A21" w:rsidRDefault="003E7A21" w:rsidP="003E7A21">
            <w:pPr>
              <w:spacing w:line="240" w:lineRule="auto"/>
              <w:jc w:val="center"/>
            </w:pPr>
            <w:r>
              <w:rPr>
                <w:rFonts w:ascii="Times New Roman" w:eastAsia="Times New Roman" w:hAnsi="Times New Roman"/>
                <w:sz w:val="17"/>
              </w:rPr>
              <w:t>-53.1</w:t>
            </w:r>
          </w:p>
        </w:tc>
        <w:tc>
          <w:tcPr>
            <w:tcW w:w="1277" w:type="dxa"/>
            <w:tcBorders>
              <w:bottom w:val="single" w:sz="12" w:space="0" w:color="000000"/>
            </w:tcBorders>
            <w:vAlign w:val="center"/>
          </w:tcPr>
          <w:p w14:paraId="2CDF21D8" w14:textId="77777777" w:rsidR="003E7A21" w:rsidRDefault="003E7A21" w:rsidP="003E7A21">
            <w:pPr>
              <w:spacing w:line="240" w:lineRule="auto"/>
              <w:jc w:val="center"/>
            </w:pPr>
            <w:r>
              <w:rPr>
                <w:rFonts w:ascii="Times New Roman" w:eastAsia="Times New Roman" w:hAnsi="Times New Roman"/>
                <w:sz w:val="17"/>
              </w:rPr>
              <w:t>-89.9 to -16.3</w:t>
            </w:r>
          </w:p>
        </w:tc>
        <w:tc>
          <w:tcPr>
            <w:tcW w:w="1343" w:type="dxa"/>
            <w:tcBorders>
              <w:bottom w:val="single" w:sz="12" w:space="0" w:color="000000"/>
            </w:tcBorders>
            <w:vAlign w:val="center"/>
          </w:tcPr>
          <w:p w14:paraId="07221578" w14:textId="77777777" w:rsidR="003E7A21" w:rsidRDefault="003E7A21" w:rsidP="003E7A21">
            <w:pPr>
              <w:spacing w:line="240" w:lineRule="auto"/>
              <w:jc w:val="center"/>
            </w:pPr>
            <w:r>
              <w:rPr>
                <w:rFonts w:ascii="Times New Roman" w:eastAsia="Times New Roman" w:hAnsi="Times New Roman"/>
                <w:sz w:val="17"/>
              </w:rPr>
              <w:t>P = 0.019</w:t>
            </w:r>
          </w:p>
        </w:tc>
      </w:tr>
    </w:tbl>
    <w:p w14:paraId="6F16EF5E" w14:textId="2AC8B522" w:rsidR="003E7A21" w:rsidRPr="000C75CE" w:rsidRDefault="000252B1" w:rsidP="00944015">
      <w:pPr>
        <w:jc w:val="both"/>
        <w:rPr>
          <w:rFonts w:ascii="Times New Roman" w:hAnsi="Times New Roman" w:cs="Times New Roman"/>
          <w:sz w:val="20"/>
          <w:szCs w:val="20"/>
        </w:rPr>
      </w:pPr>
      <w:r w:rsidRPr="000252B1">
        <w:rPr>
          <w:rFonts w:ascii="Times New Roman" w:hAnsi="Times New Roman" w:cs="Times New Roman"/>
          <w:sz w:val="20"/>
          <w:szCs w:val="20"/>
        </w:rPr>
        <w:t>Data are presented as mean ± SD. Each well was treated as one experimental unit. The 0–72 h wound-closure rate was calculated as (area at 0 h − area at 72 h) / area at 0 h × 100%. Difference vs CoCl₂ indicates the mean difference in the 0–72 h wound-closure rate between the 500 μM CoCl₂ plus 20 μM Daidzin group and the concurrently processed 500 μM CoCl₂ plus vehicle group and is expressed in percentage points. The between-group comparison was performed using Welch’s unpaired t-test</w:t>
      </w:r>
      <w:r w:rsidR="006F5228" w:rsidRPr="000C75CE">
        <w:rPr>
          <w:rFonts w:ascii="Times New Roman" w:hAnsi="Times New Roman" w:cs="Times New Roman"/>
          <w:sz w:val="20"/>
          <w:szCs w:val="20"/>
        </w:rPr>
        <w:t>.</w:t>
      </w:r>
    </w:p>
    <w:bookmarkEnd w:id="4"/>
    <w:p w14:paraId="5DE9D7F7" w14:textId="77777777" w:rsidR="008473EA" w:rsidRPr="000045F3" w:rsidRDefault="00F12FC2" w:rsidP="00944015">
      <w:pPr>
        <w:jc w:val="both"/>
        <w:rPr>
          <w:rFonts w:ascii="Times New Roman" w:hAnsi="Times New Roman" w:cs="Times New Roman"/>
        </w:rPr>
      </w:pPr>
      <w:r w:rsidRPr="000045F3">
        <w:rPr>
          <w:rFonts w:ascii="Times New Roman" w:hAnsi="Times New Roman" w:cs="Times New Roman"/>
          <w:b/>
          <w:bCs/>
        </w:rPr>
        <w:t>4.</w:t>
      </w:r>
      <w:r w:rsidR="00B41EA8">
        <w:rPr>
          <w:rFonts w:ascii="Times New Roman" w:hAnsi="Times New Roman" w:cs="Times New Roman"/>
          <w:b/>
          <w:bCs/>
        </w:rPr>
        <w:t xml:space="preserve"> </w:t>
      </w:r>
      <w:r w:rsidRPr="000045F3">
        <w:rPr>
          <w:rFonts w:ascii="Times New Roman" w:hAnsi="Times New Roman" w:cs="Times New Roman"/>
          <w:b/>
          <w:bCs/>
        </w:rPr>
        <w:t>Discussion</w:t>
      </w:r>
    </w:p>
    <w:p w14:paraId="6F0F1171" w14:textId="5C63F197" w:rsidR="00FA6A68" w:rsidRPr="00FA6A68" w:rsidRDefault="00FA6A68" w:rsidP="00FA6A68">
      <w:pPr>
        <w:jc w:val="both"/>
        <w:rPr>
          <w:rFonts w:ascii="Times New Roman" w:hAnsi="Times New Roman" w:cs="Times New Roman"/>
        </w:rPr>
      </w:pPr>
      <w:r w:rsidRPr="00C119A5">
        <w:rPr>
          <w:rFonts w:ascii="Times New Roman" w:hAnsi="Times New Roman" w:cs="Times New Roman"/>
        </w:rPr>
        <w:t>The present study shows that CoCl₂ exposure impaired RPE scratch-wound recovery and cellular morphology</w:t>
      </w:r>
      <w:r w:rsidR="00C355AE" w:rsidRPr="00C355AE">
        <w:t xml:space="preserve"> </w:t>
      </w:r>
      <w:r w:rsidR="00C355AE" w:rsidRPr="00C355AE">
        <w:rPr>
          <w:rFonts w:ascii="Times New Roman" w:hAnsi="Times New Roman" w:cs="Times New Roman"/>
        </w:rPr>
        <w:t>and produced graded changes in the relative CCK-8 signal across concentrations and exposure times</w:t>
      </w:r>
      <w:r w:rsidRPr="00C119A5">
        <w:rPr>
          <w:rFonts w:ascii="Times New Roman" w:hAnsi="Times New Roman" w:cs="Times New Roman"/>
        </w:rPr>
        <w:t xml:space="preserve">, while </w:t>
      </w:r>
      <w:r w:rsidR="00F91992" w:rsidRPr="00F91992">
        <w:rPr>
          <w:rFonts w:ascii="Times New Roman" w:hAnsi="Times New Roman" w:cs="Times New Roman"/>
        </w:rPr>
        <w:t>ALDH2-associated</w:t>
      </w:r>
      <w:r w:rsidRPr="00C119A5">
        <w:rPr>
          <w:rFonts w:ascii="Times New Roman" w:hAnsi="Times New Roman" w:cs="Times New Roman"/>
        </w:rPr>
        <w:t xml:space="preserve"> pharmacological modulation shifted this injury phenotype in opposite directions. Alda-1 attenuated the CoCl₂-induced injury phenotype and restored ALDH2 protein abundance, where</w:t>
      </w:r>
      <w:r w:rsidRPr="00FA6A68">
        <w:rPr>
          <w:rFonts w:ascii="Times New Roman" w:hAnsi="Times New Roman" w:cs="Times New Roman"/>
        </w:rPr>
        <w:t xml:space="preserve">as Daidzin exacerbated wound-recovery impairment and shifted extracellular stress-marker readouts in an unfavorable direction. Molecular validation further showed that the CoCl₂-induced phenotype was accompanied by early HIF-1α activation, ALDH2 reduction, extracellular 4-HNE/VEGF-A elevation, and a BAX-associated increasing trend. Together, these findings support </w:t>
      </w:r>
      <w:r w:rsidR="00F91992" w:rsidRPr="00F91992">
        <w:rPr>
          <w:rFonts w:ascii="Times New Roman" w:hAnsi="Times New Roman" w:cs="Times New Roman"/>
        </w:rPr>
        <w:t>ALDH2-associated aldehyde-detoxifying defense as a modulatory component of CoCl₂-induced hypoxia-related RPE stress, rather than establishing a single linear molecular mechanism</w:t>
      </w:r>
      <w:r w:rsidRPr="00FA6A68">
        <w:rPr>
          <w:rFonts w:ascii="Times New Roman" w:hAnsi="Times New Roman" w:cs="Times New Roman"/>
        </w:rPr>
        <w:t>.</w:t>
      </w:r>
    </w:p>
    <w:p w14:paraId="301D1FC7" w14:textId="39E9C815" w:rsidR="00FA6A68" w:rsidRPr="00C119A5" w:rsidRDefault="00FA6A68" w:rsidP="00FA6A68">
      <w:pPr>
        <w:jc w:val="both"/>
        <w:rPr>
          <w:rFonts w:ascii="Times New Roman" w:hAnsi="Times New Roman" w:cs="Times New Roman"/>
        </w:rPr>
      </w:pPr>
      <w:r w:rsidRPr="00FA6A68">
        <w:rPr>
          <w:rFonts w:ascii="Times New Roman" w:hAnsi="Times New Roman" w:cs="Times New Roman"/>
        </w:rPr>
        <w:t>The concentration-dependent phenotype indicates that CoCl₂ generated graded cellular responses across the tested range</w:t>
      </w:r>
      <w:r>
        <w:rPr>
          <w:rFonts w:ascii="Times New Roman" w:hAnsi="Times New Roman" w:cs="Times New Roman"/>
        </w:rPr>
        <w:fldChar w:fldCharType="begin"/>
      </w:r>
      <w:r>
        <w:rPr>
          <w:rFonts w:ascii="Times New Roman" w:hAnsi="Times New Roman" w:cs="Times New Roman"/>
        </w:rPr>
        <w:instrText xml:space="preserve"> ADDIN EN.CITE &lt;EndNote&gt;&lt;Cite&gt;&lt;Author&gt;Muñoz-Sánchez&lt;/Author&gt;&lt;Year&gt;2019&lt;/Year&gt;&lt;RecNum&gt;9107&lt;/RecNum&gt;&lt;DisplayText&gt; [7,9-11]&lt;/DisplayText&gt;&lt;record&gt;&lt;rec-number&gt;9107&lt;/rec-number&gt;&lt;foreign-keys&gt;&lt;key app="EN" db-id="codex-40refs" timestamp="1781575200"&gt;9107&lt;/key&gt;&lt;/foreign-keys&gt;&lt;ref-type name="Journal Article"&gt;17&lt;/ref-type&gt;&lt;contributors&gt;&lt;authors&gt;&lt;author&gt;Muñoz-Sánchez, J.&lt;/author&gt;&lt;author&gt;Chánez-Cárdenas, ME.&lt;/author&gt;&lt;/authors&gt;&lt;/contributors&gt;&lt;titles&gt;&lt;title&gt;The use of cobalt chloride as a chemical hypoxia model.&lt;/title&gt;&lt;secondary-title&gt;J Appl Toxicol&lt;/secondary-title&gt;&lt;/titles&gt;&lt;periodical&gt;&lt;full-title&gt;Journal of applied toxicology : JAT&lt;/full-title&gt;&lt;/periodical&gt;&lt;pages&gt;556-570&lt;/pages&gt;&lt;volume&gt;39&lt;/volume&gt;&lt;number&gt;4&lt;/number&gt;&lt;dates&gt;&lt;year&gt;2019&lt;/year&gt;&lt;/dates&gt;&lt;isbn&gt;&lt;/isbn&gt;&lt;accession-num&gt;30484873&lt;/accession-num&gt;&lt;urls&gt;&lt;/urls&gt;&lt;custom2&gt;&lt;/custom2&gt;&lt;electronic-resource-num&gt;10.1002/jat.3749&lt;/electronic-resource-num&gt;&lt;remote-database-provider&gt;NLM&lt;/remote-database-provider&gt;&lt;language&gt;eng&lt;/language&gt;&lt;/record&gt;&lt;/Cite&gt;&lt;Cite&gt;&lt;Author&gt;Toragall&lt;/Author&gt;&lt;Year&gt;2023&lt;/Year&gt;&lt;RecNum&gt;9109&lt;/RecNum&gt;&lt;DisplayText&gt; [7,9-11]&lt;/DisplayText&gt;&lt;record&gt;&lt;rec-number&gt;9109&lt;/rec-number&gt;&lt;foreign-keys&gt;&lt;key app="EN" db-id="codex-40refs" timestamp="1781575200"&gt;9109&lt;/key&gt;&lt;/foreign-keys&gt;&lt;ref-type name="Journal Article"&gt;17&lt;/ref-type&gt;&lt;contributors&gt;&lt;authors&gt;&lt;author&gt;Toragall, V.&lt;/author&gt;&lt;author&gt;Muzaffar, JC.&lt;/author&gt;&lt;author&gt;Baskaran, V.&lt;/author&gt;&lt;/authors&gt;&lt;/contributors&gt;&lt;titles&gt;&lt;title&gt;Lutein loaded double-layered polymer nanocarrier modulate H2O2 and CoCl2 induced oxidative and hypoxia damage and angiogenic markers in ARPE-19 cells.&lt;/title&gt;&lt;secondary-title&gt;Int J Biol Macromol&lt;/secondary-title&gt;&lt;/titles&gt;&lt;periodical&gt;&lt;full-title&gt;International journal of biological macromolecules&lt;/full-title&gt;&lt;/periodical&gt;&lt;pages&gt;124378&lt;/pages&gt;&lt;volume&gt;240&lt;/volume&gt;&lt;number&gt;&lt;/number&gt;&lt;dates&gt;&lt;year&gt;2023&lt;/year&gt;&lt;/dates&gt;&lt;isbn&gt;&lt;/isbn&gt;&lt;accession-num&gt;37030468&lt;/accession-num&gt;&lt;urls&gt;&lt;/urls&gt;&lt;custom2&gt;&lt;/custom2&gt;&lt;electronic-resource-num&gt;10.1016/j.ijbiomac.2023.124378&lt;/electronic-resource-num&gt;&lt;remote-database-provider&gt;NLM&lt;/remote-database-provider&gt;&lt;language&gt;eng&lt;/language&gt;&lt;/record&gt;&lt;/Cite&gt;&lt;Cite&gt;&lt;Author&gt;Yang&lt;/Author&gt;&lt;Year&gt;2025&lt;/Year&gt;&lt;RecNum&gt;9110&lt;/RecNum&gt;&lt;DisplayText&gt; [7,9-11]&lt;/DisplayText&gt;&lt;record&gt;&lt;rec-number&gt;9110&lt;/rec-number&gt;&lt;foreign-keys&gt;&lt;key app="EN" db-id="codex-40refs" timestamp="1781575200"&gt;9110&lt;/key&gt;&lt;/foreign-keys&gt;&lt;ref-type name="Journal Article"&gt;17&lt;/ref-type&gt;&lt;contributors&gt;&lt;authors&gt;&lt;author&gt;Yang, Y.&lt;/author&gt;&lt;author&gt;Liu, M.&lt;/author&gt;&lt;author&gt;Dong, X.&lt;/author&gt;&lt;author&gt;Bai, J.&lt;/author&gt;&lt;author&gt;Shi, W.&lt;/author&gt;&lt;author&gt;Zhu, Q.&lt;/author&gt;&lt;author&gt;Liu, J.&lt;/author&gt;&lt;author&gt;Wang, Z.&lt;/author&gt;&lt;author&gt;Yi, L.&lt;/author&gt;&lt;author&gt;Yin, X.&lt;/author&gt;&lt;author&gt;Ni, J.&lt;/author&gt;&lt;author&gt;Qu, C.&lt;/author&gt;&lt;/authors&gt;&lt;/contributors&gt;&lt;titles&gt;&lt;title&gt;Naringin Suppresses CoCl2-Induced Ferroptosis in ARPE-19 Cells.&lt;/title&gt;&lt;secondary-title&gt;Antioxidants (Basel)&lt;/secondary-title&gt;&lt;/titles&gt;&lt;periodical&gt;&lt;full-title&gt;Antioxidants (Basel, Switzerland)&lt;/full-title&gt;&lt;/periodical&gt;&lt;pages&gt;236&lt;/pages&gt;&lt;volume&gt;14&lt;/volume&gt;&lt;number&gt;2&lt;/number&gt;&lt;dates&gt;&lt;year&gt;2025&lt;/year&gt;&lt;/dates&gt;&lt;isbn&gt;&lt;/isbn&gt;&lt;accession-num&gt;40002420&lt;/accession-num&gt;&lt;urls&gt;&lt;/urls&gt;&lt;custom2&gt;PMC9192632&lt;/custom2&gt;&lt;electronic-resource-num&gt;10.1038/s41419-022-04997-1&lt;/electronic-resource-num&gt;&lt;remote-database-provider&gt;NLM&lt;/remote-database-provider&gt;&lt;language&gt;eng&lt;/language&gt;&lt;/record&gt;&lt;/Cite&gt;&lt;Cite&gt;&lt;Author&gt;Henning&lt;/Author&gt;&lt;Year&gt;2022&lt;/Year&gt;&lt;RecNum&gt;9111&lt;/RecNum&gt;&lt;DisplayText&gt; [7,9-11]&lt;/DisplayText&gt;&lt;record&gt;&lt;rec-number&gt;9111&lt;/rec-number&gt;&lt;foreign-keys&gt;&lt;key app="EN" db-id="codex-40refs" timestamp="1781575200"&gt;9111&lt;/key&gt;&lt;/foreign-keys&gt;&lt;ref-type name="Journal Article"&gt;17&lt;/ref-type&gt;&lt;contributors&gt;&lt;authors&gt;&lt;author&gt;Henning, Y.&lt;/author&gt;&lt;author&gt;Blind, US.&lt;/author&gt;&lt;author&gt;Larafa, S.&lt;/author&gt;&lt;author&gt;Matschke, J.&lt;/author&gt;&lt;author&gt;Fandrey, J.&lt;/author&gt;&lt;/authors&gt;&lt;/contributors&gt;&lt;titles&gt;&lt;title&gt;Hypoxia aggravates ferroptosis in RPE cells by promoting the Fenton reaction.&lt;/title&gt;&lt;secondary-title&gt;Cell Death Dis&lt;/secondary-title&gt;&lt;/titles&gt;&lt;periodical&gt;&lt;full-title&gt;Cell death &amp;amp; disease&lt;/full-title&gt;&lt;/periodical&gt;&lt;pages&gt;662&lt;/pages&gt;&lt;volume&gt;13&lt;/volume&gt;&lt;number&gt;7&lt;/number&gt;&lt;dates&gt;&lt;year&gt;2022&lt;/year&gt;&lt;/dates&gt;&lt;isbn&gt;&lt;/isbn&gt;&lt;accession-num&gt;35906211&lt;/accession-num&gt;&lt;urls&gt;&lt;/urls&gt;&lt;custom2&gt;PMC2665187&lt;/custom2&gt;&lt;electronic-resource-num&gt;10.1167/iovs.08-2545&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[7,9-11]</w:t>
      </w:r>
      <w:r>
        <w:rPr>
          <w:rFonts w:ascii="Times New Roman" w:hAnsi="Times New Roman" w:cs="Times New Roman"/>
        </w:rPr>
        <w:fldChar w:fldCharType="end"/>
      </w:r>
      <w:r>
        <w:rPr>
          <w:rFonts w:ascii="Times New Roman" w:hAnsi="Times New Roman" w:cs="Times New Roman"/>
        </w:rPr>
        <w:t>. Mild exposure was compatible with preserved wound-edge recovery and adherent cellular morphology, whereas higher exposure was associated with persistent wound opening, negative wound-closure values, and morphology deterioration.</w:t>
      </w:r>
      <w:r w:rsidR="00C355AE">
        <w:rPr>
          <w:rFonts w:ascii="Times New Roman" w:hAnsi="Times New Roman" w:cs="Times New Roman"/>
        </w:rPr>
        <w:t xml:space="preserve"> </w:t>
      </w:r>
      <w:r w:rsidR="00C355AE" w:rsidRPr="00C355AE">
        <w:rPr>
          <w:rFonts w:ascii="Times New Roman" w:hAnsi="Times New Roman" w:cs="Times New Roman"/>
        </w:rPr>
        <w:t>The CCK-8 assay showed a related but not identical graded response. The 10 and 100 μM groups did not show a sustained reduction in the relative CCK-8 signal, whereas 1000 and 2000 μM CoCl₂ produced marked late-stage decreases. Because CCK-8 is a metabolic readout, the transiently higher signals observed at low concentrations should not be interpreted as direct evidence of increased cell number.</w:t>
      </w:r>
      <w:r>
        <w:rPr>
          <w:rFonts w:ascii="Times New Roman" w:hAnsi="Times New Roman" w:cs="Times New Roman"/>
        </w:rPr>
        <w:t xml:space="preserve"> These findings suggest that the scratch-wound phenotype reflected a combined effect of cellular stress, impaired wound-edge repopulation, and disruption of cell-layer integrity</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&lt;EndNote&gt;&lt;Cite&gt;&lt;Author&gt;Yang&lt;/Author&gt;&lt;Year&gt;2024&lt;/Year&gt;&lt;RecNum&gt;9128&lt;/RecNum&gt;&lt;DisplayText&gt; [28-30,32]&lt;/DisplayText&gt;&lt;record&gt;&lt;rec-number&gt;9128&lt;/rec-number&gt;&lt;foreign-keys&gt;&lt;key app="EN" db-id="codex-40refs" timestamp="1781575200"&gt;9128&lt;/key&gt;&lt;/foreign-keys&gt;&lt;ref-type name="Journal Article"&gt;17&lt;/ref-type&gt;&lt;contributors&gt;&lt;authors&gt;&lt;author&gt;Yang, C.&lt;/author&gt;&lt;author&gt;Yin, D.&lt;/author&gt;&lt;author&gt;Zhang, H.&lt;/author&gt;&lt;author&gt;Badea, I.&lt;/author&gt;&lt;author&gt;Yang, SM.&lt;/author&gt;&lt;author&gt;Zhang, W.&lt;/author&gt;&lt;/authors&gt;&lt;/contributors&gt;&lt;titles&gt;&lt;title&gt;Cell Migration Assays and Their Application to Wound Healing Assays-A Critical Review.&lt;/title&gt;&lt;secondary-title&gt;Micromachines (Basel)&lt;/secondary-title&gt;&lt;/titles&gt;&lt;periodical&gt;&lt;full-title&gt;Micromachines&lt;/full-title&gt;&lt;/periodical&gt;&lt;pages&gt;720&lt;/pages&gt;&lt;volume&gt;15&lt;/volume&gt;&lt;number&gt;6&lt;/number&gt;&lt;dates&gt;&lt;year&gt;2024&lt;/year&gt;&lt;/dates&gt;&lt;isbn&gt;&lt;/isbn&gt;&lt;accession-num&gt;38930690&lt;/accession-num&gt;&lt;urls&gt;&lt;/urls&gt;&lt;custom2&gt;PMC10537285&lt;/custom2&gt;&lt;electronic-resource-num&gt;10.3390/mi14091740&lt;/electronic-resource-num&gt;&lt;remote-database-provider&gt;NLM&lt;/remote-database-provider&gt;&lt;language&gt;eng&lt;/language&gt;&lt;/record&gt;&lt;/Cite&gt;&lt;Cite&gt;&lt;Author&gt;Jonkman&lt;/Author&gt;&lt;Year&gt;2014&lt;/Year&gt;&lt;RecNum&gt;9129&lt;/RecNum&gt;&lt;DisplayText&gt; [28-30,32]&lt;/DisplayText&gt;&lt;record&gt;&lt;rec-number&gt;9129&lt;/rec-number&gt;&lt;foreign-keys&gt;&lt;key app="EN" db-id="codex-40refs" timestamp="1781575200"&gt;9129&lt;/key&gt;&lt;/foreign-keys&gt;&lt;ref-type name="Journal Article"&gt;17&lt;/ref-type&gt;&lt;contributors&gt;&lt;authors&gt;&lt;author&gt;Jonkman, JE.&lt;/author&gt;&lt;author&gt;Cathcart, JA.&lt;/author&gt;&lt;author&gt;Xu, F.&lt;/author&gt;&lt;author&gt;Bartolini, ME.&lt;/author&gt;&lt;author&gt;Amon, JE.&lt;/author&gt;&lt;author&gt;Stevens, KM.&lt;/author&gt;&lt;author&gt;Colarusso, P.&lt;/author&gt;&lt;/authors&gt;&lt;/contributors&gt;&lt;titles&gt;&lt;title&gt;An introduction to the wound healing assay using live-cell microscopy.&lt;/title&gt;&lt;secondary-title&gt;Cell Adh Migr&lt;/secondary-title&gt;&lt;/titles&gt;&lt;periodical&gt;&lt;full-title&gt;Cell adhesion &amp;amp; migration&lt;/full-title&gt;&lt;/periodical&gt;&lt;pages&gt;440-51&lt;/pages&gt;&lt;volume&gt;8&lt;/volume&gt;&lt;number&gt;5&lt;/number&gt;&lt;dates&gt;&lt;year&gt;2014&lt;/year&gt;&lt;/dates&gt;&lt;isbn&gt;&lt;/isbn&gt;&lt;accession-num&gt;25482647&lt;/accession-num&gt;&lt;urls&gt;&lt;/urls&gt;&lt;custom2&gt;PMC3855844&lt;/custom2&gt;&lt;electronic-resource-num&gt;10.4161/cam.36224&lt;/electronic-resource-num&gt;&lt;remote-database-provider&gt;NLM&lt;/remote-database-provider&gt;&lt;language&gt;eng&lt;/language&gt;&lt;/record&gt;&lt;/Cite&gt;&lt;Cite&gt;&lt;Author&gt;Greene&lt;/Author&gt;&lt;Year&gt;2016&lt;/Year&gt;&lt;RecNum&gt;9130&lt;/RecNum&gt;&lt;DisplayText&gt; [28-30,32]&lt;/DisplayText&gt;&lt;record&gt;&lt;rec-number&gt;9130&lt;/rec-number&gt;&lt;foreign-keys&gt;&lt;key app="EN" db-id="codex-40refs" timestamp="1781575200"&gt;9130&lt;/key&gt;&lt;/foreign-keys&gt;&lt;ref-type name="Journal Article"&gt;17&lt;/ref-type&gt;&lt;contributors&gt;&lt;authors&gt;&lt;author&gt;Greene, WA.&lt;/author&gt;&lt;author&gt;Burke, TA.&lt;/author&gt;&lt;author&gt;Por, ED.&lt;/author&gt;&lt;author&gt;Kaini, RR.&lt;/author&gt;&lt;author&gt;Wang, HC.&lt;/author&gt;&lt;/authors&gt;&lt;/contributors&gt;&lt;titles&gt;&lt;title&gt;Secretion Profile of Induced Pluripotent Stem Cell-Derived Retinal Pigment Epithelium During Wound Healing.&lt;/title&gt;&lt;secondary-title&gt;Invest Ophthalmol Vis Sci&lt;/secondary-title&gt;&lt;/titles&gt;&lt;periodical&gt;&lt;full-title&gt;Investigative ophthalmology &amp;amp; visual science&lt;/full-title&gt;&lt;/periodical&gt;&lt;pages&gt;4428-4441&lt;/pages&gt;&lt;volume&gt;57&lt;/volume&gt;&lt;number&gt;10&lt;/number&gt;&lt;dates&gt;&lt;year&gt;2016&lt;/year&gt;&lt;/dates&gt;&lt;isbn&gt;&lt;/isbn&gt;&lt;accession-num&gt;27750286&lt;/accession-num&gt;&lt;urls&gt;&lt;/urls&gt;&lt;custom2&gt;&lt;/custom2&gt;&lt;electronic-resource-num&gt;10.1167/iovs.16-19192&lt;/electronic-resource-num&gt;&lt;remote-database-provider&gt;NLM&lt;/remote-database-provider&gt;&lt;language&gt;eng&lt;/language&gt;&lt;/record&gt;&lt;/Cite&gt;&lt;Cite&gt;&lt;Author&gt;Zhou&lt;/Author&gt;&lt;Year&gt;2024&lt;/Year&gt;&lt;RecNum&gt;9132&lt;/RecNum&gt;&lt;DisplayText&gt; [28-30,32]&lt;/DisplayText&gt;&lt;record&gt;&lt;rec-number&gt;9132&lt;/rec-number&gt;&lt;foreign-keys&gt;&lt;key app="EN" db-id="codex-40refs" timestamp="1781575200"&gt;9132&lt;/key&gt;&lt;/foreign-keys&gt;&lt;ref-type name="Journal Article"&gt;17&lt;/ref-type&gt;&lt;contributors&gt;&lt;authors&gt;&lt;author&gt;Zhou, SR.&lt;/author&gt;&lt;author&gt;Zhu, YS.&lt;/author&gt;&lt;author&gt;Yuan, WT.&lt;/author&gt;&lt;author&gt;Pan, XY.&lt;/author&gt;&lt;author&gt;Wang, T.&lt;/author&gt;&lt;author&gt;Chen, XD.&lt;/author&gt;&lt;/authors&gt;&lt;/contributors&gt;&lt;titles&gt;&lt;title&gt;Hepatocyte growth factor promotes retinal pigment epithelium cell activity through MET/AKT signaling pathway.&lt;/title&gt;&lt;secondary-title&gt;Int J Ophthalmol&lt;/secondary-title&gt;&lt;/titles&gt;&lt;periodical&gt;&lt;full-title&gt;International journal of ophthalmology&lt;/full-title&gt;&lt;/periodical&gt;&lt;pages&gt;806-814&lt;/pages&gt;&lt;volume&gt;17&lt;/volume&gt;&lt;number&gt;5&lt;/number&gt;&lt;dates&gt;&lt;year&gt;2024&lt;/year&gt;&lt;/dates&gt;&lt;isbn&gt;&lt;/isbn&gt;&lt;accession-num&gt;38766346&lt;/accession-num&gt;&lt;urls&gt;&lt;/urls&gt;&lt;custom2&gt;PMC5137074&lt;/custom2&gt;&lt;electronic-resource-num&gt;10.18240/ijo.2024.05.03&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[28-30,32]</w:t>
      </w:r>
      <w:r w:rsidRPr="00C119A5">
        <w:rPr>
          <w:rFonts w:ascii="Times New Roman" w:hAnsi="Times New Roman" w:cs="Times New Roman"/>
        </w:rPr>
        <w:fldChar w:fldCharType="end"/>
      </w:r>
      <w:r w:rsidRPr="00C119A5">
        <w:rPr>
          <w:rFonts w:ascii="Times New Roman" w:hAnsi="Times New Roman" w:cs="Times New Roman"/>
        </w:rPr>
        <w:t xml:space="preserve">. </w:t>
      </w:r>
      <w:r w:rsidR="00C355AE" w:rsidRPr="00C355AE">
        <w:rPr>
          <w:rFonts w:ascii="Times New Roman" w:hAnsi="Times New Roman" w:cs="Times New Roman"/>
        </w:rPr>
        <w:t xml:space="preserve">The 500 μM condition represented </w:t>
      </w:r>
      <w:r w:rsidR="00F91992" w:rsidRPr="00F91992">
        <w:rPr>
          <w:rFonts w:ascii="Times New Roman" w:hAnsi="Times New Roman" w:cs="Times New Roman"/>
        </w:rPr>
        <w:t>an operational, non-maximal injury level</w:t>
      </w:r>
      <w:r w:rsidR="00C355AE" w:rsidRPr="00C355AE">
        <w:rPr>
          <w:rFonts w:ascii="Times New Roman" w:hAnsi="Times New Roman" w:cs="Times New Roman"/>
        </w:rPr>
        <w:t xml:space="preserve">, showing clear wound-recovery failure and </w:t>
      </w:r>
      <w:r w:rsidR="00C355AE" w:rsidRPr="00C355AE">
        <w:rPr>
          <w:rFonts w:ascii="Times New Roman" w:hAnsi="Times New Roman" w:cs="Times New Roman"/>
        </w:rPr>
        <w:lastRenderedPageBreak/>
        <w:t xml:space="preserve">morphological deterioration together with </w:t>
      </w:r>
      <w:r w:rsidR="00A64114" w:rsidRPr="00A64114">
        <w:rPr>
          <w:rFonts w:ascii="Times New Roman" w:hAnsi="Times New Roman" w:cs="Times New Roman"/>
        </w:rPr>
        <w:t>a descriptive, nonsignificant late downward shift</w:t>
      </w:r>
      <w:r w:rsidR="00C355AE" w:rsidRPr="00C355AE">
        <w:rPr>
          <w:rFonts w:ascii="Times New Roman" w:hAnsi="Times New Roman" w:cs="Times New Roman"/>
        </w:rPr>
        <w:t xml:space="preserve"> in the relative CCK-8 signal, but without the extensive late-stage loss observed at 1000 and 2000 μM. Accordingly, 500 μM provided a practical balance between inducing a reproducible injury phenotype and retaining </w:t>
      </w:r>
      <w:r w:rsidR="00A64114" w:rsidRPr="00A64114">
        <w:rPr>
          <w:rFonts w:ascii="Times New Roman" w:hAnsi="Times New Roman" w:cs="Times New Roman"/>
        </w:rPr>
        <w:t>a non-maximal metabolic signal and a substantial adherent-cell population for subsequent molecular and pharmacological analyses. It was therefore selected as the lowest tested concentration producing statistically significant functional injury and observable morphological damage without the more extensive injury phenotype observed at higher concentrations. This selection does not define 500 μM as a non-cytotoxic or hypoxia-specific condition. This concentration-dependent separation provided a functional context for interpreting the subsequent molecular and pharmacological findings.</w:t>
      </w:r>
    </w:p>
    <w:p w14:paraId="6858D55B" w14:textId="09C752C3" w:rsidR="00FA6A68" w:rsidRPr="00C119A5" w:rsidRDefault="00FA6A68" w:rsidP="00FA6A68">
      <w:pPr>
        <w:jc w:val="both"/>
        <w:rPr>
          <w:rFonts w:ascii="Times New Roman" w:hAnsi="Times New Roman" w:cs="Times New Roman"/>
        </w:rPr>
      </w:pPr>
      <w:r w:rsidRPr="00C119A5">
        <w:rPr>
          <w:rFonts w:ascii="Times New Roman" w:hAnsi="Times New Roman" w:cs="Times New Roman"/>
        </w:rPr>
        <w:t>The molecular profile further supports the presence of both hypoxia-related and aldehyde-associated components in this injury phenotype. T</w:t>
      </w:r>
      <w:r w:rsidRPr="00FA6A68">
        <w:rPr>
          <w:rFonts w:ascii="Times New Roman" w:hAnsi="Times New Roman" w:cs="Times New Roman"/>
        </w:rPr>
        <w:t xml:space="preserve">he early increase in HIF-1α </w:t>
      </w:r>
      <w:r w:rsidR="00A64114" w:rsidRPr="00A64114">
        <w:rPr>
          <w:rFonts w:ascii="Times New Roman" w:hAnsi="Times New Roman" w:cs="Times New Roman"/>
        </w:rPr>
        <w:t>supports the activation</w:t>
      </w:r>
      <w:r w:rsidRPr="00FA6A68">
        <w:rPr>
          <w:rFonts w:ascii="Times New Roman" w:hAnsi="Times New Roman" w:cs="Times New Roman"/>
        </w:rPr>
        <w:t xml:space="preserve"> of hypoxia-related signaling</w:t>
      </w:r>
      <w:r>
        <w:rPr>
          <w:rFonts w:ascii="Times New Roman" w:hAnsi="Times New Roman" w:cs="Times New Roman"/>
        </w:rPr>
        <w:fldChar w:fldCharType="begin"/>
      </w:r>
      <w:r>
        <w:rPr>
          <w:rFonts w:ascii="Times New Roman" w:hAnsi="Times New Roman" w:cs="Times New Roman"/>
        </w:rPr>
        <w:instrText xml:space="preserve"> ADDIN EN.CITE &lt;EndNote&gt;&lt;Cite&gt;&lt;Author&gt;Chen&lt;/Author&gt;&lt;Year&gt;2022&lt;/Year&gt;&lt;RecNum&gt;9133&lt;/RecNum&gt;&lt;DisplayText&gt; [33-38]&lt;/DisplayText&gt;&lt;record&gt;&lt;rec-number&gt;9133&lt;/rec-number&gt;&lt;foreign-keys&gt;&lt;key app="EN" db-id="codex-40refs" timestamp="1781575200"&gt;9133&lt;/key&gt;&lt;/foreign-keys&gt;&lt;ref-type name="Journal Article"&gt;17&lt;/ref-type&gt;&lt;contributors&gt;&lt;authors&gt;&lt;author&gt;Chen, Q.&lt;/author&gt;&lt;author&gt;Tang, L.&lt;/author&gt;&lt;author&gt;Zhang, Y.&lt;/author&gt;&lt;author&gt;Wan, C.&lt;/author&gt;&lt;author&gt;Yu, X.&lt;/author&gt;&lt;author&gt;Dong, Y.&lt;/author&gt;&lt;author&gt;Chen, X.&lt;/author&gt;&lt;author&gt;Wang, X.&lt;/author&gt;&lt;author&gt;Li, N.&lt;/author&gt;&lt;author&gt;Xin, G.&lt;/author&gt;&lt;author&gt;Zhang, M.&lt;/author&gt;&lt;author&gt;Chen, Z.&lt;/author&gt;&lt;author&gt;Niu, H.&lt;/author&gt;&lt;author&gt;Huang, W.&lt;/author&gt;&lt;/authors&gt;&lt;/contributors&gt;&lt;titles&gt;&lt;title&gt;STING up-regulates VEGF expression in oxidative stress-induced senescence of retinal pigment epithelium via NF-κB/HIF-1α pathway.&lt;/title&gt;&lt;secondary-title&gt;Life Sci&lt;/secondary-title&gt;&lt;/titles&gt;&lt;periodical&gt;&lt;full-title&gt;Life sciences&lt;/full-title&gt;&lt;/periodical&gt;&lt;pages&gt;120089&lt;/pages&gt;&lt;volume&gt;293&lt;/volume&gt;&lt;number&gt;&lt;/number&gt;&lt;dates&gt;&lt;year&gt;2022&lt;/year&gt;&lt;/dates&gt;&lt;isbn&gt;&lt;/isbn&gt;&lt;accession-num&gt;35007563&lt;/accession-num&gt;&lt;urls&gt;&lt;/urls&gt;&lt;custom2&gt;&lt;/custom2&gt;&lt;electronic-resource-num&gt;10.1016/j.lfs.2021.120089&lt;/electronic-resource-num&gt;&lt;remote-database-provider&gt;NLM&lt;/remote-database-provider&gt;&lt;language&gt;eng&lt;/language&gt;&lt;/record&gt;&lt;/Cite&gt;&lt;Cite&gt;&lt;Author&gt;Bahrami&lt;/Author&gt;&lt;Year&gt;2019&lt;/Year&gt;&lt;RecNum&gt;9134&lt;/RecNum&gt;&lt;DisplayText&gt; [33-38]&lt;/DisplayText&gt;&lt;record&gt;&lt;rec-number&gt;9134&lt;/rec-number&gt;&lt;foreign-keys&gt;&lt;key app="EN" db-id="codex-40refs" timestamp="1781575200"&gt;9134&lt;/key&gt;&lt;/foreign-keys&gt;&lt;ref-type name="Journal Article"&gt;17&lt;/ref-type&gt;&lt;contributors&gt;&lt;authors&gt;&lt;author&gt;Bahrami, B.&lt;/author&gt;&lt;author&gt;Shen, W.&lt;/author&gt;&lt;author&gt;Zhu, L.&lt;/author&gt;&lt;author&gt;Zhang, T.&lt;/author&gt;&lt;author&gt;Chang, A.&lt;/author&gt;&lt;author&gt;Gillies, MC.&lt;/author&gt;&lt;/authors&gt;&lt;/contributors&gt;&lt;titles&gt;&lt;title&gt;Effects of VEGF inhibitors on human retinal pigment epithelium under high glucose and hypoxia.&lt;/title&gt;&lt;secondary-title&gt;Clin Exp Ophthalmol&lt;/secondary-title&gt;&lt;/titles&gt;&lt;periodical&gt;&lt;full-title&gt;Clinical &amp;amp; experimental ophthalmology&lt;/full-title&gt;&lt;/periodical&gt;&lt;pages&gt;1074-1081&lt;/pages&gt;&lt;volume&gt;47&lt;/volume&gt;&lt;number&gt;8&lt;/number&gt;&lt;dates&gt;&lt;year&gt;2019&lt;/year&gt;&lt;/dates&gt;&lt;isbn&gt;&lt;/isbn&gt;&lt;accession-num&gt;31265210&lt;/accession-num&gt;&lt;urls&gt;&lt;/urls&gt;&lt;custom2&gt;&lt;/custom2&gt;&lt;electronic-resource-num&gt;10.1111/ceo.13579&lt;/electronic-resource-num&gt;&lt;remote-database-provider&gt;NLM&lt;/remote-database-provider&gt;&lt;language&gt;eng&lt;/language&gt;&lt;/record&gt;&lt;/Cite&gt;&lt;Cite&gt;&lt;Author&gt;Kurihara&lt;/Author&gt;&lt;Year&gt;2014&lt;/Year&gt;&lt;RecNum&gt;9135&lt;/RecNum&gt;&lt;DisplayText&gt; [33-38]&lt;/DisplayText&gt;&lt;record&gt;&lt;rec-number&gt;9135&lt;/rec-number&gt;&lt;foreign-keys&gt;&lt;key app="EN" db-id="codex-40refs" timestamp="1781575200"&gt;9135&lt;/key&gt;&lt;/foreign-keys&gt;&lt;ref-type name="Journal Article"&gt;17&lt;/ref-type&gt;&lt;contributors&gt;&lt;authors&gt;&lt;author&gt;Kurihara, T.&lt;/author&gt;&lt;author&gt;Westenskow, PD.&lt;/author&gt;&lt;author&gt;Friedlander, M.&lt;/author&gt;&lt;/authors&gt;&lt;/contributors&gt;&lt;titles&gt;&lt;title&gt;Hypoxia-inducible factor (HIF)/vascular endothelial growth factor (VEGF) signaling in the retina.&lt;/title&gt;&lt;secondary-title&gt;Adv Exp Med Biol&lt;/secondary-title&gt;&lt;/titles&gt;&lt;periodical&gt;&lt;full-title&gt;Advances in experimental medicine and biology&lt;/full-title&gt;&lt;/periodical&gt;&lt;pages&gt;275-81&lt;/pages&gt;&lt;volume&gt;801&lt;/volume&gt;&lt;number&gt;&lt;/number&gt;&lt;dates&gt;&lt;year&gt;2014&lt;/year&gt;&lt;/dates&gt;&lt;isbn&gt;&lt;/isbn&gt;&lt;accession-num&gt;24664708&lt;/accession-num&gt;&lt;urls&gt;&lt;/urls&gt;&lt;custom2&gt;&lt;/custom2&gt;&lt;electronic-resource-num&gt;10.1007/978-1-4614-3209-8_35&lt;/electronic-resource-num&gt;&lt;remote-database-provider&gt;NLM&lt;/remote-database-provider&gt;&lt;language&gt;eng&lt;/language&gt;&lt;/record&gt;&lt;/Cite&gt;&lt;Cite&gt;&lt;Author&gt;Gáll&lt;/Author&gt;&lt;Year&gt;2025&lt;/Year&gt;&lt;RecNum&gt;9136&lt;/RecNum&gt;&lt;DisplayText&gt; [33-38]&lt;/DisplayText&gt;&lt;record&gt;&lt;rec-number&gt;9136&lt;/rec-number&gt;&lt;foreign-keys&gt;&lt;key app="EN" db-id="codex-40refs" timestamp="1781575200"&gt;9136&lt;/key&gt;&lt;/foreign-keys&gt;&lt;ref-type name="Journal Article"&gt;17&lt;/ref-type&gt;&lt;contributors&gt;&lt;authors&gt;&lt;author&gt;Gáll, T.&lt;/author&gt;&lt;author&gt;Pethő, D.&lt;/author&gt;&lt;author&gt;Nagy, A.&lt;/author&gt;&lt;author&gt;Póliska, S.&lt;/author&gt;&lt;author&gt;Balla, G.&lt;/author&gt;&lt;author&gt;Balla, J.&lt;/author&gt;&lt;/authors&gt;&lt;/contributors&gt;&lt;titles&gt;&lt;title&gt;Prolyl Hydroxylase Inhibitor-Mediated HIF Activation Drives Transcriptional Reprogramming in Retinal Pigment Epithelium: Relevance to Chronic Kidney Disease.&lt;/title&gt;&lt;secondary-title&gt;Cells&lt;/secondary-title&gt;&lt;/titles&gt;&lt;periodical&gt;&lt;full-title&gt;Cells&lt;/full-title&gt;&lt;/periodical&gt;&lt;pages&gt;1121&lt;/pages&gt;&lt;volume&gt;14&lt;/volume&gt;&lt;number&gt;14&lt;/number&gt;&lt;dates&gt;&lt;year&gt;2025&lt;/year&gt;&lt;/dates&gt;&lt;isbn&gt;&lt;/isbn&gt;&lt;accession-num&gt;40710374&lt;/accession-num&gt;&lt;urls&gt;&lt;/urls&gt;&lt;custom2&gt;PMC10963054&lt;/custom2&gt;&lt;electronic-resource-num&gt;10.1159/000537913&lt;/electronic-resource-num&gt;&lt;remote-database-provider&gt;NLM&lt;/remote-database-provider&gt;&lt;language&gt;eng&lt;/language&gt;&lt;/record&gt;&lt;/Cite&gt;&lt;Cite&gt;&lt;Author&gt;Ashimori&lt;/Author&gt;&lt;Year&gt;2024&lt;/Year&gt;&lt;RecNum&gt;9137&lt;/RecNum&gt;&lt;DisplayText&gt; [33-38]&lt;/DisplayText&gt;&lt;record&gt;&lt;rec-number&gt;9137&lt;/rec-number&gt;&lt;foreign-keys&gt;&lt;key app="EN" db-id="codex-40refs" timestamp="1781575200"&gt;9137&lt;/key&gt;&lt;/foreign-keys&gt;&lt;ref-type name="Journal Article"&gt;17&lt;/ref-type&gt;&lt;contributors&gt;&lt;authors&gt;&lt;author&gt;Ashimori, A.&lt;/author&gt;&lt;author&gt;Higashijima, F.&lt;/author&gt;&lt;author&gt;Ogata, T.&lt;/author&gt;&lt;author&gt;Sakuma, A.&lt;/author&gt;&lt;author&gt;Hamada, W.&lt;/author&gt;&lt;author&gt;Sunada, J.&lt;/author&gt;&lt;author&gt;Aoki, R.&lt;/author&gt;&lt;author&gt;Mikuni, M.&lt;/author&gt;&lt;author&gt;Hayashi, K.&lt;/author&gt;&lt;author&gt;Wakuta, M.&lt;/author&gt;&lt;author&gt;Yoshimoto, T.&lt;/author&gt;&lt;author&gt;Minamoto, A.&lt;/author&gt;&lt;author&gt;Ko, JA.&lt;/author&gt;&lt;author&gt;Kimura, K.&lt;/author&gt;&lt;/authors&gt;&lt;/contributors&gt;&lt;titles&gt;&lt;title&gt;HIF-1α-dependent upregulation of angiogenic factors by mechanical stimulation in retinal pigment epithelial cells.&lt;/title&gt;&lt;secondary-title&gt;Dis Model Mech&lt;/secondary-title&gt;&lt;/titles&gt;&lt;periodical&gt;&lt;full-title&gt;Disease models &amp;amp; mechanisms&lt;/full-title&gt;&lt;/periodical&gt;&lt;pages&gt;dmm050640&lt;/pages&gt;&lt;volume&gt;17&lt;/volume&gt;&lt;number&gt;4&lt;/number&gt;&lt;dates&gt;&lt;year&gt;2024&lt;/year&gt;&lt;/dates&gt;&lt;isbn&gt;&lt;/isbn&gt;&lt;accession-num&gt;38691000&lt;/accession-num&gt;&lt;urls&gt;&lt;/urls&gt;&lt;custom2&gt;PMC6123950&lt;/custom2&gt;&lt;electronic-resource-num&gt;10.1186/s13046-018-0892-2&lt;/electronic-resource-num&gt;&lt;remote-database-provider&gt;NLM&lt;/remote-database-provider&gt;&lt;language&gt;eng&lt;/language&gt;&lt;/record&gt;&lt;/Cite&gt;&lt;Cite&gt;&lt;Author&gt;Babapoor-Farrokhran&lt;/Author&gt;&lt;Year&gt;2023&lt;/Year&gt;&lt;RecNum&gt;9138&lt;/RecNum&gt;&lt;DisplayText&gt; [33-38]&lt;/DisplayText&gt;&lt;record&gt;&lt;rec-number&gt;9138&lt;/rec-number&gt;&lt;foreign-keys&gt;&lt;key app="EN" db-id="codex-40refs" timestamp="1781575200"&gt;9138&lt;/key&gt;&lt;/foreign-keys&gt;&lt;ref-type name="Journal Article"&gt;17&lt;/ref-type&gt;&lt;contributors&gt;&lt;authors&gt;&lt;author&gt;Babapoor-Farrokhran, S.&lt;/author&gt;&lt;author&gt;Qin, Y.&lt;/author&gt;&lt;author&gt;Flores-Bellver, M.&lt;/author&gt;&lt;author&gt;Niu, Y.&lt;/author&gt;&lt;author&gt;Bhutto, IA.&lt;/author&gt;&lt;author&gt;Aparicio-Domingo, S.&lt;/author&gt;&lt;author&gt;Guo, C.&lt;/author&gt;&lt;author&gt;Rodrigues, M.&lt;/author&gt;&lt;author&gt;Domashevich, T.&lt;/author&gt;&lt;author&gt;Deshpande, M.&lt;/author&gt;&lt;author&gt;Megarity, H.&lt;/author&gt;&lt;author&gt;Chopde, R.&lt;/author&gt;&lt;author&gt;Eberhart, CG.&lt;/author&gt;&lt;author&gt;Canto-Soler, V.&lt;/author&gt;&lt;author&gt;Montaner, S.&lt;/author&gt;&lt;author&gt;Sodhi, A.&lt;/author&gt;&lt;/authors&gt;&lt;/contributors&gt;&lt;titles&gt;&lt;title&gt;Pathologic vs. protective roles of hypoxia-inducible factor 1 in RPE and photoreceptors in wet vs. dry age-related macular degeneration.&lt;/title&gt;&lt;secondary-title&gt;Proc Natl Acad Sci U S A&lt;/secondary-title&gt;&lt;/titles&gt;&lt;periodical&gt;&lt;full-title&gt;Proceedings of the National Academy of Sciences of the United States of America&lt;/full-title&gt;&lt;/periodical&gt;&lt;pages&gt;e2302845120&lt;/pages&gt;&lt;volume&gt;120&lt;/volume&gt;&lt;number&gt;50&lt;/number&gt;&lt;dates&gt;&lt;year&gt;2023&lt;/year&gt;&lt;/dates&gt;&lt;isbn&gt;&lt;/isbn&gt;&lt;accession-num&gt;38055741&lt;/accession-num&gt;&lt;urls&gt;&lt;/urls&gt;&lt;custom2&gt;PMC4848091&lt;/custom2&gt;&lt;electronic-resource-num&gt;10.14694/EdBook_AM.2014.34.e478&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[33-38]</w:t>
      </w:r>
      <w:r>
        <w:rPr>
          <w:rFonts w:ascii="Times New Roman" w:hAnsi="Times New Roman" w:cs="Times New Roman"/>
        </w:rPr>
        <w:fldChar w:fldCharType="end"/>
      </w:r>
      <w:r>
        <w:rPr>
          <w:rFonts w:ascii="Times New Roman" w:hAnsi="Times New Roman" w:cs="Times New Roman"/>
        </w:rPr>
        <w:t>, whereas the later extracellular 4-HNE and VEGF-A changes suggest aldehyde-associated and pro-angiogenic stress responses</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&lt;EndNote&gt;&lt;Cite&gt;&lt;Author&gt;Wang&lt;/Author&gt;&lt;Year&gt;2023&lt;/Year&gt;&lt;RecNum&gt;9112&lt;/RecNum&gt;&lt;DisplayText&gt; [12-15,33,34]&lt;/DisplayText&gt;&lt;record&gt;&lt;rec-number&gt;9112&lt;/rec-number&gt;&lt;foreign-keys&gt;&lt;key app="EN" db-id="codex-40refs" timestamp="1781575200"&gt;9112&lt;/key&gt;&lt;/foreign-keys&gt;&lt;ref-type name="Journal Article"&gt;17&lt;/ref-type&gt;&lt;contributors&gt;&lt;authors&gt;&lt;author&gt;Wang, B.&lt;/author&gt;&lt;author&gt;Wang, Y.&lt;/author&gt;&lt;author&gt;Zhang, J.&lt;/author&gt;&lt;author&gt;Hu, C.&lt;/author&gt;&lt;author&gt;Jiang, J.&lt;/author&gt;&lt;author&gt;Li, Y.&lt;/author&gt;&lt;author&gt;Peng, Z.&lt;/author&gt;&lt;/authors&gt;&lt;/contributors&gt;&lt;titles&gt;&lt;title&gt;ROS-induced lipid peroxidation modulates cell death outcome: mechanisms behind apoptosis, autophagy, and ferroptosis.&lt;/title&gt;&lt;secondary-title&gt;Arch Toxicol&lt;/secondary-title&gt;&lt;/titles&gt;&lt;periodical&gt;&lt;full-title&gt;Archives of toxicology&lt;/full-title&gt;&lt;/periodical&gt;&lt;pages&gt;1439-1451&lt;/pages&gt;&lt;volume&gt;97&lt;/volume&gt;&lt;number&gt;6&lt;/number&gt;&lt;dates&gt;&lt;year&gt;2023&lt;/year&gt;&lt;/dates&gt;&lt;isbn&gt;&lt;/isbn&gt;&lt;accession-num&gt;37127681&lt;/accession-num&gt;&lt;urls&gt;&lt;/urls&gt;&lt;custom2&gt;4167050&lt;/custom2&gt;&lt;electronic-resource-num&gt;10.1016/j.semcancer.2019.03.002&lt;/electronic-resource-num&gt;&lt;remote-database-provider&gt;NLM&lt;/remote-database-provider&gt;&lt;language&gt;eng&lt;/language&gt;&lt;/record&gt;&lt;/Cite&gt;&lt;Cite&gt;&lt;Author&gt;Ayala&lt;/Author&gt;&lt;Year&gt;2014&lt;/Year&gt;&lt;RecNum&gt;9113&lt;/RecNum&gt;&lt;DisplayText&gt; [12-15,33,34]&lt;/DisplayText&gt;&lt;record&gt;&lt;rec-number&gt;9113&lt;/rec-number&gt;&lt;foreign-keys&gt;&lt;key app="EN" db-id="codex-40refs" timestamp="1781575200"&gt;9113&lt;/key&gt;&lt;/foreign-keys&gt;&lt;ref-type name="Journal Article"&gt;17&lt;/ref-type&gt;&lt;contributors&gt;&lt;authors&gt;&lt;author&gt;Ayala, A.&lt;/author&gt;&lt;author&gt;Muñoz, MF.&lt;/author&gt;&lt;author&gt;Argüelles, S.&lt;/author&gt;&lt;/authors&gt;&lt;/contributors&gt;&lt;titles&gt;&lt;title&gt;Lipid peroxidation: production, metabolism, and signaling mechanisms of malondialdehyde and 4-hydroxy-2-nonenal.&lt;/title&gt;&lt;secondary-title&gt;Oxid Med Cell Longev&lt;/secondary-title&gt;&lt;/titles&gt;&lt;periodical&gt;&lt;full-title&gt;Oxidative medicine and cellular longevity&lt;/full-title&gt;&lt;/periodical&gt;&lt;pages&gt;360438&lt;/pages&gt;&lt;volume&gt;2014&lt;/volume&gt;&lt;number&gt;&lt;/number&gt;&lt;dates&gt;&lt;year&gt;2014&lt;/year&gt;&lt;/dates&gt;&lt;isbn&gt;&lt;/isbn&gt;&lt;accession-num&gt;24999379&lt;/accession-num&gt;&lt;urls&gt;&lt;/urls&gt;&lt;custom2&gt;PMC3625229&lt;/custom2&gt;&lt;electronic-resource-num&gt;10.1155/2014/360438&lt;/electronic-resource-num&gt;&lt;remote-database-provider&gt;NLM&lt;/remote-database-provider&gt;&lt;language&gt;eng&lt;/language&gt;&lt;/record&gt;&lt;/Cite&gt;&lt;Cite&gt;&lt;Author&gt;Barrera&lt;/Author&gt;&lt;Year&gt;2018&lt;/Year&gt;&lt;RecNum&gt;9114&lt;/RecNum&gt;&lt;DisplayText&gt; [12-15,33,34]&lt;/DisplayText&gt;&lt;record&gt;&lt;rec-number&gt;9114&lt;/rec-number&gt;&lt;foreign-keys&gt;&lt;key app="EN" db-id="codex-40refs" timestamp="1781575200"&gt;9114&lt;/key&gt;&lt;/foreign-keys&gt;&lt;ref-type name="Journal Article"&gt;17&lt;/ref-type&gt;&lt;contributors&gt;&lt;authors&gt;&lt;author&gt;Barrera, G.&lt;/author&gt;&lt;author&gt;Pizzimenti, S.&lt;/author&gt;&lt;author&gt;Daga, M.&lt;/author&gt;&lt;author&gt;Dianzani, C.&lt;/author&gt;&lt;author&gt;Arcaro, A.&lt;/author&gt;&lt;author&gt;Cetrangolo, GP.&lt;/author&gt;&lt;author&gt;Giordano, G.&lt;/author&gt;&lt;author&gt;Cucci, MA.&lt;/author&gt;&lt;author&gt;Graf, M.&lt;/author&gt;&lt;author&gt;Gentile, F.&lt;/author&gt;&lt;/authors&gt;&lt;/contributors&gt;&lt;titles&gt;&lt;title&gt;Lipid Peroxidation-Derived Aldehydes, 4-Hydroxynonenal and Malondialdehyde in Aging-Related Disorders.&lt;/title&gt;&lt;secondary-title&gt;Antioxidants (Basel)&lt;/secondary-title&gt;&lt;/titles&gt;&lt;periodical&gt;&lt;full-title&gt;Antioxidants (Basel, Switzerland)&lt;/full-title&gt;&lt;/periodical&gt;&lt;pages&gt;102&lt;/pages&gt;&lt;volume&gt;7&lt;/volume&gt;&lt;number&gt;8&lt;/number&gt;&lt;dates&gt;&lt;year&gt;2018&lt;/year&gt;&lt;/dates&gt;&lt;isbn&gt;&lt;/isbn&gt;&lt;accession-num&gt;30061536&lt;/accession-num&gt;&lt;urls&gt;&lt;/urls&gt;&lt;custom2&gt;PMC3549369&lt;/custom2&gt;&lt;electronic-resource-num&gt;10.1155/2012/670294&lt;/electronic-resource-num&gt;&lt;remote-database-provider&gt;NLM&lt;/remote-database-provider&gt;&lt;language&gt;eng&lt;/language&gt;&lt;/record&gt;&lt;/Cite&gt;&lt;Cite&gt;&lt;Author&gt;Breitzig&lt;/Author&gt;&lt;Year&gt;2016&lt;/Year&gt;&lt;RecNum&gt;9115&lt;/RecNum&gt;&lt;DisplayText&gt; [12-15,33,34]&lt;/DisplayText&gt;&lt;record&gt;&lt;rec-number&gt;9115&lt;/rec-number&gt;&lt;foreign-keys&gt;&lt;key app="EN" db-id="codex-40refs" timestamp="1781575200"&gt;9115&lt;/key&gt;&lt;/foreign-keys&gt;&lt;ref-type name="Journal Article"&gt;17&lt;/ref-type&gt;&lt;contributors&gt;&lt;authors&gt;&lt;author&gt;Breitzig, M.&lt;/author&gt;&lt;author&gt;Bhimineni, C.&lt;/author&gt;&lt;author&gt;Lockey, R.&lt;/author&gt;&lt;author&gt;Kolliputi, N.&lt;/author&gt;&lt;/authors&gt;&lt;/contributors&gt;&lt;titles&gt;&lt;title&gt;4-Hydroxy-2-nonenal: a critical target in oxidative stress?&lt;/title&gt;&lt;secondary-title&gt;Am J Physiol Cell Physiol&lt;/secondary-title&gt;&lt;/titles&gt;&lt;periodical&gt;&lt;full-title&gt;American journal of physiology. Cell physiology&lt;/full-title&gt;&lt;/periodical&gt;&lt;pages&gt;C537-C543&lt;/pages&gt;&lt;volume&gt;311&lt;/volume&gt;&lt;number&gt;4&lt;/number&gt;&lt;dates&gt;&lt;year&gt;2016&lt;/year&gt;&lt;/dates&gt;&lt;isbn&gt;&lt;/isbn&gt;&lt;accession-num&gt;27385721&lt;/accession-num&gt;&lt;urls&gt;&lt;/urls&gt;&lt;custom2&gt;PMC4803793&lt;/custom2&gt;&lt;electronic-resource-num&gt;10.1152/ajpcell.00101.2016&lt;/electronic-resource-num&gt;&lt;remote-database-provider&gt;NLM&lt;/remote-database-provider&gt;&lt;language&gt;eng&lt;/language&gt;&lt;/record&gt;&lt;/Cite&gt;&lt;Cite&gt;&lt;Author&gt;Chen&lt;/Author&gt;&lt;Year&gt;2022&lt;/Year&gt;&lt;RecNum&gt;9133&lt;/RecNum&gt;&lt;DisplayText&gt; [12-15,33,34]&lt;/DisplayText&gt;&lt;record&gt;&lt;rec-number&gt;9133&lt;/rec-number&gt;&lt;foreign-keys&gt;&lt;key app="EN" db-id="codex-40refs" timestamp="1781575200"&gt;9133&lt;/key&gt;&lt;/foreign-keys&gt;&lt;ref-type name="Journal Article"&gt;17&lt;/ref-type&gt;&lt;contributors&gt;&lt;authors&gt;&lt;author&gt;Chen, Q.&lt;/author&gt;&lt;author&gt;Tang, L.&lt;/author&gt;&lt;author&gt;Zhang, Y.&lt;/author&gt;&lt;author&gt;Wan, C.&lt;/author&gt;&lt;author&gt;Yu, X.&lt;/author&gt;&lt;author&gt;Dong, Y.&lt;/author&gt;&lt;author&gt;Chen, X.&lt;/author&gt;&lt;author&gt;Wang, X.&lt;/author&gt;&lt;author&gt;Li, N.&lt;/author&gt;&lt;author&gt;Xin, G.&lt;/author&gt;&lt;author&gt;Zhang, M.&lt;/author&gt;&lt;author&gt;Chen, Z.&lt;/author&gt;&lt;author&gt;Niu, H.&lt;/author&gt;&lt;author&gt;Huang, W.&lt;/author&gt;&lt;/authors&gt;&lt;/contributors&gt;&lt;titles&gt;&lt;title&gt;STING up-regulates VEGF expression in oxidative stress-induced senescence of retinal pigment epithelium via NF-κB/HIF-1α pathway.&lt;/title&gt;&lt;secondary-title&gt;Life Sci&lt;/secondary-title&gt;&lt;/titles&gt;&lt;periodical&gt;&lt;full-title&gt;Life sciences&lt;/full-title&gt;&lt;/periodical&gt;&lt;pages&gt;120089&lt;/pages&gt;&lt;volume&gt;293&lt;/volume&gt;&lt;number&gt;&lt;/number&gt;&lt;dates&gt;&lt;year&gt;2022&lt;/year&gt;&lt;/dates&gt;&lt;isbn&gt;&lt;/isbn&gt;&lt;accession-num&gt;35007563&lt;/accession-num&gt;&lt;urls&gt;&lt;/urls&gt;&lt;custom2&gt;&lt;/custom2&gt;&lt;electronic-resource-num&gt;10.1016/j.lfs.2021.120089&lt;/electronic-resource-num&gt;&lt;remote-database-provider&gt;NLM&lt;/remote-database-provider&gt;&lt;language&gt;eng&lt;/language&gt;&lt;/record&gt;&lt;/Cite&gt;&lt;Cite&gt;&lt;Author&gt;Bahrami&lt;/Author&gt;&lt;Year&gt;2019&lt;/Year&gt;&lt;RecNum&gt;9134&lt;/RecNum&gt;&lt;DisplayText&gt; [12-15,33,34]&lt;/DisplayText&gt;&lt;record&gt;&lt;rec-number&gt;9134&lt;/rec-number&gt;&lt;foreign-keys&gt;&lt;key app="EN" db-id="codex-40refs" timestamp="1781575200"&gt;9134&lt;/key&gt;&lt;/foreign-keys&gt;&lt;ref-type name="Journal Article"&gt;17&lt;/ref-type&gt;&lt;contributors&gt;&lt;authors&gt;&lt;author&gt;Bahrami, B.&lt;/author&gt;&lt;author&gt;Shen, W.&lt;/author&gt;&lt;author&gt;Zhu, L.&lt;/author&gt;&lt;author&gt;Zhang, T.&lt;/author&gt;&lt;author&gt;Chang, A.&lt;/author&gt;&lt;author&gt;Gillies, MC.&lt;/author&gt;&lt;/authors&gt;&lt;/contributors&gt;&lt;titles&gt;&lt;title&gt;Effects of VEGF inhibitors on human retinal pigment epithelium under high glucose and hypoxia.&lt;/title&gt;&lt;secondary-title&gt;Clin Exp Ophthalmol&lt;/secondary-title&gt;&lt;/titles&gt;&lt;periodical&gt;&lt;full-title&gt;Clinical &amp;amp; experimental ophthalmology&lt;/full-title&gt;&lt;/periodical&gt;&lt;pages&gt;1074-1081&lt;/pages&gt;&lt;volume&gt;47&lt;/volume&gt;&lt;number&gt;8&lt;/number&gt;&lt;dates&gt;&lt;year&gt;2019&lt;/year&gt;&lt;/dates&gt;&lt;isbn&gt;&lt;/isbn&gt;&lt;accession-num&gt;31265210&lt;/accession-num&gt;&lt;urls&gt;&lt;/urls&gt;&lt;custom2&gt;&lt;/custom2&gt;&lt;electronic-resource-num&gt;10.1111/ceo.13579&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[12-15,33,34]</w:t>
      </w:r>
      <w:r>
        <w:rPr>
          <w:rFonts w:ascii="Times New Roman" w:hAnsi="Times New Roman" w:cs="Times New Roman"/>
        </w:rPr>
        <w:fldChar w:fldCharType="end"/>
      </w:r>
      <w:r>
        <w:rPr>
          <w:rFonts w:ascii="Times New Roman" w:hAnsi="Times New Roman" w:cs="Times New Roman"/>
        </w:rPr>
        <w:t>.</w:t>
      </w:r>
      <w:r w:rsidR="00A64114">
        <w:rPr>
          <w:rFonts w:ascii="Times New Roman" w:hAnsi="Times New Roman" w:cs="Times New Roman"/>
        </w:rPr>
        <w:t xml:space="preserve"> </w:t>
      </w:r>
      <w:r w:rsidR="00A64114" w:rsidRPr="00A64114">
        <w:rPr>
          <w:rFonts w:ascii="Times New Roman" w:hAnsi="Times New Roman" w:cs="Times New Roman"/>
        </w:rPr>
        <w:t>However, HIF-1α induction does not establish that the entire injury phenotype was exclusively hypoxic or exclude concurrent direct CoCl₂ cytotoxicity.</w:t>
      </w:r>
      <w:r>
        <w:rPr>
          <w:rFonts w:ascii="Times New Roman" w:hAnsi="Times New Roman" w:cs="Times New Roman"/>
        </w:rPr>
        <w:t xml:space="preserve"> ALDH2 protein abundance decreased during CoCl₂ exposure, providing a plausible link between the chemical injury condition and impaired aldehyde-handling capacity. Since 4-HNE is a lipid peroxidation-derived reactive aldehyde and ALDH2 contributes to reactive aldehyde detox</w:t>
      </w:r>
      <w:r w:rsidRPr="00C119A5">
        <w:rPr>
          <w:rFonts w:ascii="Times New Roman" w:hAnsi="Times New Roman" w:cs="Times New Roman"/>
        </w:rPr>
        <w:t>ification, reduced ALDH2 abundance may weaken aldehyde-detoxifying reserve and increase cellular susceptibility to aldehyde-associated injury</w:t>
      </w:r>
      <w:r w:rsidRPr="00C119A5">
        <w:rPr>
          <w:rFonts w:ascii="Times New Roman" w:hAnsi="Times New Roman" w:cs="Times New Roman"/>
        </w:rPr>
        <w:fldChar w:fldCharType="begin"/>
      </w:r>
      <w:r w:rsidRPr="00C119A5">
        <w:rPr>
          <w:rFonts w:ascii="Times New Roman" w:hAnsi="Times New Roman" w:cs="Times New Roman"/>
        </w:rPr>
        <w:instrText xml:space="preserve"> ADDIN EN.CITE &lt;EndNote&gt;&lt;Cite&gt;&lt;Author&gt;Wang&lt;/Author&gt;&lt;Year&gt;2023&lt;/Year&gt;&lt;RecNum&gt;9112&lt;/RecNum&gt;&lt;DisplayText&gt; [12-17]&lt;/DisplayText&gt;&lt;record&gt;&lt;rec-number&gt;9112&lt;/rec-number&gt;&lt;foreign-keys&gt;&lt;key app="EN" db-id="codex-40refs" timestamp="1781575200"&gt;9112&lt;/key&gt;&lt;/foreign-keys&gt;&lt;ref-type name="Journal Article"&gt;17&lt;/ref-type&gt;&lt;contributors&gt;&lt;authors&gt;&lt;author&gt;Wang, B.&lt;/author&gt;&lt;author&gt;Wang, Y.&lt;/author&gt;&lt;author&gt;Zhang, J.&lt;/author&gt;&lt;author&gt;Hu, C.&lt;/author&gt;&lt;author&gt;Jiang, J.&lt;/author&gt;&lt;author&gt;Li, Y.&lt;/author&gt;&lt;author&gt;Peng, Z.&lt;/author&gt;&lt;/authors&gt;&lt;/contributors&gt;&lt;titles&gt;&lt;title&gt;ROS-induced lipid peroxidation modulates cell death outcome: mechanisms behind apoptosis, autophagy, and ferroptosis.&lt;/title&gt;&lt;secondary-title&gt;Arch Toxicol&lt;/secondary-title&gt;&lt;/titles&gt;&lt;periodical&gt;&lt;full-title&gt;Archives of toxicology&lt;/full-title&gt;&lt;/periodical&gt;&lt;pages&gt;1439-1451&lt;/pages&gt;&lt;volume&gt;97&lt;/volume&gt;&lt;number&gt;6&lt;/number&gt;&lt;dates&gt;&lt;year&gt;2023&lt;/year&gt;&lt;/dates&gt;&lt;isbn&gt;&lt;/isbn&gt;&lt;accession-num&gt;37127681&lt;/accession-num&gt;&lt;urls&gt;&lt;/urls&gt;&lt;custom2&gt;4167050&lt;/custom2&gt;&lt;electronic-resource-num&gt;10.1016/j.semcancer.2019.03.002&lt;/electronic-resource-num&gt;&lt;remote-database-provider&gt;NLM&lt;/remote-database-provider&gt;&lt;language&gt;eng&lt;/language&gt;&lt;/record&gt;&lt;/Cite&gt;&lt;Cite&gt;&lt;Author&gt;Ayala&lt;/Author&gt;&lt;Year&gt;2014&lt;/Year&gt;&lt;RecNum&gt;9113&lt;/RecNum&gt;&lt;DisplayText&gt; [12-17]&lt;/DisplayText&gt;&lt;record&gt;&lt;rec-number&gt;9113&lt;/rec-number&gt;&lt;foreign-keys&gt;&lt;key app="EN" db-id="codex-40refs" timestamp="1781575200"&gt;9113&lt;/key&gt;&lt;/foreign-keys&gt;&lt;ref-type name="Journal Article"&gt;17&lt;/ref-type&gt;&lt;contributors&gt;&lt;authors&gt;&lt;author&gt;Ayala, A.&lt;/author&gt;&lt;author&gt;Muñoz, MF.&lt;/author&gt;&lt;author&gt;Argüelles, S.&lt;/author&gt;&lt;/authors&gt;&lt;/contributors&gt;&lt;titles&gt;&lt;title&gt;Lipid peroxidation: production, metabolism, and signaling mechanisms of malondialdehyde and 4-hydroxy-2-nonenal.&lt;/title&gt;&lt;secondary-title&gt;Oxid Med Cell Longev&lt;/secondary-title&gt;&lt;/titles&gt;&lt;periodical&gt;&lt;full-title&gt;Oxidative medicine and cellular longevity&lt;/full-title&gt;&lt;/periodical&gt;&lt;pages&gt;360438&lt;/pages&gt;&lt;volume&gt;2014&lt;/volume&gt;&lt;number&gt;&lt;/number&gt;&lt;dates&gt;&lt;year&gt;2014&lt;/year&gt;&lt;/dates&gt;&lt;isbn&gt;&lt;/isbn&gt;&lt;accession-num&gt;24999379&lt;/accession-num&gt;&lt;urls&gt;&lt;/urls&gt;&lt;custom2&gt;PMC3625229&lt;/custom2&gt;&lt;electronic-resource-num&gt;10.1155/2014/360438&lt;/electronic-resource-num&gt;&lt;remote-database-provider&gt;NLM&lt;/remote-database-provider&gt;&lt;language&gt;eng&lt;/language&gt;&lt;/record&gt;&lt;/Cite&gt;&lt;Cite&gt;&lt;Author&gt;Barrera&lt;/Author&gt;&lt;Year&gt;2018&lt;/Year&gt;&lt;RecNum&gt;9114&lt;/RecNum&gt;&lt;DisplayText&gt; [12-17]&lt;/DisplayText&gt;&lt;record&gt;&lt;rec-number&gt;9114&lt;/rec-number&gt;&lt;foreign-keys&gt;&lt;key app="EN" db-id="codex-40refs" timestamp="1781575200"&gt;9114&lt;/key&gt;&lt;/foreign-keys&gt;&lt;ref-type name="Journal Article"&gt;17&lt;/ref-type&gt;&lt;contributors&gt;&lt;authors&gt;&lt;author&gt;Barrera, G.&lt;/author&gt;&lt;author&gt;Pizzimenti, S.&lt;/author&gt;&lt;author&gt;Daga, M.&lt;/author&gt;&lt;author&gt;Dianzani, C.&lt;/author&gt;&lt;author&gt;Arcaro, A.&lt;/author&gt;&lt;author&gt;Cetrangolo, GP.&lt;/author&gt;&lt;author&gt;Giordano, G.&lt;/author&gt;&lt;author&gt;Cucci, MA.&lt;/author&gt;&lt;author&gt;Graf, M.&lt;/author&gt;&lt;author&gt;Gentile, F.&lt;/author&gt;&lt;/authors&gt;&lt;/contributors&gt;&lt;titles&gt;&lt;title&gt;Lipid Peroxidation-Derived Aldehydes, 4-Hydroxynonenal and Malondialdehyde in Aging-Related Disorders.&lt;/title&gt;&lt;secondary-title&gt;Antioxidants (Basel)&lt;/secondary-title&gt;&lt;/titles&gt;&lt;periodical&gt;&lt;full-title&gt;Antioxidants (Basel, Switzerland)&lt;/full-title&gt;&lt;/periodical&gt;&lt;pages&gt;102&lt;/pages&gt;&lt;volume&gt;7&lt;/volume&gt;&lt;number&gt;8&lt;/number&gt;&lt;dates&gt;&lt;year&gt;2018&lt;/year&gt;&lt;/dates&gt;&lt;isbn&gt;&lt;/isbn&gt;&lt;accession-num&gt;30061536&lt;/accession-num&gt;&lt;urls&gt;&lt;/urls&gt;&lt;custom2&gt;PMC3549369&lt;/custom2&gt;&lt;electronic-resource-num&gt;10.1155/2012/670294&lt;/electronic-resource-num&gt;&lt;remote-database-provider&gt;NLM&lt;/remote-database-provider&gt;&lt;language&gt;eng&lt;/language&gt;&lt;/record&gt;&lt;/Cite&gt;&lt;Cite&gt;&lt;Author&gt;Breitzig&lt;/Author&gt;&lt;Year&gt;2016&lt;/Year&gt;&lt;RecNum&gt;9115&lt;/RecNum&gt;&lt;DisplayText&gt; [12-17]&lt;/DisplayText&gt;&lt;record&gt;&lt;rec-number&gt;9115&lt;/rec-number&gt;&lt;foreign-keys&gt;&lt;key app="EN" db-id="codex-40refs" timestamp="1781575200"&gt;9115&lt;/key&gt;&lt;/foreign-keys&gt;&lt;ref-type name="Journal Article"&gt;17&lt;/ref-type&gt;&lt;contributors&gt;&lt;authors&gt;&lt;author&gt;Breitzig, M.&lt;/author&gt;&lt;author&gt;Bhimineni, C.&lt;/author&gt;&lt;author&gt;Lockey, R.&lt;/author&gt;&lt;author&gt;Kolliputi, N.&lt;/author&gt;&lt;/authors&gt;&lt;/contributors&gt;&lt;titles&gt;&lt;title&gt;4-Hydroxy-2-nonenal: a critical target in oxidative stress?&lt;/title&gt;&lt;secondary-title&gt;Am J Physiol Cell Physiol&lt;/secondary-title&gt;&lt;/titles&gt;&lt;periodical&gt;&lt;full-title&gt;American journal of physiology. Cell physiology&lt;/full-title&gt;&lt;/periodical&gt;&lt;pages&gt;C537-C543&lt;/pages&gt;&lt;volume&gt;311&lt;/volume&gt;&lt;number&gt;4&lt;/number&gt;&lt;dates&gt;&lt;year&gt;2016&lt;/year&gt;&lt;/dates&gt;&lt;isbn&gt;&lt;/isbn&gt;&lt;accession-num&gt;27385721&lt;/accession-num&gt;&lt;urls&gt;&lt;/urls&gt;&lt;custom2&gt;PMC4803793&lt;/custom2&gt;&lt;electronic-resource-num&gt;10.1152/ajpcell.00101.2016&lt;/electronic-resource-num&gt;&lt;remote-database-provider&gt;NLM&lt;/remote-database-provider&gt;&lt;language&gt;eng&lt;/language&gt;&lt;/record&gt;&lt;/Cite&gt;&lt;Cite&gt;&lt;Author&gt;Jin&lt;/Author&gt;&lt;Year&gt;2023&lt;/Year&gt;&lt;RecNum&gt;9116&lt;/RecNum&gt;&lt;DisplayText&gt; [12-17]&lt;/DisplayText&gt;&lt;record&gt;&lt;rec-number&gt;9116&lt;/rec-number&gt;&lt;foreign-keys&gt;&lt;key app="EN" db-id="codex-40refs" timestamp="1781575200"&gt;9116&lt;/key&gt;&lt;/foreign-keys&gt;&lt;ref-type name="Journal Article"&gt;17&lt;/ref-type&gt;&lt;contributors&gt;&lt;authors&gt;&lt;author&gt;Jin, J.&lt;/author&gt;&lt;author&gt;Chang, RS.&lt;/author&gt;&lt;author&gt;Xu, S.&lt;/author&gt;&lt;author&gt;Xia, G.&lt;/author&gt;&lt;author&gt;Wong, JMJ.&lt;/author&gt;&lt;author&gt;Fang, Y.&lt;/author&gt;&lt;author&gt;Jia, P.&lt;/author&gt;&lt;author&gt;Ding, X.&lt;/author&gt;&lt;/authors&gt;&lt;/contributors&gt;&lt;titles&gt;&lt;title&gt;Aldehyde Dehydrogenase 2 Ameliorates LPS-Induced Acute Kidney Injury through Detoxification of 4-HNE and Suppression of the MAPK Pathway.&lt;/title&gt;&lt;secondary-title&gt;J Immunol Res&lt;/secondary-title&gt;&lt;/titles&gt;&lt;periodical&gt;&lt;full-title&gt;Journal of immunology research&lt;/full-title&gt;&lt;/periodical&gt;&lt;pages&gt;5513507&lt;/pages&gt;&lt;volume&gt;2023&lt;/volume&gt;&lt;number&gt;&lt;/number&gt;&lt;dates&gt;&lt;year&gt;2023&lt;/year&gt;&lt;/dates&gt;&lt;isbn&gt;&lt;/isbn&gt;&lt;accession-num&gt;37064008&lt;/accession-num&gt;&lt;urls&gt;&lt;/urls&gt;&lt;custom2&gt;PMC8410052&lt;/custom2&gt;&lt;electronic-resource-num&gt;10.1002/ddr.21454&lt;/electronic-resource-num&gt;&lt;remote-database-provider&gt;NLM&lt;/remote-database-provider&gt;&lt;language&gt;eng&lt;/language&gt;&lt;/record&gt;&lt;/Cite&gt;&lt;Cite&gt;&lt;Author&gt;Deza-Ponzio&lt;/Author&gt;&lt;Year&gt;2018&lt;/Year&gt;&lt;RecNum&gt;9117&lt;/RecNum&gt;&lt;DisplayText&gt; [12-17]&lt;/DisplayText&gt;&lt;record&gt;&lt;rec-number&gt;9117&lt;/rec-number&gt;&lt;foreign-keys&gt;&lt;key app="EN" db-id="codex-40refs" timestamp="1781575200"&gt;9117&lt;/key&gt;&lt;/foreign-keys&gt;&lt;ref-type name="Journal Article"&gt;17&lt;/ref-type&gt;&lt;contributors&gt;&lt;authors&gt;&lt;author&gt;Deza-Ponzio, R.&lt;/author&gt;&lt;author&gt;Herrera, ML.&lt;/author&gt;&lt;author&gt;Bellini, MJ.&lt;/author&gt;&lt;author&gt;Virgolini, MB.&lt;/author&gt;&lt;author&gt;Hereñú, CB.&lt;/author&gt;&lt;/authors&gt;&lt;/contributors&gt;&lt;titles&gt;&lt;title&gt;Aldehyde dehydrogenase 2 in the spotlight: The link between mitochondria and neurodegeneration.&lt;/title&gt;&lt;secondary-title&gt;Neurotoxicology&lt;/secondary-title&gt;&lt;/titles&gt;&lt;periodical&gt;&lt;full-title&gt;Neurotoxicology&lt;/full-title&gt;&lt;/periodical&gt;&lt;pages&gt;19-24&lt;/pages&gt;&lt;volume&gt;68&lt;/volume&gt;&lt;number&gt;&lt;/number&gt;&lt;dates&gt;&lt;year&gt;2018&lt;/year&gt;&lt;/dates&gt;&lt;isbn&gt;&lt;/isbn&gt;&lt;accession-num&gt;29936317&lt;/accession-num&gt;&lt;urls&gt;&lt;/urls&gt;&lt;custom2&gt;&lt;/custom2&gt;&lt;electronic-resource-num&gt;10.1016/j.neuro.2018.06.005&lt;/electronic-resource-num&gt;&lt;remote-database-provider&gt;NLM&lt;/remote-database-provider&gt;&lt;language&gt;eng&lt;/language&gt;&lt;/record&gt;&lt;/Cite&gt;&lt;/EndNote&gt; </w:instrText>
      </w:r>
      <w:r w:rsidRPr="00C119A5">
        <w:rPr>
          <w:rFonts w:ascii="Times New Roman" w:hAnsi="Times New Roman" w:cs="Times New Roman"/>
        </w:rPr>
        <w:fldChar w:fldCharType="separate"/>
      </w:r>
      <w:r w:rsidRPr="00C119A5">
        <w:rPr>
          <w:rFonts w:ascii="Times New Roman" w:hAnsi="Times New Roman" w:cs="Times New Roman"/>
        </w:rPr>
        <w:t xml:space="preserve"> [12-17]</w:t>
      </w:r>
      <w:r w:rsidRPr="00C119A5">
        <w:rPr>
          <w:rFonts w:ascii="Times New Roman" w:hAnsi="Times New Roman" w:cs="Times New Roman"/>
        </w:rPr>
        <w:fldChar w:fldCharType="end"/>
      </w:r>
      <w:r w:rsidRPr="00C119A5">
        <w:rPr>
          <w:rFonts w:ascii="Times New Roman" w:hAnsi="Times New Roman" w:cs="Times New Roman"/>
        </w:rPr>
        <w:t>.</w:t>
      </w:r>
      <w:r w:rsidR="00A64114">
        <w:rPr>
          <w:rFonts w:ascii="Times New Roman" w:hAnsi="Times New Roman" w:cs="Times New Roman"/>
        </w:rPr>
        <w:t xml:space="preserve"> </w:t>
      </w:r>
      <w:r w:rsidR="00A64114" w:rsidRPr="00A64114">
        <w:rPr>
          <w:rFonts w:ascii="Times New Roman" w:hAnsi="Times New Roman" w:cs="Times New Roman"/>
        </w:rPr>
        <w:t>Nevertheless, these temporal associations are compatible with, but do not prove, a direct causal pathway linking ALDH2 reduction to the extracellular 4-HNE and VEGF-A changes.</w:t>
      </w:r>
    </w:p>
    <w:p w14:paraId="32FDE983" w14:textId="6D7A45E2" w:rsidR="00FA6A68" w:rsidRPr="00C119A5" w:rsidRDefault="00FA6A68" w:rsidP="00FA6A68">
      <w:pPr>
        <w:jc w:val="both"/>
        <w:rPr>
          <w:rFonts w:ascii="Times New Roman" w:hAnsi="Times New Roman" w:cs="Times New Roman"/>
        </w:rPr>
      </w:pPr>
      <w:r w:rsidRPr="00C119A5">
        <w:rPr>
          <w:rFonts w:ascii="Times New Roman" w:hAnsi="Times New Roman" w:cs="Times New Roman"/>
        </w:rPr>
        <w:t>The Alda-1 intervention supports the protective direction of ALDH2-associated modulation. Alda-1 improved wound recovery and partially preserved cellular morphology, with the most consistent molecular change being restoration of ALDH2 protein a</w:t>
      </w:r>
      <w:r w:rsidRPr="00FA6A68">
        <w:rPr>
          <w:rFonts w:ascii="Times New Roman" w:hAnsi="Times New Roman" w:cs="Times New Roman"/>
        </w:rPr>
        <w:t>bundance. This pattern is compatible with the role of Alda-1 as an ALDH2 activator/chemical chaperone</w:t>
      </w:r>
      <w:r>
        <w:rPr>
          <w:rFonts w:ascii="Times New Roman" w:hAnsi="Times New Roman" w:cs="Times New Roman"/>
        </w:rPr>
        <w:fldChar w:fldCharType="begin"/>
      </w:r>
      <w:r>
        <w:rPr>
          <w:rFonts w:ascii="Times New Roman" w:hAnsi="Times New Roman" w:cs="Times New Roman"/>
        </w:rPr>
        <w:instrText xml:space="preserve"> ADDIN EN.CITE &lt;EndNote&gt;&lt;Cite&gt;&lt;Author&gt;Khan&lt;/Author&gt;&lt;Year&gt;2022&lt;/Year&gt;&lt;RecNum&gt;9119&lt;/RecNum&gt;&lt;DisplayText&gt; [19-21,39]&lt;/DisplayText&gt;&lt;record&gt;&lt;rec-number&gt;9119&lt;/rec-number&gt;&lt;foreign-keys&gt;&lt;key app="EN" db-id="codex-40refs" timestamp="1781575200"&gt;9119&lt;/key&gt;&lt;/foreign-keys&gt;&lt;ref-type name="Journal Article"&gt;17&lt;/ref-type&gt;&lt;contributors&gt;&lt;authors&gt;&lt;author&gt;Khan, M.&lt;/author&gt;&lt;author&gt;Qiao, F.&lt;/author&gt;&lt;author&gt;Kumar, P.&lt;/author&gt;&lt;author&gt;Touhidul Islam, SM.&lt;/author&gt;&lt;author&gt;Singh, AK.&lt;/author&gt;&lt;author&gt;Won, J.&lt;/author&gt;&lt;author&gt;Singh, I.&lt;/author&gt;&lt;/authors&gt;&lt;/contributors&gt;&lt;titles&gt;&lt;title&gt;Neuroprotective effects of Alda-1 mitigate spinal cord injury in mice: involvement of Alda-1-induced ALDH2 activation-mediated suppression of reactive aldehyde mechanisms.&lt;/title&gt;&lt;secondary-title&gt;Neural Regen Res&lt;/secondary-title&gt;&lt;/titles&gt;&lt;periodical&gt;&lt;full-title&gt;Neural regeneration research&lt;/full-title&gt;&lt;/periodical&gt;&lt;pages&gt;185-193&lt;/pages&gt;&lt;volume&gt;17&lt;/volume&gt;&lt;number&gt;1&lt;/number&gt;&lt;dates&gt;&lt;year&gt;2022&lt;/year&gt;&lt;/dates&gt;&lt;isbn&gt;&lt;/isbn&gt;&lt;accession-num&gt;34100455&lt;/accession-num&gt;&lt;urls&gt;&lt;/urls&gt;&lt;custom2&gt;PMC7118728&lt;/custom2&gt;&lt;electronic-resource-num&gt;10.4103/1673-5374.314312&lt;/electronic-resource-num&gt;&lt;remote-database-provider&gt;NLM&lt;/remote-database-provider&gt;&lt;language&gt;eng&lt;/language&gt;&lt;/record&gt;&lt;/Cite&gt;&lt;Cite&gt;&lt;Author&gt;Diao&lt;/Author&gt;&lt;Year&gt;2022&lt;/Year&gt;&lt;RecNum&gt;9120&lt;/RecNum&gt;&lt;DisplayText&gt; [19-21,39]&lt;/DisplayText&gt;&lt;record&gt;&lt;rec-number&gt;9120&lt;/rec-number&gt;&lt;foreign-keys&gt;&lt;key app="EN" db-id="codex-40refs" timestamp="1781575200"&gt;9120&lt;/key&gt;&lt;/foreign-keys&gt;&lt;ref-type name="Journal Article"&gt;17&lt;/ref-type&gt;&lt;contributors&gt;&lt;authors&gt;&lt;author&gt;Diao, M.&lt;/author&gt;&lt;author&gt;Xu, J.&lt;/author&gt;&lt;author&gt;Wang, J.&lt;/author&gt;&lt;author&gt;Zhang, M.&lt;/author&gt;&lt;author&gt;Wu, C.&lt;/author&gt;&lt;author&gt;Hu, X.&lt;/author&gt;&lt;author&gt;Zhu, Y.&lt;/author&gt;&lt;author&gt;Zhang, M.&lt;/author&gt;&lt;author&gt;Hu, W.&lt;/author&gt;&lt;/authors&gt;&lt;/contributors&gt;&lt;titles&gt;&lt;title&gt;Alda-1, an Activator of ALDH2, Improves Postresuscitation Cardiac and Neurological Outcomes by Inhibiting Pyroptosis in Swine.&lt;/title&gt;&lt;secondary-title&gt;Neurochem Res&lt;/secondary-title&gt;&lt;/titles&gt;&lt;periodical&gt;&lt;full-title&gt;Neurochemical research&lt;/full-title&gt;&lt;/periodical&gt;&lt;pages&gt;1097-1109&lt;/pages&gt;&lt;volume&gt;47&lt;/volume&gt;&lt;number&gt;4&lt;/number&gt;&lt;dates&gt;&lt;year&gt;2022&lt;/year&gt;&lt;/dates&gt;&lt;isbn&gt;&lt;/isbn&gt;&lt;accession-num&gt;35094247&lt;/accession-num&gt;&lt;urls&gt;&lt;/urls&gt;&lt;custom2&gt;5529650&lt;/custom2&gt;&lt;electronic-resource-num&gt;10.1007/s11064-021-03511-x&lt;/electronic-resource-num&gt;&lt;remote-database-provider&gt;NLM&lt;/remote-database-provider&gt;&lt;language&gt;eng&lt;/language&gt;&lt;/record&gt;&lt;/Cite&gt;&lt;Cite&gt;&lt;Author&gt;Perez-Miller&lt;/Author&gt;&lt;Year&gt;2010&lt;/Year&gt;&lt;RecNum&gt;9121&lt;/RecNum&gt;&lt;DisplayText&gt; [19-21,39]&lt;/DisplayText&gt;&lt;record&gt;&lt;rec-number&gt;9121&lt;/rec-number&gt;&lt;foreign-keys&gt;&lt;key app="EN" db-id="codex-40refs" timestamp="1781575200"&gt;9121&lt;/key&gt;&lt;/foreign-keys&gt;&lt;ref-type name="Journal Article"&gt;17&lt;/ref-type&gt;&lt;contributors&gt;&lt;authors&gt;&lt;author&gt;Perez-Miller, S.&lt;/author&gt;&lt;author&gt;Younus, H.&lt;/author&gt;&lt;author&gt;Vanam, R.&lt;/author&gt;&lt;author&gt;Chen, CH.&lt;/author&gt;&lt;author&gt;Mochly-Rosen, D.&lt;/author&gt;&lt;author&gt;Hurley, TD.&lt;/author&gt;&lt;/authors&gt;&lt;/contributors&gt;&lt;titles&gt;&lt;title&gt;Alda-1 is an agonist and chemical chaperone for the common human aldehyde dehydrogenase 2 variant.&lt;/title&gt;&lt;secondary-title&gt;Nat Struct Mol Biol&lt;/secondary-title&gt;&lt;/titles&gt;&lt;periodical&gt;&lt;full-title&gt;Nature structural &amp;amp; molecular biology&lt;/full-title&gt;&lt;/periodical&gt;&lt;pages&gt;159-64&lt;/pages&gt;&lt;volume&gt;17&lt;/volume&gt;&lt;number&gt;2&lt;/number&gt;&lt;dates&gt;&lt;year&gt;2010&lt;/year&gt;&lt;/dates&gt;&lt;isbn&gt;&lt;/isbn&gt;&lt;accession-num&gt;20062057&lt;/accession-num&gt;&lt;urls&gt;&lt;/urls&gt;&lt;custom2&gt;PMC2144226&lt;/custom2&gt;&lt;electronic-resource-num&gt;10.1038/nsmb.1737&lt;/electronic-resource-num&gt;&lt;remote-database-provider&gt;NLM&lt;/remote-database-provider&gt;&lt;language&gt;eng&lt;/language&gt;&lt;/record&gt;&lt;/Cite&gt;&lt;Cite&gt;&lt;Author&gt;Liu&lt;/Author&gt;&lt;Year&gt;2023&lt;/Year&gt;&lt;RecNum&gt;9139&lt;/RecNum&gt;&lt;DisplayText&gt; [19-21,39]&lt;/DisplayText&gt;&lt;record&gt;&lt;rec-number&gt;9139&lt;/rec-number&gt;&lt;foreign-keys&gt;&lt;key app="EN" db-id="codex-40refs" timestamp="1781575200"&gt;9139&lt;/key&gt;&lt;/foreign-keys&gt;&lt;ref-type name="Journal Article"&gt;17&lt;/ref-type&gt;&lt;contributors&gt;&lt;authors&gt;&lt;author&gt;Liu, H.&lt;/author&gt;&lt;author&gt;Hu, Q.&lt;/author&gt;&lt;author&gt;Ren, K.&lt;/author&gt;&lt;author&gt;Wu, P.&lt;/author&gt;&lt;author&gt;Wang, Y.&lt;/author&gt;&lt;author&gt;Lv, C.&lt;/author&gt;&lt;/authors&gt;&lt;/contributors&gt;&lt;titles&gt;&lt;title&gt;ALDH2 mitigates LPS-induced cardiac dysfunction, inflammation, and apoptosis through the cGAS/STING pathway.&lt;/title&gt;&lt;secondary-title&gt;Mol Med&lt;/secondary-title&gt;&lt;/titles&gt;&lt;periodical&gt;&lt;full-title&gt;Molecular medicine (Cambridge, Mass.)&lt;/full-title&gt;&lt;/periodical&gt;&lt;pages&gt;171&lt;/pages&gt;&lt;volume&gt;29&lt;/volume&gt;&lt;number&gt;1&lt;/number&gt;&lt;dates&gt;&lt;year&gt;2023&lt;/year&gt;&lt;/dates&gt;&lt;isbn&gt;&lt;/isbn&gt;&lt;accession-num&gt;38124089&lt;/accession-num&gt;&lt;urls&gt;&lt;/urls&gt;&lt;custom2&gt;PMC6307968&lt;/custom2&gt;&lt;electronic-resource-num&gt;10.1172/JCI122064&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[19-21,39]</w:t>
      </w:r>
      <w:r>
        <w:rPr>
          <w:rFonts w:ascii="Times New Roman" w:hAnsi="Times New Roman" w:cs="Times New Roman"/>
        </w:rPr>
        <w:fldChar w:fldCharType="end"/>
      </w:r>
      <w:r>
        <w:rPr>
          <w:rFonts w:ascii="Times New Roman" w:hAnsi="Times New Roman" w:cs="Times New Roman"/>
        </w:rPr>
        <w:t xml:space="preserve"> and suggests that strengthening ALDH2-associated defense may help maintain RPE repair capacity under CoCl₂-induced stress. The culture-supernatant 4-HNE response was not uniformly reduced by Alda-1, while VEGF-A showed a lower direction. This pattern suggests that Alda-1-associated protec</w:t>
      </w:r>
      <w:r w:rsidRPr="00C119A5">
        <w:rPr>
          <w:rFonts w:ascii="Times New Roman" w:hAnsi="Times New Roman" w:cs="Times New Roman"/>
        </w:rPr>
        <w:t>tion was more clearly reflected by functional recovery, morphology preservation, ALDH2 restoration, and VEGF-A reduction direction than by a uniform decrease in extracellular 4-HNE.</w:t>
      </w:r>
      <w:r w:rsidR="00A64114">
        <w:rPr>
          <w:rFonts w:ascii="Times New Roman" w:hAnsi="Times New Roman" w:cs="Times New Roman"/>
        </w:rPr>
        <w:t xml:space="preserve"> </w:t>
      </w:r>
      <w:r w:rsidR="00A64114" w:rsidRPr="00A64114">
        <w:rPr>
          <w:rFonts w:ascii="Times New Roman" w:hAnsi="Times New Roman" w:cs="Times New Roman"/>
        </w:rPr>
        <w:t>Therefore, the present data do not establish that Alda-1-associated protection was mediated exclusively through a measurable reduction in extracellular 4-HNE.</w:t>
      </w:r>
    </w:p>
    <w:p w14:paraId="51F41E2E" w14:textId="1F4A079D" w:rsidR="00FA6A68" w:rsidRPr="00FA6A68" w:rsidRDefault="00FA6A68" w:rsidP="00FA6A68">
      <w:pPr>
        <w:jc w:val="both"/>
        <w:rPr>
          <w:rFonts w:ascii="Times New Roman" w:hAnsi="Times New Roman" w:cs="Times New Roman"/>
        </w:rPr>
      </w:pPr>
      <w:r w:rsidRPr="00C119A5">
        <w:rPr>
          <w:rFonts w:ascii="Times New Roman" w:hAnsi="Times New Roman" w:cs="Times New Roman"/>
        </w:rPr>
        <w:t xml:space="preserve">The Daidzin arm provided a complementary but more complex perspective. </w:t>
      </w:r>
      <w:r w:rsidRPr="00FA6A68">
        <w:rPr>
          <w:rFonts w:ascii="Times New Roman" w:hAnsi="Times New Roman" w:cs="Times New Roman"/>
        </w:rPr>
        <w:t xml:space="preserve">Functionally, Daidzin opposed the Alda-1 direction and aggravated the CoCl₂-induced wound-recovery </w:t>
      </w:r>
      <w:r w:rsidRPr="00FA6A68">
        <w:rPr>
          <w:rFonts w:ascii="Times New Roman" w:hAnsi="Times New Roman" w:cs="Times New Roman"/>
        </w:rPr>
        <w:lastRenderedPageBreak/>
        <w:t>phenotype. However, its early molecular pattern was not a simple reverse image of Alda-1, as Daidzin did not produce a clear early reduction in ALDH2 protein abundance or further enhancement of HIF-1α. This dissociation indicates that the Daidzin response in this system cannot be reduced to ALDH2 protein expression alone. As an isoflavone glycoside</w:t>
      </w:r>
      <w:r>
        <w:rPr>
          <w:rFonts w:ascii="Times New Roman" w:hAnsi="Times New Roman" w:cs="Times New Roman"/>
        </w:rPr>
        <w:fldChar w:fldCharType="begin"/>
      </w:r>
      <w:r>
        <w:rPr>
          <w:rFonts w:ascii="Times New Roman" w:hAnsi="Times New Roman" w:cs="Times New Roman"/>
        </w:rPr>
        <w:instrText xml:space="preserve"> ADDIN EN.CITE &lt;EndNote&gt;&lt;Cite&gt;&lt;Author&gt;Keung&lt;/Author&gt;&lt;Year&gt;1993&lt;/Year&gt;&lt;RecNum&gt;9122&lt;/RecNum&gt;&lt;DisplayText&gt; [22,23]&lt;/DisplayText&gt;&lt;record&gt;&lt;rec-number&gt;9122&lt;/rec-number&gt;&lt;foreign-keys&gt;&lt;key app="EN" db-id="codex-40refs" timestamp="1781575200"&gt;9122&lt;/key&gt;&lt;/foreign-keys&gt;&lt;ref-type name="Journal Article"&gt;17&lt;/ref-type&gt;&lt;contributors&gt;&lt;authors&gt;&lt;author&gt;Keung, WM.&lt;/author&gt;&lt;author&gt;Vallee, BL.&lt;/author&gt;&lt;/authors&gt;&lt;/contributors&gt;&lt;titles&gt;&lt;title&gt;Daidzin: a potent, selective inhibitor of human mitochondrial aldehyde dehydrogenase.&lt;/title&gt;&lt;secondary-title&gt;Proc Natl Acad Sci U S A&lt;/secondary-title&gt;&lt;/titles&gt;&lt;periodical&gt;&lt;full-title&gt;Proceedings of the National Academy of Sciences of the United States of America&lt;/full-title&gt;&lt;/periodical&gt;&lt;pages&gt;1247-51&lt;/pages&gt;&lt;volume&gt;90&lt;/volume&gt;&lt;number&gt;4&lt;/number&gt;&lt;dates&gt;&lt;year&gt;1993&lt;/year&gt;&lt;/dates&gt;&lt;isbn&gt;&lt;/isbn&gt;&lt;accession-num&gt;8433985&lt;/accession-num&gt;&lt;urls&gt;&lt;/urls&gt;&lt;custom2&gt;PMC45849&lt;/custom2&gt;&lt;electronic-resource-num&gt;10.1073/pnas.90.4.1247&lt;/electronic-resource-num&gt;&lt;remote-database-provider&gt;NLM&lt;/remote-database-provider&gt;&lt;language&gt;eng&lt;/language&gt;&lt;/record&gt;&lt;/Cite&gt;&lt;Cite&gt;&lt;Author&gt;da&lt;/Author&gt;&lt;Year&gt;2020&lt;/Year&gt;&lt;RecNum&gt;9123&lt;/RecNum&gt;&lt;DisplayText&gt; [22,23]&lt;/DisplayText&gt;&lt;record&gt;&lt;rec-number&gt;9123&lt;/rec-number&gt;&lt;foreign-keys&gt;&lt;key app="EN" db-id="codex-40refs" timestamp="1781575200"&gt;9123&lt;/key&gt;&lt;/foreign-keys&gt;&lt;ref-type name="Journal Article"&gt;17&lt;/ref-type&gt;&lt;contributors&gt;&lt;authors&gt;&lt;author&gt;da Silva Cunha, TT.&lt;/author&gt;&lt;author&gt;de Souza, FR.&lt;/author&gt;&lt;author&gt;de Sena Murteira Pinheiro, P.&lt;/author&gt;&lt;author&gt;de Sant'Anna, CMR.&lt;/author&gt;&lt;author&gt;Noël, F.&lt;/author&gt;&lt;author&gt;Costa França, TC.&lt;/author&gt;&lt;author&gt;Manssour Fraga, CA.&lt;/author&gt;&lt;/authors&gt;&lt;/contributors&gt;&lt;titles&gt;&lt;title&gt;Investigating the Molecular Basis for the Selective Inhibition of Aldehyde Dehydrogenase 2 by the Isoflavonoid Daidzin.&lt;/title&gt;&lt;secondary-title&gt;CNS Neurol Disord Drug Targets&lt;/secondary-title&gt;&lt;/titles&gt;&lt;periodical&gt;&lt;full-title&gt;CNS &amp;amp; neurological disorders drug targets&lt;/full-title&gt;&lt;/periodical&gt;&lt;pages&gt;437-447&lt;/pages&gt;&lt;volume&gt;19&lt;/volume&gt;&lt;number&gt;6&lt;/number&gt;&lt;dates&gt;&lt;year&gt;2020&lt;/year&gt;&lt;/dates&gt;&lt;isbn&gt;&lt;/isbn&gt;&lt;accession-num&gt;32811404&lt;/accession-num&gt;&lt;urls&gt;&lt;/urls&gt;&lt;custom2&gt;&lt;/custom2&gt;&lt;electronic-resource-num&gt;10.2174/1871527319999200817153150&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[22,23]</w:t>
      </w:r>
      <w:r>
        <w:rPr>
          <w:rFonts w:ascii="Times New Roman" w:hAnsi="Times New Roman" w:cs="Times New Roman"/>
        </w:rPr>
        <w:fldChar w:fldCharType="end"/>
      </w:r>
      <w:r>
        <w:rPr>
          <w:rFonts w:ascii="Times New Roman" w:hAnsi="Times New Roman" w:cs="Times New Roman"/>
        </w:rPr>
        <w:t>, Daidzin may have ALDH2-independent redox-modulatory properties in addition to its inhibitory effect on ALDH2 enzymatic activity</w:t>
      </w:r>
      <w:r>
        <w:rPr>
          <w:rFonts w:ascii="Times New Roman" w:hAnsi="Times New Roman" w:cs="Times New Roman"/>
        </w:rPr>
        <w:fldChar w:fldCharType="begin"/>
      </w:r>
      <w:r>
        <w:rPr>
          <w:rFonts w:ascii="Times New Roman" w:hAnsi="Times New Roman" w:cs="Times New Roman"/>
        </w:rPr>
        <w:instrText xml:space="preserve"> ADDIN EN.CITE &lt;EndNote&gt;&lt;Cite&gt;&lt;Author&gt;Keung&lt;/Author&gt;&lt;Year&gt;1993&lt;/Year&gt;&lt;RecNum&gt;9122&lt;/RecNum&gt;&lt;DisplayText&gt; [22-24]&lt;/DisplayText&gt;&lt;record&gt;&lt;rec-number&gt;9122&lt;/rec-number&gt;&lt;foreign-keys&gt;&lt;key app="EN" db-id="codex-40refs" timestamp="1781575200"&gt;9122&lt;/key&gt;&lt;/foreign-keys&gt;&lt;ref-type name="Journal Article"&gt;17&lt;/ref-type&gt;&lt;contributors&gt;&lt;authors&gt;&lt;author&gt;Keung, WM.&lt;/author&gt;&lt;author&gt;Vallee, BL.&lt;/author&gt;&lt;/authors&gt;&lt;/contributors&gt;&lt;titles&gt;&lt;title&gt;Daidzin: a potent, selective inhibitor of human mitochondrial aldehyde dehydrogenase.&lt;/title&gt;&lt;secondary-title&gt;Proc Natl Acad Sci U S A&lt;/secondary-title&gt;&lt;/titles&gt;&lt;periodical&gt;&lt;full-title&gt;Proceedings of the National Academy of Sciences of the United States of America&lt;/full-title&gt;&lt;/periodical&gt;&lt;pages&gt;1247-51&lt;/pages&gt;&lt;volume&gt;90&lt;/volume&gt;&lt;number&gt;4&lt;/number&gt;&lt;dates&gt;&lt;year&gt;1993&lt;/year&gt;&lt;/dates&gt;&lt;isbn&gt;&lt;/isbn&gt;&lt;accession-num&gt;8433985&lt;/accession-num&gt;&lt;urls&gt;&lt;/urls&gt;&lt;custom2&gt;PMC45849&lt;/custom2&gt;&lt;electronic-resource-num&gt;10.1073/pnas.90.4.1247&lt;/electronic-resource-num&gt;&lt;remote-database-provider&gt;NLM&lt;/remote-database-provider&gt;&lt;language&gt;eng&lt;/language&gt;&lt;/record&gt;&lt;/Cite&gt;&lt;Cite&gt;&lt;Author&gt;da&lt;/Author&gt;&lt;Year&gt;2020&lt;/Year&gt;&lt;RecNum&gt;9123&lt;/RecNum&gt;&lt;DisplayText&gt; [22-24]&lt;/DisplayText&gt;&lt;record&gt;&lt;rec-number&gt;9123&lt;/rec-number&gt;&lt;foreign-keys&gt;&lt;key app="EN" db-id="codex-40refs" timestamp="1781575200"&gt;9123&lt;/key&gt;&lt;/foreign-keys&gt;&lt;ref-type name="Journal Article"&gt;17&lt;/ref-type&gt;&lt;contributors&gt;&lt;authors&gt;&lt;author&gt;da Silva Cunha, TT.&lt;/author&gt;&lt;author&gt;de Souza, FR.&lt;/author&gt;&lt;author&gt;de Sena Murteira Pinheiro, P.&lt;/author&gt;&lt;author&gt;de Sant'Anna, CMR.&lt;/author&gt;&lt;author&gt;Noël, F.&lt;/author&gt;&lt;author&gt;Costa França, TC.&lt;/author&gt;&lt;author&gt;Manssour Fraga, CA.&lt;/author&gt;&lt;/authors&gt;&lt;/contributors&gt;&lt;titles&gt;&lt;title&gt;Investigating the Molecular Basis for the Selective Inhibition of Aldehyde Dehydrogenase 2 by the Isoflavonoid Daidzin.&lt;/title&gt;&lt;secondary-title&gt;CNS Neurol Disord Drug Targets&lt;/secondary-title&gt;&lt;/titles&gt;&lt;periodical&gt;&lt;full-title&gt;CNS &amp;amp; neurological disorders drug targets&lt;/full-title&gt;&lt;/periodical&gt;&lt;pages&gt;437-447&lt;/pages&gt;&lt;volume&gt;19&lt;/volume&gt;&lt;number&gt;6&lt;/number&gt;&lt;dates&gt;&lt;year&gt;2020&lt;/year&gt;&lt;/dates&gt;&lt;isbn&gt;&lt;/isbn&gt;&lt;accession-num&gt;32811404&lt;/accession-num&gt;&lt;urls&gt;&lt;/urls&gt;&lt;custom2&gt;&lt;/custom2&gt;&lt;electronic-resource-num&gt;10.2174/1871527319999200817153150&lt;/electronic-resource-num&gt;&lt;remote-database-provider&gt;NLM&lt;/remote-database-provider&gt;&lt;language&gt;eng&lt;/language&gt;&lt;/record&gt;&lt;/Cite&gt;&lt;Cite&gt;&lt;Author&gt;Lowe&lt;/Author&gt;&lt;Year&gt;2008&lt;/Year&gt;&lt;RecNum&gt;9124&lt;/RecNum&gt;&lt;DisplayText&gt; [22-24]&lt;/DisplayText&gt;&lt;record&gt;&lt;rec-number&gt;9124&lt;/rec-number&gt;&lt;foreign-keys&gt;&lt;key app="EN" db-id="codex-40refs" timestamp="1781575200"&gt;9124&lt;/key&gt;&lt;/foreign-keys&gt;&lt;ref-type name="Journal Article"&gt;17&lt;/ref-type&gt;&lt;contributors&gt;&lt;authors&gt;&lt;author&gt;Lowe, ED.&lt;/author&gt;&lt;author&gt;Gao, GY.&lt;/author&gt;&lt;author&gt;Johnson, LN.&lt;/author&gt;&lt;author&gt;Keung, WM.&lt;/author&gt;&lt;/authors&gt;&lt;/contributors&gt;&lt;titles&gt;&lt;title&gt;Structure of daidzin, a naturally occurring anti-alcohol-addiction agent, in complex with human mitochondrial aldehyde dehydrogenase.&lt;/title&gt;&lt;secondary-title&gt;J Med Chem&lt;/secondary-title&gt;&lt;/titles&gt;&lt;periodical&gt;&lt;full-title&gt;Journal of medicinal chemistry&lt;/full-title&gt;&lt;/periodical&gt;&lt;pages&gt;4482-7&lt;/pages&gt;&lt;volume&gt;51&lt;/volume&gt;&lt;number&gt;15&lt;/number&gt;&lt;dates&gt;&lt;year&gt;2008&lt;/year&gt;&lt;/dates&gt;&lt;isbn&gt;&lt;/isbn&gt;&lt;accession-num&gt;18613661&lt;/accession-num&gt;&lt;urls&gt;&lt;/urls&gt;&lt;custom2&gt;&lt;/custom2&gt;&lt;electronic-resource-num&gt;10.1021/jm800488j&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[22-24]</w:t>
      </w:r>
      <w:r>
        <w:rPr>
          <w:rFonts w:ascii="Times New Roman" w:hAnsi="Times New Roman" w:cs="Times New Roman"/>
        </w:rPr>
        <w:fldChar w:fldCharType="end"/>
      </w:r>
      <w:r>
        <w:rPr>
          <w:rFonts w:ascii="Times New Roman" w:hAnsi="Times New Roman" w:cs="Times New Roman"/>
        </w:rPr>
        <w:t xml:space="preserve">. </w:t>
      </w:r>
      <w:r w:rsidR="00A64114" w:rsidRPr="00A64114">
        <w:rPr>
          <w:rFonts w:ascii="Times New Roman" w:hAnsi="Times New Roman" w:cs="Times New Roman"/>
        </w:rPr>
        <w:t>Because ALDH2 enzymatic activity was not directly measured, the present data cannot determine whether the functional worsening associated with Daidzin resulted from reduced ALDH2 catalytic activity, compound-specific effects, or a combination of mechanisms. ALDH2 protein abundance and enzymatic activity should therefore not be interpreted as interchangeable readouts.</w:t>
      </w:r>
    </w:p>
    <w:p w14:paraId="1D36B184" w14:textId="32EF54B5" w:rsidR="009F093C" w:rsidRPr="00C119A5" w:rsidRDefault="00FA6A68" w:rsidP="00FA6A68">
      <w:pPr>
        <w:jc w:val="both"/>
        <w:rPr>
          <w:rFonts w:ascii="Times New Roman" w:hAnsi="Times New Roman" w:cs="Times New Roman"/>
        </w:rPr>
      </w:pPr>
      <w:r w:rsidRPr="00FA6A68">
        <w:rPr>
          <w:rFonts w:ascii="Times New Roman" w:hAnsi="Times New Roman" w:cs="Times New Roman"/>
        </w:rPr>
        <w:t xml:space="preserve">Taken together, the Alda-1 and Daidzin findings indicate that ALDH2-related modulation in CoCl₂-induced RPE injury is not fully explained by a single linear marker. Alda-1 showed a clearer protective pattern at the functional and ALDH2 protein levels, whereas Daidzin produced functional worsening despite a non-linear early protein response. These observations suggest that CoCl₂-induced RPE injury involves overlapping processes, including hypoxia-related signaling, aldehyde-associated stress, extracellular stress-marker accumulation, disruption of cell-layer integrity, and compound-specific ALDH2-independent effects. </w:t>
      </w:r>
      <w:r w:rsidR="00A64114" w:rsidRPr="00A64114">
        <w:rPr>
          <w:rFonts w:ascii="Times New Roman" w:hAnsi="Times New Roman" w:cs="Times New Roman"/>
        </w:rPr>
        <w:t>The Alda-1 and Daidzin interventions were performed as separate experimental modules; therefore, each drug effect was interpreted relative to its own concurrently processed 500 μM CoCl₂ comparator rather than through direct quantitative comparison between the two intervention modules. The current results therefore support an ALDH2-associated modulatory framework in CoCl₂-induced RPE stress, but do not establish a definitive linear pathway</w:t>
      </w:r>
      <w:r w:rsidR="009F093C" w:rsidRPr="00C119A5">
        <w:rPr>
          <w:rFonts w:ascii="Times New Roman" w:hAnsi="Times New Roman" w:cs="Times New Roman"/>
        </w:rPr>
        <w:t>.</w:t>
      </w:r>
    </w:p>
    <w:p w14:paraId="5644D085" w14:textId="7478653B" w:rsidR="00FA6A68" w:rsidRDefault="00FA6A68" w:rsidP="00FA6A68">
      <w:pPr>
        <w:jc w:val="both"/>
        <w:rPr>
          <w:rFonts w:ascii="Times New Roman" w:hAnsi="Times New Roman" w:cs="Times New Roman"/>
        </w:rPr>
      </w:pPr>
      <w:r w:rsidRPr="00C119A5">
        <w:rPr>
          <w:rFonts w:ascii="Times New Roman" w:hAnsi="Times New Roman" w:cs="Times New Roman"/>
        </w:rPr>
        <w:t>Several limitations should be acknowledged. First, C</w:t>
      </w:r>
      <w:r w:rsidRPr="00FA6A68">
        <w:rPr>
          <w:rFonts w:ascii="Times New Roman" w:hAnsi="Times New Roman" w:cs="Times New Roman"/>
        </w:rPr>
        <w:t>oCl₂ is a useful chemical hypoxia mimetic but does not fully reproduce physiological retinal hypoxia or ischemia</w:t>
      </w:r>
      <w:r>
        <w:rPr>
          <w:rFonts w:ascii="Times New Roman" w:hAnsi="Times New Roman" w:cs="Times New Roman"/>
        </w:rPr>
        <w:fldChar w:fldCharType="begin"/>
      </w:r>
      <w:r>
        <w:rPr>
          <w:rFonts w:ascii="Times New Roman" w:hAnsi="Times New Roman" w:cs="Times New Roman"/>
        </w:rPr>
        <w:instrText xml:space="preserve"> ADDIN EN.CITE &lt;EndNote&gt;&lt;Cite&gt;&lt;Author&gt;Muñoz-Sánchez&lt;/Author&gt;&lt;Year&gt;2019&lt;/Year&gt;&lt;RecNum&gt;9107&lt;/RecNum&gt;&lt;DisplayText&gt; [7,8]&lt;/DisplayText&gt;&lt;record&gt;&lt;rec-number&gt;9107&lt;/rec-number&gt;&lt;foreign-keys&gt;&lt;key app="EN" db-id="codex-40refs" timestamp="1781575200"&gt;9107&lt;/key&gt;&lt;/foreign-keys&gt;&lt;ref-type name="Journal Article"&gt;17&lt;/ref-type&gt;&lt;contributors&gt;&lt;authors&gt;&lt;author&gt;Muñoz-Sánchez, J.&lt;/author&gt;&lt;author&gt;Chánez-Cárdenas, ME.&lt;/author&gt;&lt;/authors&gt;&lt;/contributors&gt;&lt;titles&gt;&lt;title&gt;The use of cobalt chloride as a chemical hypoxia model.&lt;/title&gt;&lt;secondary-title&gt;J Appl Toxicol&lt;/secondary-title&gt;&lt;/titles&gt;&lt;periodical&gt;&lt;full-title&gt;Journal of applied toxicology : JAT&lt;/full-title&gt;&lt;/periodical&gt;&lt;pages&gt;556-570&lt;/pages&gt;&lt;volume&gt;39&lt;/volume&gt;&lt;number&gt;4&lt;/number&gt;&lt;dates&gt;&lt;year&gt;2019&lt;/year&gt;&lt;/dates&gt;&lt;isbn&gt;&lt;/isbn&gt;&lt;accession-num&gt;30484873&lt;/accession-num&gt;&lt;urls&gt;&lt;/urls&gt;&lt;custom2&gt;&lt;/custom2&gt;&lt;electronic-resource-num&gt;10.1002/jat.3749&lt;/electronic-resource-num&gt;&lt;remote-database-provider&gt;NLM&lt;/remote-database-provider&gt;&lt;language&gt;eng&lt;/language&gt;&lt;/record&gt;&lt;/Cite&gt;&lt;Cite&gt;&lt;Author&gt;Nowak-Stępniowska&lt;/Author&gt;&lt;Year&gt;2022&lt;/Year&gt;&lt;RecNum&gt;9108&lt;/RecNum&gt;&lt;DisplayText&gt; [7,8]&lt;/DisplayText&gt;&lt;record&gt;&lt;rec-number&gt;9108&lt;/rec-number&gt;&lt;foreign-keys&gt;&lt;key app="EN" db-id="codex-40refs" timestamp="1781575200"&gt;9108&lt;/key&gt;&lt;/foreign-keys&gt;&lt;ref-type name="Journal Article"&gt;17&lt;/ref-type&gt;&lt;contributors&gt;&lt;authors&gt;&lt;author&gt;Nowak-Stępniowska, A.&lt;/author&gt;&lt;author&gt;Osuchowska, PN.&lt;/author&gt;&lt;author&gt;Fiedorowicz, H.&lt;/author&gt;&lt;author&gt;Trafny, EA.&lt;/author&gt;&lt;/authors&gt;&lt;/contributors&gt;&lt;titles&gt;&lt;title&gt;Insight in Hypoxia-Mimetic Agents as Potential Tools for Mesenchymal Stem Cell Priming in Regenerative Medicine.&lt;/title&gt;&lt;secondary-title&gt;Stem Cells Int&lt;/secondary-title&gt;&lt;/titles&gt;&lt;periodical&gt;&lt;full-title&gt;Stem cells international&lt;/full-title&gt;&lt;/periodical&gt;&lt;pages&gt;8775591&lt;/pages&gt;&lt;volume&gt;2022&lt;/volume&gt;&lt;number&gt;&lt;/number&gt;&lt;dates&gt;&lt;year&gt;2022&lt;/year&gt;&lt;/dates&gt;&lt;isbn&gt;&lt;/isbn&gt;&lt;accession-num&gt;35378955&lt;/accession-num&gt;&lt;urls&gt;&lt;/urls&gt;&lt;custom2&gt;PMC1855077&lt;/custom2&gt;&lt;electronic-resource-num&gt;10.1371/journal.pone.0000416&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[7,8]</w:t>
      </w:r>
      <w:r>
        <w:rPr>
          <w:rFonts w:ascii="Times New Roman" w:hAnsi="Times New Roman" w:cs="Times New Roman"/>
        </w:rPr>
        <w:fldChar w:fldCharType="end"/>
      </w:r>
      <w:r>
        <w:rPr>
          <w:rFonts w:ascii="Times New Roman" w:hAnsi="Times New Roman" w:cs="Times New Roman"/>
        </w:rPr>
        <w:t>.</w:t>
      </w:r>
      <w:r w:rsidR="00A64114">
        <w:rPr>
          <w:rFonts w:ascii="Times New Roman" w:hAnsi="Times New Roman" w:cs="Times New Roman"/>
        </w:rPr>
        <w:t xml:space="preserve"> </w:t>
      </w:r>
      <w:r w:rsidR="00A64114" w:rsidRPr="00A64114">
        <w:rPr>
          <w:rFonts w:ascii="Times New Roman" w:hAnsi="Times New Roman" w:cs="Times New Roman"/>
        </w:rPr>
        <w:t>Although early HIF-1α induction supports the engagement of hypoxia-responsive signaling, the present data cannot distinguish hypoxia-related injury from concurrent nonspecific CoCl₂ cytotoxicity.</w:t>
      </w:r>
      <w:r>
        <w:rPr>
          <w:rFonts w:ascii="Times New Roman" w:hAnsi="Times New Roman" w:cs="Times New Roman"/>
        </w:rPr>
        <w:t xml:space="preserve"> Second, ARPE-19 cells provide a convenient RPE model but cannot fully represent primary human RPE or the in vivo retinal microenvironment</w:t>
      </w:r>
      <w:r>
        <w:rPr>
          <w:rFonts w:ascii="Times New Roman" w:hAnsi="Times New Roman" w:cs="Times New Roman"/>
        </w:rPr>
        <w:fldChar w:fldCharType="begin"/>
      </w:r>
      <w:r>
        <w:rPr>
          <w:rFonts w:ascii="Times New Roman" w:hAnsi="Times New Roman" w:cs="Times New Roman"/>
        </w:rPr>
        <w:instrText xml:space="preserve"> ADDIN EN.CITE &lt;EndNote&gt;&lt;Cite&gt;&lt;Author&gt;Dunn&lt;/Author&gt;&lt;Year&gt;1996&lt;/Year&gt;&lt;RecNum&gt;9126&lt;/RecNum&gt;&lt;DisplayText&gt; [26,27]&lt;/DisplayText&gt;&lt;record&gt;&lt;rec-number&gt;9126&lt;/rec-number&gt;&lt;foreign-keys&gt;&lt;key app="EN" db-id="codex-40refs" timestamp="1781575200"&gt;9126&lt;/key&gt;&lt;/foreign-keys&gt;&lt;ref-type name="Journal Article"&gt;17&lt;/ref-type&gt;&lt;contributors&gt;&lt;authors&gt;&lt;author&gt;Dunn, KC.&lt;/author&gt;&lt;author&gt;Aotaki-Keen, AE.&lt;/author&gt;&lt;author&gt;Putkey, FR.&lt;/author&gt;&lt;author&gt;Hjelmeland, LM.&lt;/author&gt;&lt;/authors&gt;&lt;/contributors&gt;&lt;titles&gt;&lt;title&gt;ARPE-19, a human retinal pigment epithelial cell line with differentiated properties.&lt;/title&gt;&lt;secondary-title&gt;Exp Eye Res&lt;/secondary-title&gt;&lt;/titles&gt;&lt;periodical&gt;&lt;full-title&gt;Experimental eye research&lt;/full-title&gt;&lt;/periodical&gt;&lt;pages&gt;155-69&lt;/pages&gt;&lt;volume&gt;62&lt;/volume&gt;&lt;number&gt;2&lt;/number&gt;&lt;dates&gt;&lt;year&gt;1996&lt;/year&gt;&lt;/dates&gt;&lt;isbn&gt;&lt;/isbn&gt;&lt;accession-num&gt;8698076&lt;/accession-num&gt;&lt;urls&gt;&lt;/urls&gt;&lt;custom2&gt;&lt;/custom2&gt;&lt;electronic-resource-num&gt;10.1006/exer.1996.0020&lt;/electronic-resource-num&gt;&lt;remote-database-provider&gt;NLM&lt;/remote-database-provider&gt;&lt;language&gt;eng&lt;/language&gt;&lt;/record&gt;&lt;/Cite&gt;&lt;Cite&gt;&lt;Author&gt;Pfeffer&lt;/Author&gt;&lt;Year&gt;2022&lt;/Year&gt;&lt;RecNum&gt;9127&lt;/RecNum&gt;&lt;DisplayText&gt; [26,27]&lt;/DisplayText&gt;&lt;record&gt;&lt;rec-number&gt;9127&lt;/rec-number&gt;&lt;foreign-keys&gt;&lt;key app="EN" db-id="codex-40refs" timestamp="1781575200"&gt;9127&lt;/key&gt;&lt;/foreign-keys&gt;&lt;ref-type name="Journal Article"&gt;17&lt;/ref-type&gt;&lt;contributors&gt;&lt;authors&gt;&lt;author&gt;Pfeffer, BA.&lt;/author&gt;&lt;author&gt;Fliesler, SJ.&lt;/author&gt;&lt;/authors&gt;&lt;/contributors&gt;&lt;titles&gt;&lt;title&gt;Reassessing the suitability of ARPE-19 cells as a valid model of native RPE biology.&lt;/title&gt;&lt;secondary-title&gt;Exp Eye Res&lt;/secondary-title&gt;&lt;/titles&gt;&lt;periodical&gt;&lt;full-title&gt;Experimental eye research&lt;/full-title&gt;&lt;/periodical&gt;&lt;pages&gt;109046&lt;/pages&gt;&lt;volume&gt;219&lt;/volume&gt;&lt;number&gt;&lt;/number&gt;&lt;dates&gt;&lt;year&gt;2022&lt;/year&gt;&lt;/dates&gt;&lt;isbn&gt;&lt;/isbn&gt;&lt;accession-num&gt;35314139&lt;/accession-num&gt;&lt;urls&gt;&lt;/urls&gt;&lt;custom2&gt;&lt;/custom2&gt;&lt;electronic-resource-num&gt;10.1016/j.exer.2022.109046&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[26,27]</w:t>
      </w:r>
      <w:r>
        <w:rPr>
          <w:rFonts w:ascii="Times New Roman" w:hAnsi="Times New Roman" w:cs="Times New Roman"/>
        </w:rPr>
        <w:fldChar w:fldCharType="end"/>
      </w:r>
      <w:r>
        <w:rPr>
          <w:rFonts w:ascii="Times New Roman" w:hAnsi="Times New Roman" w:cs="Times New Roman"/>
        </w:rPr>
        <w:t xml:space="preserve">. </w:t>
      </w:r>
      <w:r w:rsidR="00C355AE" w:rsidRPr="00C355AE">
        <w:rPr>
          <w:rFonts w:ascii="Times New Roman" w:hAnsi="Times New Roman" w:cs="Times New Roman"/>
        </w:rPr>
        <w:t xml:space="preserve">Third, scratch-wound closure reflects wound-edge recovery, whereas CCK-8 is an indirect metabolic readout; neither endpoint alone directly measures viable cell number. </w:t>
      </w:r>
      <w:r w:rsidR="00A66008" w:rsidRPr="00A66008">
        <w:rPr>
          <w:rFonts w:ascii="Times New Roman" w:hAnsi="Times New Roman" w:cs="Times New Roman"/>
        </w:rPr>
        <w:t>In addition, CCK-8 cannot distinguish altered metabolic activity or reduced proliferation from apoptosis, necrosis, or other forms of cellular dysfunction. Direct quantitative apoptosis/necrosis assays were not performed; therefore, the relative contributions of impaired migration, altered proliferation, cell detachment, apoptosis, and necrosis to the observed wound enlargement and morphological deterioration cannot be determined from the present data</w:t>
      </w:r>
      <w:r w:rsidR="00A66008">
        <w:rPr>
          <w:rFonts w:ascii="Times New Roman" w:hAnsi="Times New Roman" w:cs="Times New Roman"/>
        </w:rPr>
        <w:t xml:space="preserve">. </w:t>
      </w:r>
      <w:r w:rsidR="00C355AE" w:rsidRPr="00C355AE">
        <w:rPr>
          <w:rFonts w:ascii="Times New Roman" w:hAnsi="Times New Roman" w:cs="Times New Roman"/>
        </w:rPr>
        <w:t>Fourth</w:t>
      </w:r>
      <w:r w:rsidR="00C355AE">
        <w:rPr>
          <w:rFonts w:ascii="Times New Roman" w:hAnsi="Times New Roman" w:cs="Times New Roman"/>
        </w:rPr>
        <w:t>,</w:t>
      </w:r>
      <w:r>
        <w:rPr>
          <w:rFonts w:ascii="Times New Roman" w:hAnsi="Times New Roman" w:cs="Times New Roman"/>
        </w:rPr>
        <w:t xml:space="preserve"> ALDH2 enzymatic activity was not directly measured; therefore, changes in ALDH2 catalytic function cannot be </w:t>
      </w:r>
      <w:r>
        <w:rPr>
          <w:rFonts w:ascii="Times New Roman" w:hAnsi="Times New Roman" w:cs="Times New Roman"/>
        </w:rPr>
        <w:lastRenderedPageBreak/>
        <w:t>established from the present pharmacological and protein-expression data alone.</w:t>
      </w:r>
      <w:r w:rsidR="00C355AE" w:rsidRPr="00C355AE">
        <w:t xml:space="preserve"> </w:t>
      </w:r>
      <w:r w:rsidR="00C355AE" w:rsidRPr="00C355AE">
        <w:rPr>
          <w:rFonts w:ascii="Times New Roman" w:hAnsi="Times New Roman" w:cs="Times New Roman"/>
        </w:rPr>
        <w:t>Fifth</w:t>
      </w:r>
      <w:r>
        <w:rPr>
          <w:rFonts w:ascii="Times New Roman" w:hAnsi="Times New Roman" w:cs="Times New Roman"/>
        </w:rPr>
        <w:t>, culture-supernatant 4-HNE reflects extracellular aldehyde-related changes rather than direct intracellular aldehyde burden, and it may be affected by assay timing, sample handling, kit differences, and compartment-specific aldehyde dynamics</w:t>
      </w:r>
      <w:r>
        <w:rPr>
          <w:rFonts w:ascii="Times New Roman" w:hAnsi="Times New Roman" w:cs="Times New Roman"/>
        </w:rPr>
        <w:fldChar w:fldCharType="begin"/>
      </w:r>
      <w:r>
        <w:rPr>
          <w:rFonts w:ascii="Times New Roman" w:hAnsi="Times New Roman" w:cs="Times New Roman"/>
        </w:rPr>
        <w:instrText xml:space="preserve"> ADDIN EN.CITE &lt;EndNote&gt;&lt;Cite&gt;&lt;Author&gt;Wang&lt;/Author&gt;&lt;Year&gt;2023&lt;/Year&gt;&lt;RecNum&gt;9112&lt;/RecNum&gt;&lt;DisplayText&gt; [12-15]&lt;/DisplayText&gt;&lt;record&gt;&lt;rec-number&gt;9112&lt;/rec-number&gt;&lt;foreign-keys&gt;&lt;key app="EN" db-id="codex-40refs" timestamp="1781575200"&gt;9112&lt;/key&gt;&lt;/foreign-keys&gt;&lt;ref-type name="Journal Article"&gt;17&lt;/ref-type&gt;&lt;contributors&gt;&lt;authors&gt;&lt;author&gt;Wang, B.&lt;/author&gt;&lt;author&gt;Wang, Y.&lt;/author&gt;&lt;author&gt;Zhang, J.&lt;/author&gt;&lt;author&gt;Hu, C.&lt;/author&gt;&lt;author&gt;Jiang, J.&lt;/author&gt;&lt;author&gt;Li, Y.&lt;/author&gt;&lt;author&gt;Peng, Z.&lt;/author&gt;&lt;/authors&gt;&lt;/contributors&gt;&lt;titles&gt;&lt;title&gt;ROS-induced lipid peroxidation modulates cell death outcome: mechanisms behind apoptosis, autophagy, and ferroptosis.&lt;/title&gt;&lt;secondary-title&gt;Arch Toxicol&lt;/secondary-title&gt;&lt;/titles&gt;&lt;periodical&gt;&lt;full-title&gt;Archives of toxicology&lt;/full-title&gt;&lt;/periodical&gt;&lt;pages&gt;1439-1451&lt;/pages&gt;&lt;volume&gt;97&lt;/volume&gt;&lt;number&gt;6&lt;/number&gt;&lt;dates&gt;&lt;year&gt;2023&lt;/year&gt;&lt;/dates&gt;&lt;isbn&gt;&lt;/isbn&gt;&lt;accession-num&gt;37127681&lt;/accession-num&gt;&lt;urls&gt;&lt;/urls&gt;&lt;custom2&gt;4167050&lt;/custom2&gt;&lt;electronic-resource-num&gt;10.1016/j.semcancer.2019.03.002&lt;/electronic-resource-num&gt;&lt;remote-database-provider&gt;NLM&lt;/remote-database-provider&gt;&lt;language&gt;eng&lt;/language&gt;&lt;/record&gt;&lt;/Cite&gt;&lt;Cite&gt;&lt;Author&gt;Ayala&lt;/Author&gt;&lt;Year&gt;2014&lt;/Year&gt;&lt;RecNum&gt;9113&lt;/RecNum&gt;&lt;DisplayText&gt; [12-15]&lt;/DisplayText&gt;&lt;record&gt;&lt;rec-number&gt;9113&lt;/rec-number&gt;&lt;foreign-keys&gt;&lt;key app="EN" db-id="codex-40refs" timestamp="1781575200"&gt;9113&lt;/key&gt;&lt;/foreign-keys&gt;&lt;ref-type name="Journal Article"&gt;17&lt;/ref-type&gt;&lt;contributors&gt;&lt;authors&gt;&lt;author&gt;Ayala, A.&lt;/author&gt;&lt;author&gt;Muñoz, MF.&lt;/author&gt;&lt;author&gt;Argüelles, S.&lt;/author&gt;&lt;/authors&gt;&lt;/contributors&gt;&lt;titles&gt;&lt;title&gt;Lipid peroxidation: production, metabolism, and signaling mechanisms of malondialdehyde and 4-hydroxy-2-nonenal.&lt;/title&gt;&lt;secondary-title&gt;Oxid Med Cell Longev&lt;/secondary-title&gt;&lt;/titles&gt;&lt;periodical&gt;&lt;full-title&gt;Oxidative medicine and cellular longevity&lt;/full-title&gt;&lt;/periodical&gt;&lt;pages&gt;360438&lt;/pages&gt;&lt;volume&gt;2014&lt;/volume&gt;&lt;number&gt;&lt;/number&gt;&lt;dates&gt;&lt;year&gt;2014&lt;/year&gt;&lt;/dates&gt;&lt;isbn&gt;&lt;/isbn&gt;&lt;accession-num&gt;24999379&lt;/accession-num&gt;&lt;urls&gt;&lt;/urls&gt;&lt;custom2&gt;PMC3625229&lt;/custom2&gt;&lt;electronic-resource-num&gt;10.1155/2014/360438&lt;/electronic-resource-num&gt;&lt;remote-database-provider&gt;NLM&lt;/remote-database-provider&gt;&lt;language&gt;eng&lt;/language&gt;&lt;/record&gt;&lt;/Cite&gt;&lt;Cite&gt;&lt;Author&gt;Barrera&lt;/Author&gt;&lt;Year&gt;2018&lt;/Year&gt;&lt;RecNum&gt;9114&lt;/RecNum&gt;&lt;DisplayText&gt; [12-15]&lt;/DisplayText&gt;&lt;record&gt;&lt;rec-number&gt;9114&lt;/rec-number&gt;&lt;foreign-keys&gt;&lt;key app="EN" db-id="codex-40refs" timestamp="1781575200"&gt;9114&lt;/key&gt;&lt;/foreign-keys&gt;&lt;ref-type name="Journal Article"&gt;17&lt;/ref-type&gt;&lt;contributors&gt;&lt;authors&gt;&lt;author&gt;Barrera, G.&lt;/author&gt;&lt;author&gt;Pizzimenti, S.&lt;/author&gt;&lt;author&gt;Daga, M.&lt;/author&gt;&lt;author&gt;Dianzani, C.&lt;/author&gt;&lt;author&gt;Arcaro, A.&lt;/author&gt;&lt;author&gt;Cetrangolo, GP.&lt;/author&gt;&lt;author&gt;Giordano, G.&lt;/author&gt;&lt;author&gt;Cucci, MA.&lt;/author&gt;&lt;author&gt;Graf, M.&lt;/author&gt;&lt;author&gt;Gentile, F.&lt;/author&gt;&lt;/authors&gt;&lt;/contributors&gt;&lt;titles&gt;&lt;title&gt;Lipid Peroxidation-Derived Aldehydes, 4-Hydroxynonenal and Malondialdehyde in Aging-Related Disorders.&lt;/title&gt;&lt;secondary-title&gt;Antioxidants (Basel)&lt;/secondary-title&gt;&lt;/titles&gt;&lt;periodical&gt;&lt;full-title&gt;Antioxidants (Basel, Switzerland)&lt;/full-title&gt;&lt;/periodical&gt;&lt;pages&gt;102&lt;/pages&gt;&lt;volume&gt;7&lt;/volume&gt;&lt;number&gt;8&lt;/number&gt;&lt;dates&gt;&lt;year&gt;2018&lt;/year&gt;&lt;/dates&gt;&lt;isbn&gt;&lt;/isbn&gt;&lt;accession-num&gt;30061536&lt;/accession-num&gt;&lt;urls&gt;&lt;/urls&gt;&lt;custom2&gt;PMC3549369&lt;/custom2&gt;&lt;electronic-resource-num&gt;10.1155/2012/670294&lt;/electronic-resource-num&gt;&lt;remote-database-provider&gt;NLM&lt;/remote-database-provider&gt;&lt;language&gt;eng&lt;/language&gt;&lt;/record&gt;&lt;/Cite&gt;&lt;Cite&gt;&lt;Author&gt;Breitzig&lt;/Author&gt;&lt;Year&gt;2016&lt;/Year&gt;&lt;RecNum&gt;9115&lt;/RecNum&gt;&lt;DisplayText&gt; [12-15]&lt;/DisplayText&gt;&lt;record&gt;&lt;rec-number&gt;9115&lt;/rec-number&gt;&lt;foreign-keys&gt;&lt;key app="EN" db-id="codex-40refs" timestamp="1781575200"&gt;9115&lt;/key&gt;&lt;/foreign-keys&gt;&lt;ref-type name="Journal Article"&gt;17&lt;/ref-type&gt;&lt;contributors&gt;&lt;authors&gt;&lt;author&gt;Breitzig, M.&lt;/author&gt;&lt;author&gt;Bhimineni, C.&lt;/author&gt;&lt;author&gt;Lockey, R.&lt;/author&gt;&lt;author&gt;Kolliputi, N.&lt;/author&gt;&lt;/authors&gt;&lt;/contributors&gt;&lt;titles&gt;&lt;title&gt;4-Hydroxy-2-nonenal: a critical target in oxidative stress?&lt;/title&gt;&lt;secondary-title&gt;Am J Physiol Cell Physiol&lt;/secondary-title&gt;&lt;/titles&gt;&lt;periodical&gt;&lt;full-title&gt;American journal of physiology. Cell physiology&lt;/full-title&gt;&lt;/periodical&gt;&lt;pages&gt;C537-C543&lt;/pages&gt;&lt;volume&gt;311&lt;/volume&gt;&lt;number&gt;4&lt;/number&gt;&lt;dates&gt;&lt;year&gt;2016&lt;/year&gt;&lt;/dates&gt;&lt;isbn&gt;&lt;/isbn&gt;&lt;accession-num&gt;27385721&lt;/accession-num&gt;&lt;urls&gt;&lt;/urls&gt;&lt;custom2&gt;PMC4803793&lt;/custom2&gt;&lt;electronic-resource-num&gt;10.1152/ajpcell.00101.2016&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[12-15]</w:t>
      </w:r>
      <w:r>
        <w:rPr>
          <w:rFonts w:ascii="Times New Roman" w:hAnsi="Times New Roman" w:cs="Times New Roman"/>
        </w:rPr>
        <w:fldChar w:fldCharType="end"/>
      </w:r>
      <w:r>
        <w:rPr>
          <w:rFonts w:ascii="Times New Roman" w:hAnsi="Times New Roman" w:cs="Times New Roman"/>
        </w:rPr>
        <w:t xml:space="preserve">. </w:t>
      </w:r>
      <w:r w:rsidR="00C355AE" w:rsidRPr="00C355AE">
        <w:rPr>
          <w:rFonts w:ascii="Times New Roman" w:hAnsi="Times New Roman" w:cs="Times New Roman"/>
        </w:rPr>
        <w:t>Sixth</w:t>
      </w:r>
      <w:r>
        <w:rPr>
          <w:rFonts w:ascii="Times New Roman" w:hAnsi="Times New Roman" w:cs="Times New Roman"/>
        </w:rPr>
        <w:t>, BAX provided only directional apoptosis-associated support because the number of valid CoCl₂ lanes was limited</w:t>
      </w:r>
      <w:r>
        <w:rPr>
          <w:rFonts w:ascii="Times New Roman" w:hAnsi="Times New Roman" w:cs="Times New Roman"/>
        </w:rPr>
        <w:fldChar w:fldCharType="begin"/>
      </w:r>
      <w:r>
        <w:rPr>
          <w:rFonts w:ascii="Times New Roman" w:hAnsi="Times New Roman" w:cs="Times New Roman"/>
        </w:rPr>
        <w:instrText xml:space="preserve"> ADDIN EN.CITE &lt;EndNote&gt;&lt;Cite&gt;&lt;Author&gt;Spitz&lt;/Author&gt;&lt;Year&gt;2022&lt;/Year&gt;&lt;RecNum&gt;9140&lt;/RecNum&gt;&lt;DisplayText&gt; [40]&lt;/DisplayText&gt;&lt;record&gt;&lt;rec-number&gt;9140&lt;/rec-number&gt;&lt;foreign-keys&gt;&lt;key app="EN" db-id="codex-40refs" timestamp="1781575200"&gt;9140&lt;/key&gt;&lt;/foreign-keys&gt;&lt;ref-type name="Journal Article"&gt;17&lt;/ref-type&gt;&lt;contributors&gt;&lt;authors&gt;&lt;author&gt;Spitz, AZ.&lt;/author&gt;&lt;author&gt;Gavathiotis, E.&lt;/author&gt;&lt;/authors&gt;&lt;/contributors&gt;&lt;titles&gt;&lt;title&gt;Physiological and pharmacological modulation of BAX.&lt;/title&gt;&lt;secondary-title&gt;Trends Pharmacol Sci&lt;/secondary-title&gt;&lt;/titles&gt;&lt;periodical&gt;&lt;full-title&gt;Trends in pharmacological sciences&lt;/full-title&gt;&lt;/periodical&gt;&lt;pages&gt;206-220&lt;/pages&gt;&lt;volume&gt;43&lt;/volume&gt;&lt;number&gt;3&lt;/number&gt;&lt;dates&gt;&lt;year&gt;2022&lt;/year&gt;&lt;/dates&gt;&lt;isbn&gt;&lt;/isbn&gt;&lt;accession-num&gt;34848097&lt;/accession-num&gt;&lt;urls&gt;&lt;/urls&gt;&lt;custom2&gt;PMC4691890&lt;/custom2&gt;&lt;electronic-resource-num&gt;10.1126/science.aao6047&lt;/electronic-resource-num&gt;&lt;remote-database-provider&gt;NLM&lt;/remote-database-provider&gt;&lt;language&gt;eng&lt;/language&gt;&lt;/record&gt;&lt;/Cite&gt;&lt;/EndNote&gt; </w:instrText>
      </w:r>
      <w:r>
        <w:rPr>
          <w:rFonts w:ascii="Times New Roman" w:hAnsi="Times New Roman" w:cs="Times New Roman"/>
        </w:rPr>
        <w:fldChar w:fldCharType="separate"/>
      </w:r>
      <w:r>
        <w:rPr>
          <w:rFonts w:ascii="Times New Roman" w:hAnsi="Times New Roman" w:cs="Times New Roman"/>
        </w:rPr>
        <w:t xml:space="preserve"> [40]</w:t>
      </w:r>
      <w:r>
        <w:rPr>
          <w:rFonts w:ascii="Times New Roman" w:hAnsi="Times New Roman" w:cs="Times New Roman"/>
        </w:rPr>
        <w:fldChar w:fldCharType="end"/>
      </w:r>
      <w:r>
        <w:rPr>
          <w:rFonts w:ascii="Times New Roman" w:hAnsi="Times New Roman" w:cs="Times New Roman"/>
        </w:rPr>
        <w:t>. Finally, Alda-1 and Daidzin were used as selected in vitro working concentrations, and the present results do not establish optimized therapeutic doses or directly translatable intraocular dosing regimens.</w:t>
      </w:r>
      <w:r w:rsidR="00A66008">
        <w:rPr>
          <w:rFonts w:ascii="Times New Roman" w:hAnsi="Times New Roman" w:cs="Times New Roman"/>
        </w:rPr>
        <w:t xml:space="preserve"> </w:t>
      </w:r>
      <w:r w:rsidR="00A66008" w:rsidRPr="00A66008">
        <w:rPr>
          <w:rFonts w:ascii="Times New Roman" w:hAnsi="Times New Roman" w:cs="Times New Roman"/>
        </w:rPr>
        <w:t>Accordingly, the present model should be interpreted as a CoCl₂-induced hypoxia-related injury phenotype rather than a fully validated hypoxia-specific or non-cytotoxic model.</w:t>
      </w:r>
    </w:p>
    <w:p w14:paraId="290067AB" w14:textId="150317A9" w:rsidR="009F093C" w:rsidRDefault="009F093C" w:rsidP="009F093C">
      <w:pPr>
        <w:jc w:val="both"/>
        <w:rPr>
          <w:rFonts w:ascii="Times New Roman" w:hAnsi="Times New Roman" w:cs="Times New Roman"/>
          <w:b/>
          <w:bCs/>
        </w:rPr>
      </w:pPr>
      <w:r w:rsidRPr="009F093C">
        <w:rPr>
          <w:rFonts w:ascii="Times New Roman" w:hAnsi="Times New Roman" w:cs="Times New Roman" w:hint="eastAsia"/>
          <w:b/>
          <w:bCs/>
        </w:rPr>
        <w:t>C</w:t>
      </w:r>
      <w:r w:rsidRPr="009F093C">
        <w:rPr>
          <w:rFonts w:ascii="Times New Roman" w:hAnsi="Times New Roman" w:cs="Times New Roman"/>
          <w:b/>
          <w:bCs/>
        </w:rPr>
        <w:t>onclusion</w:t>
      </w:r>
      <w:r w:rsidR="00F5467E">
        <w:rPr>
          <w:rFonts w:ascii="Times New Roman" w:hAnsi="Times New Roman" w:cs="Times New Roman" w:hint="eastAsia"/>
          <w:b/>
          <w:bCs/>
        </w:rPr>
        <w:t>s</w:t>
      </w:r>
    </w:p>
    <w:p w14:paraId="0F95CD70" w14:textId="14E85D2A" w:rsidR="009E4774" w:rsidRDefault="00301965" w:rsidP="00944015">
      <w:pPr>
        <w:jc w:val="both"/>
        <w:rPr>
          <w:rFonts w:ascii="Times New Roman" w:hAnsi="Times New Roman" w:cs="Times New Roman"/>
        </w:rPr>
      </w:pPr>
      <w:r w:rsidRPr="00301965">
        <w:rPr>
          <w:rFonts w:ascii="Times New Roman" w:hAnsi="Times New Roman" w:cs="Times New Roman"/>
        </w:rPr>
        <w:t>In conclusion, CoCl₂ induced a concentration- and time-dependent hypoxia-related and aldehyde-associated RPE injury phenotype characterized by impaired wound recovery, morphological deterioration, and late-stage reductions in the CCK-8 metabolic signal at higher concentrations, together with early HIF-1α activation, reduced ALDH2 protein abundance, and extracellular 4-HNE/VEGF-A elevation. Alda-1 improved wound recovery and increased ALDH2 protein abundance, whereas Daidzin aggravated wound-recovery impairment under sustained CoCl₂ stress. These findings support ALDH2-associated aldehyde-detoxifying defense as a modulatory component of hypoxia-related RPE stress responses</w:t>
      </w:r>
      <w:r w:rsidR="009F093C" w:rsidRPr="009F093C">
        <w:rPr>
          <w:rFonts w:ascii="Times New Roman" w:hAnsi="Times New Roman" w:cs="Times New Roman"/>
        </w:rPr>
        <w:t>.</w:t>
      </w:r>
    </w:p>
    <w:p w14:paraId="00F6EBA7" w14:textId="77777777" w:rsidR="008473EA" w:rsidRPr="000045F3" w:rsidRDefault="00F12FC2" w:rsidP="00944015">
      <w:pPr>
        <w:jc w:val="both"/>
        <w:rPr>
          <w:rFonts w:ascii="Times New Roman" w:hAnsi="Times New Roman" w:cs="Times New Roman"/>
          <w:b/>
        </w:rPr>
      </w:pPr>
      <w:r w:rsidRPr="000045F3">
        <w:rPr>
          <w:rFonts w:ascii="Times New Roman" w:hAnsi="Times New Roman" w:cs="Times New Roman"/>
          <w:b/>
        </w:rPr>
        <w:t>Competing interests</w:t>
      </w:r>
    </w:p>
    <w:p w14:paraId="1BBB0E5B" w14:textId="77777777" w:rsidR="008473EA" w:rsidRPr="000045F3" w:rsidRDefault="00F12FC2" w:rsidP="00944015">
      <w:pPr>
        <w:ind w:firstLineChars="200" w:firstLine="440"/>
        <w:jc w:val="both"/>
        <w:rPr>
          <w:rFonts w:ascii="Times New Roman" w:hAnsi="Times New Roman" w:cs="Times New Roman"/>
          <w:b/>
        </w:rPr>
      </w:pPr>
      <w:r w:rsidRPr="000045F3">
        <w:rPr>
          <w:rFonts w:ascii="Times New Roman" w:hAnsi="Times New Roman" w:cs="Times New Roman"/>
        </w:rPr>
        <w:t>The authors declared no potential conflicts of interest regarding the research, authorship, or publication of this article.</w:t>
      </w:r>
    </w:p>
    <w:p w14:paraId="722284BC" w14:textId="77777777" w:rsidR="008473EA" w:rsidRPr="000045F3" w:rsidRDefault="00F12FC2" w:rsidP="00944015">
      <w:pPr>
        <w:jc w:val="both"/>
        <w:rPr>
          <w:rFonts w:ascii="Times New Roman" w:hAnsi="Times New Roman" w:cs="Times New Roman"/>
          <w:b/>
        </w:rPr>
      </w:pPr>
      <w:r w:rsidRPr="000045F3">
        <w:rPr>
          <w:rFonts w:ascii="Times New Roman" w:hAnsi="Times New Roman" w:cs="Times New Roman"/>
          <w:b/>
        </w:rPr>
        <w:t>Funding</w:t>
      </w:r>
    </w:p>
    <w:p w14:paraId="52A34A78" w14:textId="7FB0EDFB" w:rsidR="00D373B1" w:rsidRDefault="00F12FC2" w:rsidP="00D373B1">
      <w:pPr>
        <w:ind w:firstLineChars="200" w:firstLine="440"/>
        <w:jc w:val="both"/>
        <w:rPr>
          <w:rFonts w:ascii="Times New Roman" w:hAnsi="Times New Roman" w:cs="Times New Roman"/>
          <w:b/>
          <w:bCs/>
        </w:rPr>
      </w:pPr>
      <w:r w:rsidRPr="000045F3">
        <w:rPr>
          <w:rFonts w:ascii="Times New Roman" w:hAnsi="Times New Roman" w:cs="Times New Roman"/>
        </w:rPr>
        <w:t>This work was supported by the grants from the Joint Funds for the innovation of science and Technology, Fujian province (No. 2024Y9653), the Natural Science Foundation of Fujian Province, China (No.2024J011148), the National Natural Science Foundation of China (No. 82301245), and the Postdoctoral Science Foundation of the Fuzhou General Hospital (Grant number: 48678).</w:t>
      </w:r>
      <w:r w:rsidRPr="000045F3">
        <w:rPr>
          <w:rFonts w:ascii="Times New Roman" w:hAnsi="Times New Roman" w:cs="Times New Roman"/>
        </w:rPr>
        <w:cr/>
      </w:r>
      <w:r w:rsidR="00D373B1" w:rsidRPr="00D373B1">
        <w:rPr>
          <w:rFonts w:ascii="Times New Roman" w:hAnsi="Times New Roman" w:cs="Times New Roman"/>
          <w:b/>
          <w:bCs/>
        </w:rPr>
        <w:t>Ethics, Consent to Participate, and Consent to Publish declarations</w:t>
      </w:r>
    </w:p>
    <w:p w14:paraId="41A6A8D3" w14:textId="10D979CD" w:rsidR="00D373B1" w:rsidRDefault="00D373B1" w:rsidP="00D373B1">
      <w:pPr>
        <w:ind w:firstLineChars="200" w:firstLine="440"/>
        <w:jc w:val="both"/>
        <w:rPr>
          <w:rFonts w:ascii="Times New Roman" w:hAnsi="Times New Roman" w:cs="Times New Roman"/>
        </w:rPr>
      </w:pPr>
      <w:r w:rsidRPr="00D373B1">
        <w:rPr>
          <w:rFonts w:ascii="Times New Roman" w:hAnsi="Times New Roman" w:cs="Times New Roman"/>
        </w:rPr>
        <w:t>Not applicable.</w:t>
      </w:r>
    </w:p>
    <w:p w14:paraId="314B172C" w14:textId="346CF297" w:rsidR="008473EA" w:rsidRPr="00D373B1" w:rsidRDefault="00F12FC2" w:rsidP="00D373B1">
      <w:pPr>
        <w:jc w:val="both"/>
        <w:rPr>
          <w:rFonts w:ascii="Times New Roman" w:hAnsi="Times New Roman" w:cs="Times New Roman"/>
        </w:rPr>
      </w:pPr>
      <w:r w:rsidRPr="000045F3">
        <w:rPr>
          <w:rFonts w:ascii="Times New Roman" w:hAnsi="Times New Roman" w:cs="Times New Roman"/>
          <w:b/>
        </w:rPr>
        <w:t>Data availability statement</w:t>
      </w:r>
      <w:r w:rsidRPr="000045F3">
        <w:rPr>
          <w:rFonts w:ascii="Times New Roman" w:hAnsi="Times New Roman" w:cs="Times New Roman"/>
          <w:b/>
        </w:rPr>
        <w:cr/>
        <w:t xml:space="preserve">   </w:t>
      </w:r>
      <w:r w:rsidRPr="000045F3">
        <w:rPr>
          <w:rFonts w:ascii="Times New Roman" w:hAnsi="Times New Roman" w:cs="Times New Roman"/>
        </w:rPr>
        <w:t>The datasets used and/or analyzed during the current study were available from the corresponding author on reasonable request.</w:t>
      </w:r>
    </w:p>
    <w:p w14:paraId="28C4C063" w14:textId="77777777" w:rsidR="008473EA" w:rsidRPr="000045F3" w:rsidRDefault="00F12FC2" w:rsidP="00944015">
      <w:pPr>
        <w:jc w:val="both"/>
        <w:rPr>
          <w:rFonts w:ascii="Times New Roman" w:hAnsi="Times New Roman" w:cs="Times New Roman"/>
          <w:b/>
        </w:rPr>
      </w:pPr>
      <w:r w:rsidRPr="000045F3">
        <w:rPr>
          <w:rFonts w:ascii="Times New Roman" w:hAnsi="Times New Roman" w:cs="Times New Roman"/>
          <w:b/>
        </w:rPr>
        <w:lastRenderedPageBreak/>
        <w:t>Acknowledgements</w:t>
      </w:r>
    </w:p>
    <w:p w14:paraId="1F1561CB" w14:textId="77777777" w:rsidR="00F6046E" w:rsidRDefault="00F12FC2" w:rsidP="00944015">
      <w:pPr>
        <w:autoSpaceDE w:val="0"/>
        <w:autoSpaceDN w:val="0"/>
        <w:adjustRightInd w:val="0"/>
        <w:spacing w:after="0" w:line="240" w:lineRule="auto"/>
        <w:jc w:val="both"/>
        <w:rPr>
          <w:rFonts w:ascii="Times New Roman" w:hAnsi="Times New Roman" w:cs="Times New Roman"/>
        </w:rPr>
      </w:pPr>
      <w:r w:rsidRPr="000045F3">
        <w:rPr>
          <w:rFonts w:ascii="Times New Roman" w:hAnsi="Times New Roman" w:cs="Times New Roman"/>
          <w:b/>
        </w:rPr>
        <w:t xml:space="preserve">   </w:t>
      </w:r>
      <w:r w:rsidRPr="000045F3">
        <w:rPr>
          <w:rFonts w:ascii="Times New Roman" w:hAnsi="Times New Roman" w:cs="Times New Roman"/>
        </w:rPr>
        <w:t xml:space="preserve">We </w:t>
      </w:r>
      <w:r w:rsidR="008A2006">
        <w:rPr>
          <w:rFonts w:ascii="Times New Roman" w:hAnsi="Times New Roman" w:cs="Times New Roman" w:hint="eastAsia"/>
        </w:rPr>
        <w:t>we</w:t>
      </w:r>
      <w:r w:rsidRPr="000045F3">
        <w:rPr>
          <w:rFonts w:ascii="Times New Roman" w:hAnsi="Times New Roman" w:cs="Times New Roman"/>
        </w:rPr>
        <w:t>re deeply grateful to our families for their unwavering support and constant encouragement throughout this study. At the same time, we sincerely appreciate</w:t>
      </w:r>
      <w:r w:rsidR="008A2006">
        <w:rPr>
          <w:rFonts w:ascii="Times New Roman" w:hAnsi="Times New Roman" w:cs="Times New Roman" w:hint="eastAsia"/>
        </w:rPr>
        <w:t>d</w:t>
      </w:r>
      <w:r w:rsidRPr="000045F3">
        <w:rPr>
          <w:rFonts w:ascii="Times New Roman" w:hAnsi="Times New Roman" w:cs="Times New Roman"/>
        </w:rPr>
        <w:t xml:space="preserve"> the invaluable experimental assistance provided by the public experimental platform of our institution, especially Prof. Ying Tang and Dr. Jiyuan Su.</w:t>
      </w:r>
    </w:p>
    <w:p w14:paraId="7477120F" w14:textId="36E551D0" w:rsidR="00513C07" w:rsidRDefault="00513C07" w:rsidP="00944015">
      <w:pPr>
        <w:jc w:val="both"/>
        <w:rPr>
          <w:rFonts w:ascii="Times New Roman" w:hAnsi="Times New Roman" w:cs="Times New Roman"/>
        </w:rPr>
      </w:pPr>
    </w:p>
    <w:p w14:paraId="16FCC4B6" w14:textId="564BFBF7" w:rsidR="00513C07" w:rsidRPr="004F539A" w:rsidRDefault="004F539A" w:rsidP="00944015">
      <w:pPr>
        <w:jc w:val="both"/>
        <w:rPr>
          <w:rFonts w:ascii="Times New Roman" w:hAnsi="Times New Roman" w:cs="Times New Roman"/>
          <w:b/>
          <w:bCs/>
        </w:rPr>
      </w:pPr>
      <w:r w:rsidRPr="004F539A">
        <w:rPr>
          <w:rFonts w:ascii="Times New Roman" w:hAnsi="Times New Roman" w:cs="Times New Roman" w:hint="eastAsia"/>
          <w:b/>
          <w:bCs/>
        </w:rPr>
        <w:t>Reference</w:t>
      </w:r>
    </w:p>
    <w:p w14:paraId="7A1325F2" w14:textId="77777777" w:rsidR="004B7DE5" w:rsidRDefault="00BB3523" w:rsidP="00344A16">
      <w:pPr>
        <w:pStyle w:val="EndNoteBibliography"/>
        <w:spacing w:after="0"/>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tab/>
        <w:t>Yang S, Zhou J, Li D. Functions and Diseases of the Retinal Pigment Epithelium. Front Pharmacol. 2021;12:727870.</w:t>
      </w:r>
    </w:p>
    <w:p w14:paraId="4BA3BF15" w14:textId="77777777" w:rsidR="004B7DE5" w:rsidRDefault="00BB3523" w:rsidP="00344A16">
      <w:pPr>
        <w:pStyle w:val="EndNoteBibliography"/>
        <w:spacing w:after="0"/>
      </w:pPr>
      <w:r>
        <w:rPr>
          <w:rFonts w:ascii="Times New Roman" w:hAnsi="Times New Roman" w:cs="Times New Roman"/>
        </w:rPr>
        <w:t>2.</w:t>
      </w:r>
      <w:r>
        <w:rPr>
          <w:rFonts w:ascii="Times New Roman" w:hAnsi="Times New Roman" w:cs="Times New Roman"/>
        </w:rPr>
        <w:tab/>
        <w:t>Strauss O. The retinal pigment epithelium in visual function. Physiol Rev. 2005;85(3):845-81.</w:t>
      </w:r>
    </w:p>
    <w:p w14:paraId="63E6605E" w14:textId="77777777" w:rsidR="004B7DE5" w:rsidRDefault="00BB3523" w:rsidP="00344A16">
      <w:pPr>
        <w:pStyle w:val="EndNoteBibliography"/>
        <w:spacing w:after="0"/>
      </w:pPr>
      <w:r>
        <w:rPr>
          <w:rFonts w:ascii="Times New Roman" w:hAnsi="Times New Roman" w:cs="Times New Roman"/>
        </w:rPr>
        <w:t>3.</w:t>
      </w:r>
      <w:r>
        <w:rPr>
          <w:rFonts w:ascii="Times New Roman" w:hAnsi="Times New Roman" w:cs="Times New Roman"/>
        </w:rPr>
        <w:tab/>
        <w:t>Caceres PS, Rodriguez-Boulan E. Retinal pigment epithelium polarity in health and blinding diseases. Curr Opin Cell Biol. 2020;62:37-45.</w:t>
      </w:r>
    </w:p>
    <w:p w14:paraId="180BEAE4" w14:textId="77777777" w:rsidR="004B7DE5" w:rsidRDefault="00BB3523" w:rsidP="00344A16">
      <w:pPr>
        <w:pStyle w:val="EndNoteBibliography"/>
        <w:spacing w:after="0"/>
      </w:pPr>
      <w:r>
        <w:rPr>
          <w:rFonts w:ascii="Times New Roman" w:hAnsi="Times New Roman" w:cs="Times New Roman"/>
        </w:rPr>
        <w:t>4.</w:t>
      </w:r>
      <w:r>
        <w:rPr>
          <w:rFonts w:ascii="Times New Roman" w:hAnsi="Times New Roman" w:cs="Times New Roman"/>
        </w:rPr>
        <w:tab/>
        <w:t>Markitantova Y, Simirskii V. Retinal Pigment Epithelium Under Oxidative Stress: Chaperoning Autophagy and Beyond. Int J Mol Sci. 2025;26(3):1193.</w:t>
      </w:r>
    </w:p>
    <w:p w14:paraId="1C3EE028" w14:textId="77777777" w:rsidR="004B7DE5" w:rsidRDefault="00BB3523" w:rsidP="00344A16">
      <w:pPr>
        <w:pStyle w:val="EndNoteBibliography"/>
        <w:spacing w:after="0"/>
      </w:pPr>
      <w:r>
        <w:rPr>
          <w:rFonts w:ascii="Times New Roman" w:hAnsi="Times New Roman" w:cs="Times New Roman"/>
        </w:rPr>
        <w:t>5.</w:t>
      </w:r>
      <w:r>
        <w:rPr>
          <w:rFonts w:ascii="Times New Roman" w:hAnsi="Times New Roman" w:cs="Times New Roman"/>
        </w:rPr>
        <w:tab/>
        <w:t>Kulbay M, Wu KY, Nirwal GK, Bélanger P, Tran SD. The Role of Reactive Oxygen Species in Age-Related Macular Degeneration: A Comprehensive Review of Antioxidant Therapies. Biomedicines. 2024;12(7):1579.</w:t>
      </w:r>
    </w:p>
    <w:p w14:paraId="332A2244" w14:textId="77777777" w:rsidR="004B7DE5" w:rsidRDefault="00BB3523" w:rsidP="00344A16">
      <w:pPr>
        <w:pStyle w:val="EndNoteBibliography"/>
        <w:spacing w:after="0"/>
      </w:pPr>
      <w:r>
        <w:rPr>
          <w:rFonts w:ascii="Times New Roman" w:hAnsi="Times New Roman" w:cs="Times New Roman"/>
        </w:rPr>
        <w:t>6.</w:t>
      </w:r>
      <w:r>
        <w:rPr>
          <w:rFonts w:ascii="Times New Roman" w:hAnsi="Times New Roman" w:cs="Times New Roman"/>
        </w:rPr>
        <w:tab/>
        <w:t>Zhang SM, Fan B, Li YL, Zuo ZY, Li GY. Oxidative Stress-Involved Mitophagy of Retinal Pigment Epithelium and Retinal Degenerative Diseases. Cell Mol Neurobiol. 2023;43(7):3265-3276.</w:t>
      </w:r>
    </w:p>
    <w:p w14:paraId="72716C55" w14:textId="77777777" w:rsidR="004B7DE5" w:rsidRDefault="00BB3523" w:rsidP="00344A16">
      <w:pPr>
        <w:pStyle w:val="EndNoteBibliography"/>
        <w:spacing w:after="0"/>
      </w:pPr>
      <w:r>
        <w:rPr>
          <w:rFonts w:ascii="Times New Roman" w:hAnsi="Times New Roman" w:cs="Times New Roman"/>
        </w:rPr>
        <w:t>7.</w:t>
      </w:r>
      <w:r>
        <w:rPr>
          <w:rFonts w:ascii="Times New Roman" w:hAnsi="Times New Roman" w:cs="Times New Roman"/>
        </w:rPr>
        <w:tab/>
        <w:t>Muñoz-Sánchez J, Chánez-Cárdenas ME. The use of cobalt chloride as a chemical hypoxia model. J Appl Toxicol. 2019;39(4):556-570.</w:t>
      </w:r>
    </w:p>
    <w:p w14:paraId="0455ECB9" w14:textId="77777777" w:rsidR="004B7DE5" w:rsidRDefault="00BB3523" w:rsidP="00344A16">
      <w:pPr>
        <w:pStyle w:val="EndNoteBibliography"/>
        <w:spacing w:after="0"/>
      </w:pPr>
      <w:r>
        <w:rPr>
          <w:rFonts w:ascii="Times New Roman" w:hAnsi="Times New Roman" w:cs="Times New Roman"/>
        </w:rPr>
        <w:t>8.</w:t>
      </w:r>
      <w:r>
        <w:rPr>
          <w:rFonts w:ascii="Times New Roman" w:hAnsi="Times New Roman" w:cs="Times New Roman"/>
        </w:rPr>
        <w:tab/>
        <w:t>Nowak-Stępniowska A, Osuchowska PN, Fiedorowicz H, Trafny EA. Insight in Hypoxia-Mimetic Agents as Potential Tools for Mesenchymal Stem Cell Priming in Regenerative Medicine. Stem Cells Int. 2022;2022:8775591.</w:t>
      </w:r>
    </w:p>
    <w:p w14:paraId="6F6721C9" w14:textId="77777777" w:rsidR="004B7DE5" w:rsidRDefault="00BB3523" w:rsidP="00344A16">
      <w:pPr>
        <w:pStyle w:val="EndNoteBibliography"/>
        <w:spacing w:after="0"/>
      </w:pPr>
      <w:r>
        <w:rPr>
          <w:rFonts w:ascii="Times New Roman" w:hAnsi="Times New Roman" w:cs="Times New Roman"/>
        </w:rPr>
        <w:t>9.</w:t>
      </w:r>
      <w:r>
        <w:rPr>
          <w:rFonts w:ascii="Times New Roman" w:hAnsi="Times New Roman" w:cs="Times New Roman"/>
        </w:rPr>
        <w:tab/>
        <w:t>Toragall V, Muzaffar JC, Baskaran V. Lutein loaded double-layered polymer nanocarrier modulate H2O2 and CoCl2 induced oxidative and hypoxia damage and angiogenic markers in ARPE-19 cells. Int J Biol Macromol. 2023;240:124378.</w:t>
      </w:r>
    </w:p>
    <w:p w14:paraId="62881F24" w14:textId="77777777" w:rsidR="004B7DE5" w:rsidRDefault="00BB3523" w:rsidP="00344A16">
      <w:pPr>
        <w:pStyle w:val="EndNoteBibliography"/>
        <w:spacing w:after="0"/>
      </w:pPr>
      <w:r>
        <w:rPr>
          <w:rFonts w:ascii="Times New Roman" w:hAnsi="Times New Roman" w:cs="Times New Roman"/>
        </w:rPr>
        <w:t>10.</w:t>
      </w:r>
      <w:r>
        <w:rPr>
          <w:rFonts w:ascii="Times New Roman" w:hAnsi="Times New Roman" w:cs="Times New Roman"/>
        </w:rPr>
        <w:tab/>
        <w:t>Yang Y, Liu M, Dong X, Bai J, Shi W, Zhu Q, et al. Naringin Suppresses CoCl2-Induced Ferroptosis in ARPE-19 Cells. Antioxidants (Basel). 2025;14(2):236.</w:t>
      </w:r>
    </w:p>
    <w:p w14:paraId="1B1FA37D" w14:textId="77777777" w:rsidR="004B7DE5" w:rsidRDefault="00BB3523" w:rsidP="00344A16">
      <w:pPr>
        <w:pStyle w:val="EndNoteBibliography"/>
        <w:spacing w:after="0"/>
      </w:pPr>
      <w:r>
        <w:rPr>
          <w:rFonts w:ascii="Times New Roman" w:hAnsi="Times New Roman" w:cs="Times New Roman"/>
        </w:rPr>
        <w:t>11.</w:t>
      </w:r>
      <w:r>
        <w:rPr>
          <w:rFonts w:ascii="Times New Roman" w:hAnsi="Times New Roman" w:cs="Times New Roman"/>
        </w:rPr>
        <w:tab/>
        <w:t>Henning Y, Blind US, Larafa S, Matschke J, Fandrey J. Hypoxia aggravates ferroptosis in RPE cells by promoting the Fenton reaction. Cell Death Dis. 2022;13(7):662.</w:t>
      </w:r>
    </w:p>
    <w:p w14:paraId="27CFAC1B" w14:textId="77777777" w:rsidR="004B7DE5" w:rsidRDefault="00BB3523" w:rsidP="00344A16">
      <w:pPr>
        <w:pStyle w:val="EndNoteBibliography"/>
        <w:spacing w:after="0"/>
      </w:pPr>
      <w:r>
        <w:rPr>
          <w:rFonts w:ascii="Times New Roman" w:hAnsi="Times New Roman" w:cs="Times New Roman"/>
        </w:rPr>
        <w:t>12.</w:t>
      </w:r>
      <w:r>
        <w:rPr>
          <w:rFonts w:ascii="Times New Roman" w:hAnsi="Times New Roman" w:cs="Times New Roman"/>
        </w:rPr>
        <w:tab/>
        <w:t>Wang B, Wang Y, Zhang J, Hu C, Jiang J, Li Y, et al. ROS-induced lipid peroxidation modulates cell death outcome: mechanisms behind apoptosis, autophagy, and ferroptosis. Arch Toxicol. 2023;97(6):1439-1451.</w:t>
      </w:r>
    </w:p>
    <w:p w14:paraId="650A5C67" w14:textId="77777777" w:rsidR="004B7DE5" w:rsidRDefault="00BB3523" w:rsidP="00344A16">
      <w:pPr>
        <w:pStyle w:val="EndNoteBibliography"/>
        <w:spacing w:after="0"/>
      </w:pPr>
      <w:r>
        <w:rPr>
          <w:rFonts w:ascii="Times New Roman" w:hAnsi="Times New Roman" w:cs="Times New Roman"/>
        </w:rPr>
        <w:t>13.</w:t>
      </w:r>
      <w:r>
        <w:rPr>
          <w:rFonts w:ascii="Times New Roman" w:hAnsi="Times New Roman" w:cs="Times New Roman"/>
        </w:rPr>
        <w:tab/>
        <w:t>Ayala A, Muñoz MF, Argüelles S. Lipid peroxidation: production, metabolism, and signaling mechanisms of malondialdehyde and 4-hydroxy-2-nonenal. Oxid Med Cell Longev. 2014;2014:360438.</w:t>
      </w:r>
    </w:p>
    <w:p w14:paraId="5987B807" w14:textId="77777777" w:rsidR="004B7DE5" w:rsidRDefault="00BB3523" w:rsidP="00344A16">
      <w:pPr>
        <w:pStyle w:val="EndNoteBibliography"/>
        <w:spacing w:after="0"/>
      </w:pPr>
      <w:r>
        <w:rPr>
          <w:rFonts w:ascii="Times New Roman" w:hAnsi="Times New Roman" w:cs="Times New Roman"/>
        </w:rPr>
        <w:t>14.</w:t>
      </w:r>
      <w:r>
        <w:rPr>
          <w:rFonts w:ascii="Times New Roman" w:hAnsi="Times New Roman" w:cs="Times New Roman"/>
        </w:rPr>
        <w:tab/>
        <w:t xml:space="preserve">Barrera G, Pizzimenti S, Daga M, Dianzani C, Arcaro A, Cetrangolo GP, et al. Lipid Peroxidation-Derived Aldehydes, 4-Hydroxynonenal and Malondialdehyde in Aging-Related </w:t>
      </w:r>
      <w:r>
        <w:rPr>
          <w:rFonts w:ascii="Times New Roman" w:hAnsi="Times New Roman" w:cs="Times New Roman"/>
        </w:rPr>
        <w:lastRenderedPageBreak/>
        <w:t>Disorders. Antioxidants (Basel). 2018;7(8):102.</w:t>
      </w:r>
    </w:p>
    <w:p w14:paraId="46ABD1DD" w14:textId="77777777" w:rsidR="004B7DE5" w:rsidRDefault="00BB3523" w:rsidP="00344A16">
      <w:pPr>
        <w:pStyle w:val="EndNoteBibliography"/>
        <w:spacing w:after="0"/>
      </w:pPr>
      <w:r>
        <w:rPr>
          <w:rFonts w:ascii="Times New Roman" w:hAnsi="Times New Roman" w:cs="Times New Roman"/>
        </w:rPr>
        <w:t>15.</w:t>
      </w:r>
      <w:r>
        <w:rPr>
          <w:rFonts w:ascii="Times New Roman" w:hAnsi="Times New Roman" w:cs="Times New Roman"/>
        </w:rPr>
        <w:tab/>
        <w:t>Breitzig M, Bhimineni C, Lockey R, Kolliputi N. 4-Hydroxy-2-nonenal: a critical target in oxidative stress? Am J Physiol Cell Physiol. 2016;311(4):C537-C543.</w:t>
      </w:r>
    </w:p>
    <w:p w14:paraId="489EE5A6" w14:textId="77777777" w:rsidR="004B7DE5" w:rsidRDefault="00BB3523" w:rsidP="00344A16">
      <w:pPr>
        <w:pStyle w:val="EndNoteBibliography"/>
        <w:spacing w:after="0"/>
      </w:pPr>
      <w:r>
        <w:rPr>
          <w:rFonts w:ascii="Times New Roman" w:hAnsi="Times New Roman" w:cs="Times New Roman"/>
        </w:rPr>
        <w:t>16.</w:t>
      </w:r>
      <w:r>
        <w:rPr>
          <w:rFonts w:ascii="Times New Roman" w:hAnsi="Times New Roman" w:cs="Times New Roman"/>
        </w:rPr>
        <w:tab/>
        <w:t>Jin J, Chang RS, Xu S, Xia G, Wong JMJ, Fang Y, et al. Aldehyde Dehydrogenase 2 Ameliorates LPS-Induced Acute Kidney Injury through Detoxification of 4-HNE and Suppression of the MAPK Pathway. J Immunol Res. 2023;2023:5513507.</w:t>
      </w:r>
    </w:p>
    <w:p w14:paraId="12DCED65" w14:textId="77777777" w:rsidR="004B7DE5" w:rsidRDefault="00BB3523" w:rsidP="00344A16">
      <w:pPr>
        <w:pStyle w:val="EndNoteBibliography"/>
        <w:spacing w:after="0"/>
      </w:pPr>
      <w:r>
        <w:rPr>
          <w:rFonts w:ascii="Times New Roman" w:hAnsi="Times New Roman" w:cs="Times New Roman"/>
        </w:rPr>
        <w:t>17.</w:t>
      </w:r>
      <w:r>
        <w:rPr>
          <w:rFonts w:ascii="Times New Roman" w:hAnsi="Times New Roman" w:cs="Times New Roman"/>
        </w:rPr>
        <w:tab/>
        <w:t>Deza-Ponzio R, Herrera ML, Bellini MJ, Virgolini MB, Hereñú CB. Aldehyde dehydrogenase 2 in the spotlight: The link between mitochondria and neurodegeneration. Neurotoxicology. 2018;68:19-24.</w:t>
      </w:r>
    </w:p>
    <w:p w14:paraId="408BF83C" w14:textId="77777777" w:rsidR="004B7DE5" w:rsidRDefault="00BB3523" w:rsidP="00344A16">
      <w:pPr>
        <w:pStyle w:val="EndNoteBibliography"/>
        <w:spacing w:after="0"/>
      </w:pPr>
      <w:r>
        <w:rPr>
          <w:rFonts w:ascii="Times New Roman" w:hAnsi="Times New Roman" w:cs="Times New Roman"/>
        </w:rPr>
        <w:t>18.</w:t>
      </w:r>
      <w:r>
        <w:rPr>
          <w:rFonts w:ascii="Times New Roman" w:hAnsi="Times New Roman" w:cs="Times New Roman"/>
        </w:rPr>
        <w:tab/>
        <w:t>He M, Long P, Chen T, Li K, Wei D, Zhang Y, et al. ALDH2/SIRT1 Contributes to Type 1 and Type 2 Diabetes-Induced Retinopathy through Depressing Oxidative Stress. Oxid Med Cell Longev. 2021;2021:1641717.</w:t>
      </w:r>
    </w:p>
    <w:p w14:paraId="54BEE6A5" w14:textId="77777777" w:rsidR="004B7DE5" w:rsidRDefault="00BB3523" w:rsidP="00344A16">
      <w:pPr>
        <w:pStyle w:val="EndNoteBibliography"/>
        <w:spacing w:after="0"/>
      </w:pPr>
      <w:r>
        <w:rPr>
          <w:rFonts w:ascii="Times New Roman" w:hAnsi="Times New Roman" w:cs="Times New Roman"/>
        </w:rPr>
        <w:t>19.</w:t>
      </w:r>
      <w:r>
        <w:rPr>
          <w:rFonts w:ascii="Times New Roman" w:hAnsi="Times New Roman" w:cs="Times New Roman"/>
        </w:rPr>
        <w:tab/>
        <w:t>Khan M, Qiao F, Kumar P, Touhidul Islam SM, Singh AK, Won J, et al. Neuroprotective effects of Alda-1 mitigate spinal cord injury in mice: involvement of Alda-1-induced ALDH2 activation-mediated suppression of reactive aldehyde mechanisms. Neural Regen Res. 2022;17(1):185-193.</w:t>
      </w:r>
    </w:p>
    <w:p w14:paraId="3AA32168" w14:textId="77777777" w:rsidR="004B7DE5" w:rsidRDefault="00BB3523" w:rsidP="00344A16">
      <w:pPr>
        <w:pStyle w:val="EndNoteBibliography"/>
        <w:spacing w:after="0"/>
      </w:pPr>
      <w:r>
        <w:rPr>
          <w:rFonts w:ascii="Times New Roman" w:hAnsi="Times New Roman" w:cs="Times New Roman"/>
        </w:rPr>
        <w:t>20.</w:t>
      </w:r>
      <w:r>
        <w:rPr>
          <w:rFonts w:ascii="Times New Roman" w:hAnsi="Times New Roman" w:cs="Times New Roman"/>
        </w:rPr>
        <w:tab/>
        <w:t>Diao M, Xu J, Wang J, Zhang M, Wu C, Hu X, et al. Alda-1, an Activator of ALDH2, Improves Postresuscitation Cardiac and Neurological Outcomes by Inhibiting Pyroptosis in Swine. Neurochem Res. 2022;47(4):1097-1109.</w:t>
      </w:r>
    </w:p>
    <w:p w14:paraId="1F4567FA" w14:textId="77777777" w:rsidR="004B7DE5" w:rsidRDefault="00BB3523" w:rsidP="00344A16">
      <w:pPr>
        <w:pStyle w:val="EndNoteBibliography"/>
        <w:spacing w:after="0"/>
      </w:pPr>
      <w:r>
        <w:rPr>
          <w:rFonts w:ascii="Times New Roman" w:hAnsi="Times New Roman" w:cs="Times New Roman"/>
        </w:rPr>
        <w:t>21.</w:t>
      </w:r>
      <w:r>
        <w:rPr>
          <w:rFonts w:ascii="Times New Roman" w:hAnsi="Times New Roman" w:cs="Times New Roman"/>
        </w:rPr>
        <w:tab/>
        <w:t>Perez-Miller S, Younus H, Vanam R, Chen CH, Mochly-Rosen D, Hurley TD. Alda-1 is an agonist and chemical chaperone for the common human aldehyde dehydrogenase 2 variant. Nat Struct Mol Biol. 2010;17(2):159-64.</w:t>
      </w:r>
    </w:p>
    <w:p w14:paraId="44B2A974" w14:textId="77777777" w:rsidR="004B7DE5" w:rsidRDefault="00BB3523" w:rsidP="00344A16">
      <w:pPr>
        <w:pStyle w:val="EndNoteBibliography"/>
        <w:spacing w:after="0"/>
      </w:pPr>
      <w:r>
        <w:rPr>
          <w:rFonts w:ascii="Times New Roman" w:hAnsi="Times New Roman" w:cs="Times New Roman"/>
        </w:rPr>
        <w:t>22.</w:t>
      </w:r>
      <w:r>
        <w:rPr>
          <w:rFonts w:ascii="Times New Roman" w:hAnsi="Times New Roman" w:cs="Times New Roman"/>
        </w:rPr>
        <w:tab/>
        <w:t>Keung WM, Vallee BL. Daidzin: a potent, selective inhibitor of human mitochondrial aldehyde dehydrogenase. Proc Natl Acad Sci U S A. 1993;90(4):1247-51.</w:t>
      </w:r>
    </w:p>
    <w:p w14:paraId="151B937F" w14:textId="77777777" w:rsidR="004B7DE5" w:rsidRDefault="00BB3523" w:rsidP="00344A16">
      <w:pPr>
        <w:pStyle w:val="EndNoteBibliography"/>
        <w:spacing w:after="0"/>
      </w:pPr>
      <w:r>
        <w:rPr>
          <w:rFonts w:ascii="Times New Roman" w:hAnsi="Times New Roman" w:cs="Times New Roman"/>
        </w:rPr>
        <w:t>23.</w:t>
      </w:r>
      <w:r>
        <w:rPr>
          <w:rFonts w:ascii="Times New Roman" w:hAnsi="Times New Roman" w:cs="Times New Roman"/>
        </w:rPr>
        <w:tab/>
        <w:t>da Silva Cunha TT, de Souza FR, de Sena Murteira Pinheiro P, de Sant'Anna CMR, Noël F, Costa França TC, et al. Investigating the Molecular Basis for the Selective Inhibition of Aldehyde Dehydrogenase 2 by the Isoflavonoid Daidzin. CNS Neurol Disord Drug Targets. 2020;19(6):437-447.</w:t>
      </w:r>
    </w:p>
    <w:p w14:paraId="5DF62622" w14:textId="77777777" w:rsidR="004B7DE5" w:rsidRDefault="00BB3523" w:rsidP="00344A16">
      <w:pPr>
        <w:pStyle w:val="EndNoteBibliography"/>
        <w:spacing w:after="0"/>
      </w:pPr>
      <w:r>
        <w:rPr>
          <w:rFonts w:ascii="Times New Roman" w:hAnsi="Times New Roman" w:cs="Times New Roman"/>
        </w:rPr>
        <w:t>24.</w:t>
      </w:r>
      <w:r>
        <w:rPr>
          <w:rFonts w:ascii="Times New Roman" w:hAnsi="Times New Roman" w:cs="Times New Roman"/>
        </w:rPr>
        <w:tab/>
        <w:t>Lowe ED, Gao GY, Johnson LN, Keung WM. Structure of daidzin, a naturally occurring anti-alcohol-addiction agent, in complex with human mitochondrial aldehyde dehydrogenase. J Med Chem. 2008;51(15):4482-7.</w:t>
      </w:r>
    </w:p>
    <w:p w14:paraId="4721CCA1" w14:textId="77777777" w:rsidR="004B7DE5" w:rsidRDefault="00BB3523" w:rsidP="00344A16">
      <w:pPr>
        <w:pStyle w:val="EndNoteBibliography"/>
        <w:spacing w:after="0"/>
      </w:pPr>
      <w:r>
        <w:rPr>
          <w:rFonts w:ascii="Times New Roman" w:hAnsi="Times New Roman" w:cs="Times New Roman"/>
        </w:rPr>
        <w:t>25.</w:t>
      </w:r>
      <w:r>
        <w:rPr>
          <w:rFonts w:ascii="Times New Roman" w:hAnsi="Times New Roman" w:cs="Times New Roman"/>
        </w:rPr>
        <w:tab/>
        <w:t>Jiang W, Chen J, Zhang P, Zheng N, Ma L, Zhang Y, et al. Repurposing Drugs for Inhibition against ALDH2 via a 2D/3D Ligand-Based Similarity Search and Molecular Simulation. Molecules. 2023;28(21):7325.</w:t>
      </w:r>
    </w:p>
    <w:p w14:paraId="76B41400" w14:textId="77777777" w:rsidR="004B7DE5" w:rsidRDefault="00BB3523" w:rsidP="00344A16">
      <w:pPr>
        <w:pStyle w:val="EndNoteBibliography"/>
        <w:spacing w:after="0"/>
      </w:pPr>
      <w:r>
        <w:rPr>
          <w:rFonts w:ascii="Times New Roman" w:hAnsi="Times New Roman" w:cs="Times New Roman"/>
        </w:rPr>
        <w:t>26.</w:t>
      </w:r>
      <w:r>
        <w:rPr>
          <w:rFonts w:ascii="Times New Roman" w:hAnsi="Times New Roman" w:cs="Times New Roman"/>
        </w:rPr>
        <w:tab/>
        <w:t>Dunn KC, Aotaki-Keen AE, Putkey FR, Hjelmeland LM. ARPE-19, a human retinal pigment epithelial cell line with differentiated properties. Exp Eye Res. 1996;62(2):155-69.</w:t>
      </w:r>
    </w:p>
    <w:p w14:paraId="75704A32" w14:textId="77777777" w:rsidR="004B7DE5" w:rsidRDefault="00BB3523" w:rsidP="00344A16">
      <w:pPr>
        <w:pStyle w:val="EndNoteBibliography"/>
        <w:spacing w:after="0"/>
      </w:pPr>
      <w:r>
        <w:rPr>
          <w:rFonts w:ascii="Times New Roman" w:hAnsi="Times New Roman" w:cs="Times New Roman"/>
        </w:rPr>
        <w:t>27.</w:t>
      </w:r>
      <w:r>
        <w:rPr>
          <w:rFonts w:ascii="Times New Roman" w:hAnsi="Times New Roman" w:cs="Times New Roman"/>
        </w:rPr>
        <w:tab/>
        <w:t>Pfeffer BA, Fliesler SJ. Reassessing the suitability of ARPE-19 cells as a valid model of native RPE biology. Exp Eye Res. 2022;219:109046.</w:t>
      </w:r>
    </w:p>
    <w:p w14:paraId="6FDB464A" w14:textId="77777777" w:rsidR="004B7DE5" w:rsidRDefault="00BB3523" w:rsidP="00344A16">
      <w:pPr>
        <w:pStyle w:val="EndNoteBibliography"/>
        <w:spacing w:after="0"/>
      </w:pPr>
      <w:r>
        <w:rPr>
          <w:rFonts w:ascii="Times New Roman" w:hAnsi="Times New Roman" w:cs="Times New Roman"/>
        </w:rPr>
        <w:t>28.</w:t>
      </w:r>
      <w:r>
        <w:rPr>
          <w:rFonts w:ascii="Times New Roman" w:hAnsi="Times New Roman" w:cs="Times New Roman"/>
        </w:rPr>
        <w:tab/>
        <w:t>Yang C, Yin D, Zhang H, Badea I, Yang SM, Zhang W. Cell Migration Assays and Their Application to Wound Healing Assays-A Critical Review. Micromachines (Basel). 2024;15(6):720.</w:t>
      </w:r>
    </w:p>
    <w:p w14:paraId="4A2474E6" w14:textId="77777777" w:rsidR="004B7DE5" w:rsidRDefault="00BB3523" w:rsidP="00344A16">
      <w:pPr>
        <w:pStyle w:val="EndNoteBibliography"/>
        <w:spacing w:after="0"/>
      </w:pPr>
      <w:r>
        <w:rPr>
          <w:rFonts w:ascii="Times New Roman" w:hAnsi="Times New Roman" w:cs="Times New Roman"/>
        </w:rPr>
        <w:t>29.</w:t>
      </w:r>
      <w:r>
        <w:rPr>
          <w:rFonts w:ascii="Times New Roman" w:hAnsi="Times New Roman" w:cs="Times New Roman"/>
        </w:rPr>
        <w:tab/>
        <w:t xml:space="preserve">Jonkman JE, Cathcart JA, Xu F, Bartolini ME, Amon JE, Stevens KM, et al. An introduction to the wound healing assay using live-cell microscopy. Cell Adh Migr. </w:t>
      </w:r>
      <w:r>
        <w:rPr>
          <w:rFonts w:ascii="Times New Roman" w:hAnsi="Times New Roman" w:cs="Times New Roman"/>
        </w:rPr>
        <w:lastRenderedPageBreak/>
        <w:t>2014;8(5):440-51.</w:t>
      </w:r>
    </w:p>
    <w:p w14:paraId="73A58AAC" w14:textId="77777777" w:rsidR="004B7DE5" w:rsidRDefault="00BB3523" w:rsidP="00344A16">
      <w:pPr>
        <w:pStyle w:val="EndNoteBibliography"/>
        <w:spacing w:after="0"/>
      </w:pPr>
      <w:r>
        <w:rPr>
          <w:rFonts w:ascii="Times New Roman" w:hAnsi="Times New Roman" w:cs="Times New Roman"/>
        </w:rPr>
        <w:t>30.</w:t>
      </w:r>
      <w:r>
        <w:rPr>
          <w:rFonts w:ascii="Times New Roman" w:hAnsi="Times New Roman" w:cs="Times New Roman"/>
        </w:rPr>
        <w:tab/>
        <w:t>Greene WA, Burke TA, Por ED, Kaini RR, Wang HC. Secretion Profile of Induced Pluripotent Stem Cell-Derived Retinal Pigment Epithelium During Wound Healing. Invest Ophthalmol Vis Sci. 2016;57(10):4428-4441.</w:t>
      </w:r>
    </w:p>
    <w:p w14:paraId="30C5D0A3" w14:textId="77777777" w:rsidR="004B7DE5" w:rsidRDefault="00BB3523" w:rsidP="00344A16">
      <w:pPr>
        <w:pStyle w:val="EndNoteBibliography"/>
        <w:spacing w:after="0"/>
      </w:pPr>
      <w:r>
        <w:rPr>
          <w:rFonts w:ascii="Times New Roman" w:hAnsi="Times New Roman" w:cs="Times New Roman"/>
        </w:rPr>
        <w:t>31.</w:t>
      </w:r>
      <w:r>
        <w:rPr>
          <w:rFonts w:ascii="Times New Roman" w:hAnsi="Times New Roman" w:cs="Times New Roman"/>
        </w:rPr>
        <w:tab/>
        <w:t>Schneider CA, Rasband WS, Eliceiri KW. NIH Image to ImageJ: 25 years of image analysis. Nat Methods. 2012;9(7):671-5.</w:t>
      </w:r>
    </w:p>
    <w:p w14:paraId="2FE1C346" w14:textId="77777777" w:rsidR="004B7DE5" w:rsidRDefault="00BB3523" w:rsidP="00344A16">
      <w:pPr>
        <w:pStyle w:val="EndNoteBibliography"/>
        <w:spacing w:after="0"/>
      </w:pPr>
      <w:r>
        <w:rPr>
          <w:rFonts w:ascii="Times New Roman" w:hAnsi="Times New Roman" w:cs="Times New Roman"/>
        </w:rPr>
        <w:t>32.</w:t>
      </w:r>
      <w:r>
        <w:rPr>
          <w:rFonts w:ascii="Times New Roman" w:hAnsi="Times New Roman" w:cs="Times New Roman"/>
        </w:rPr>
        <w:tab/>
        <w:t>Zhou SR, Zhu YS, Yuan WT, Pan XY, Wang T, Chen XD. Hepatocyte growth factor promotes retinal pigment epithelium cell activity through MET/AKT signaling pathway. Int J Ophthalmol. 2024;17(5):806-814.</w:t>
      </w:r>
    </w:p>
    <w:p w14:paraId="030D27E7" w14:textId="77777777" w:rsidR="004B7DE5" w:rsidRDefault="00BB3523" w:rsidP="00344A16">
      <w:pPr>
        <w:pStyle w:val="EndNoteBibliography"/>
        <w:spacing w:after="0"/>
      </w:pPr>
      <w:r>
        <w:rPr>
          <w:rFonts w:ascii="Times New Roman" w:hAnsi="Times New Roman" w:cs="Times New Roman"/>
        </w:rPr>
        <w:t>33.</w:t>
      </w:r>
      <w:r>
        <w:rPr>
          <w:rFonts w:ascii="Times New Roman" w:hAnsi="Times New Roman" w:cs="Times New Roman"/>
        </w:rPr>
        <w:tab/>
        <w:t>Chen Q, Tang L, Zhang Y, Wan C, Yu X, Dong Y, et al. STING up-regulates VEGF expression in oxidative stress-induced senescence of retinal pigment epithelium via NF-κB/HIF-1α pathway. Life Sci. 2022;293:120089.</w:t>
      </w:r>
    </w:p>
    <w:p w14:paraId="2AC089BC" w14:textId="77777777" w:rsidR="004B7DE5" w:rsidRDefault="00BB3523" w:rsidP="00344A16">
      <w:pPr>
        <w:pStyle w:val="EndNoteBibliography"/>
        <w:spacing w:after="0"/>
      </w:pPr>
      <w:r>
        <w:rPr>
          <w:rFonts w:ascii="Times New Roman" w:hAnsi="Times New Roman" w:cs="Times New Roman"/>
        </w:rPr>
        <w:t>34.</w:t>
      </w:r>
      <w:r>
        <w:rPr>
          <w:rFonts w:ascii="Times New Roman" w:hAnsi="Times New Roman" w:cs="Times New Roman"/>
        </w:rPr>
        <w:tab/>
        <w:t>Bahrami B, Shen W, Zhu L, Zhang T, Chang A, Gillies MC. Effects of VEGF inhibitors on human retinal pigment epithelium under high glucose and hypoxia. Clin Exp Ophthalmol. 2019;47(8):1074-1081.</w:t>
      </w:r>
    </w:p>
    <w:p w14:paraId="3770A959" w14:textId="77777777" w:rsidR="004B7DE5" w:rsidRDefault="00BB3523" w:rsidP="00344A16">
      <w:pPr>
        <w:pStyle w:val="EndNoteBibliography"/>
        <w:spacing w:after="0"/>
      </w:pPr>
      <w:r>
        <w:rPr>
          <w:rFonts w:ascii="Times New Roman" w:hAnsi="Times New Roman" w:cs="Times New Roman"/>
        </w:rPr>
        <w:t>35.</w:t>
      </w:r>
      <w:r>
        <w:rPr>
          <w:rFonts w:ascii="Times New Roman" w:hAnsi="Times New Roman" w:cs="Times New Roman"/>
        </w:rPr>
        <w:tab/>
        <w:t>Kurihara T, Westenskow PD, Friedlander M. Hypoxia-inducible factor (HIF)/vascular endothelial growth factor (VEGF) signaling in the retina. Adv Exp Med Biol. 2014;801:275-81.</w:t>
      </w:r>
    </w:p>
    <w:p w14:paraId="781D80B6" w14:textId="77777777" w:rsidR="004B7DE5" w:rsidRDefault="00BB3523" w:rsidP="00344A16">
      <w:pPr>
        <w:pStyle w:val="EndNoteBibliography"/>
        <w:spacing w:after="0"/>
      </w:pPr>
      <w:r>
        <w:rPr>
          <w:rFonts w:ascii="Times New Roman" w:hAnsi="Times New Roman" w:cs="Times New Roman"/>
        </w:rPr>
        <w:t>36.</w:t>
      </w:r>
      <w:r>
        <w:rPr>
          <w:rFonts w:ascii="Times New Roman" w:hAnsi="Times New Roman" w:cs="Times New Roman"/>
        </w:rPr>
        <w:tab/>
        <w:t>Gáll T, Pethő D, Nagy A, Póliska S, Balla G, Balla J. Prolyl Hydroxylase Inhibitor-Mediated HIF Activation Drives Transcriptional Reprogramming in Retinal Pigment Epithelium: Relevance to Chronic Kidney Disease. Cells. 2025;14(14):1121.</w:t>
      </w:r>
    </w:p>
    <w:p w14:paraId="1EDFCDF7" w14:textId="77777777" w:rsidR="004B7DE5" w:rsidRDefault="00BB3523" w:rsidP="00344A16">
      <w:pPr>
        <w:pStyle w:val="EndNoteBibliography"/>
        <w:spacing w:after="0"/>
      </w:pPr>
      <w:r>
        <w:rPr>
          <w:rFonts w:ascii="Times New Roman" w:hAnsi="Times New Roman" w:cs="Times New Roman"/>
        </w:rPr>
        <w:t>37.</w:t>
      </w:r>
      <w:r>
        <w:rPr>
          <w:rFonts w:ascii="Times New Roman" w:hAnsi="Times New Roman" w:cs="Times New Roman"/>
        </w:rPr>
        <w:tab/>
        <w:t>Ashimori A, Higashijima F, Ogata T, Sakuma A, Hamada W, Sunada J, et al. HIF-1α-dependent upregulation of angiogenic factors by mechanical stimulation in retinal pigment epithelial cells. Dis Model Mech. 2024;17(4):dmm050640.</w:t>
      </w:r>
    </w:p>
    <w:p w14:paraId="0AED3C59" w14:textId="77777777" w:rsidR="004B7DE5" w:rsidRDefault="00BB3523" w:rsidP="00344A16">
      <w:pPr>
        <w:pStyle w:val="EndNoteBibliography"/>
        <w:spacing w:after="0"/>
      </w:pPr>
      <w:r>
        <w:rPr>
          <w:rFonts w:ascii="Times New Roman" w:hAnsi="Times New Roman" w:cs="Times New Roman"/>
        </w:rPr>
        <w:t>38.</w:t>
      </w:r>
      <w:r>
        <w:rPr>
          <w:rFonts w:ascii="Times New Roman" w:hAnsi="Times New Roman" w:cs="Times New Roman"/>
        </w:rPr>
        <w:tab/>
        <w:t>Babapoor-Farrokhran S, Qin Y, Flores-Bellver M, Niu Y, Bhutto IA, Aparicio-Domingo S, et al. Pathologic vs. protective roles of hypoxia-inducible factor 1 in RPE and photoreceptors in wet vs. dry age-related macular degeneration. Proc Natl Acad Sci U S A. 2023;120(50):e2302845120.</w:t>
      </w:r>
    </w:p>
    <w:p w14:paraId="4A30DDFA" w14:textId="77777777" w:rsidR="004B7DE5" w:rsidRDefault="00BB3523" w:rsidP="00344A16">
      <w:pPr>
        <w:pStyle w:val="EndNoteBibliography"/>
        <w:spacing w:after="0"/>
      </w:pPr>
      <w:r>
        <w:rPr>
          <w:rFonts w:ascii="Times New Roman" w:hAnsi="Times New Roman" w:cs="Times New Roman"/>
        </w:rPr>
        <w:t>39.</w:t>
      </w:r>
      <w:r>
        <w:rPr>
          <w:rFonts w:ascii="Times New Roman" w:hAnsi="Times New Roman" w:cs="Times New Roman"/>
        </w:rPr>
        <w:tab/>
        <w:t>Liu H, Hu Q, Ren K, Wu P, Wang Y, Lv C. ALDH2 mitigates LPS-induced cardiac dysfunction, inflammation, and apoptosis through the cGAS/STING pathway. Mol Med. 2023;29(1):171.</w:t>
      </w:r>
    </w:p>
    <w:p w14:paraId="4FC089C6" w14:textId="77777777" w:rsidR="004B7DE5" w:rsidRDefault="00BB3523" w:rsidP="00344A16">
      <w:pPr>
        <w:pStyle w:val="EndNoteBibliography"/>
        <w:spacing w:after="0"/>
      </w:pPr>
      <w:r>
        <w:rPr>
          <w:rFonts w:ascii="Times New Roman" w:hAnsi="Times New Roman" w:cs="Times New Roman"/>
        </w:rPr>
        <w:t>40.</w:t>
      </w:r>
      <w:r>
        <w:rPr>
          <w:rFonts w:ascii="Times New Roman" w:hAnsi="Times New Roman" w:cs="Times New Roman"/>
        </w:rPr>
        <w:tab/>
        <w:t>Spitz AZ, Gavathiotis E. Physiological and pharmacological modulation of BAX. Trends Pharmacol Sci. 2022;43(3):206-220.</w:t>
      </w:r>
    </w:p>
    <w:p w14:paraId="2872557C" w14:textId="77777777" w:rsidR="004B7DE5" w:rsidRDefault="00BB3523" w:rsidP="00344A16">
      <w:pPr>
        <w:pStyle w:val="EndNoteBibliography"/>
        <w:spacing w:after="0"/>
      </w:pPr>
      <w:r>
        <w:rPr>
          <w:rFonts w:ascii="Times New Roman" w:hAnsi="Times New Roman" w:cs="Times New Roman"/>
        </w:rPr>
        <w:fldChar w:fldCharType="end"/>
      </w:r>
    </w:p>
    <w:sectPr w:rsidR="004B7DE5" w:rsidSect="001075A3">
      <w:footerReference w:type="default" r:id="rId1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3499D" w14:textId="77777777" w:rsidR="00DD0D10" w:rsidRDefault="00DD0D10">
      <w:pPr>
        <w:spacing w:line="240" w:lineRule="auto"/>
      </w:pPr>
      <w:r>
        <w:separator/>
      </w:r>
    </w:p>
  </w:endnote>
  <w:endnote w:type="continuationSeparator" w:id="0">
    <w:p w14:paraId="5425C4AC" w14:textId="77777777" w:rsidR="00DD0D10" w:rsidRDefault="00DD0D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7650057"/>
      <w:docPartObj>
        <w:docPartGallery w:val="Page Numbers (Bottom of Page)"/>
        <w:docPartUnique/>
      </w:docPartObj>
    </w:sdtPr>
    <w:sdtEndPr/>
    <w:sdtContent>
      <w:p w14:paraId="114A9AB6" w14:textId="77777777" w:rsidR="006C3B95" w:rsidRDefault="006C3B95">
        <w:pPr>
          <w:pStyle w:val="a3"/>
          <w:jc w:val="center"/>
        </w:pPr>
        <w:r>
          <w:fldChar w:fldCharType="begin"/>
        </w:r>
        <w:r>
          <w:instrText>PAGE   \* MERGEFORMAT</w:instrText>
        </w:r>
        <w:r>
          <w:fldChar w:fldCharType="separate"/>
        </w:r>
        <w:r>
          <w:rPr>
            <w:lang w:val="zh-CN"/>
          </w:rPr>
          <w:t>2</w:t>
        </w:r>
        <w:r>
          <w:fldChar w:fldCharType="end"/>
        </w:r>
      </w:p>
    </w:sdtContent>
  </w:sdt>
  <w:p w14:paraId="761E0511" w14:textId="77777777" w:rsidR="006C3B95" w:rsidRDefault="006C3B9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F5400" w14:textId="77777777" w:rsidR="00DD0D10" w:rsidRDefault="00DD0D10">
      <w:pPr>
        <w:spacing w:after="0"/>
      </w:pPr>
      <w:r>
        <w:separator/>
      </w:r>
    </w:p>
  </w:footnote>
  <w:footnote w:type="continuationSeparator" w:id="0">
    <w:p w14:paraId="2E965243" w14:textId="77777777" w:rsidR="00DD0D10" w:rsidRDefault="00DD0D1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ADDIN NE.CacheBib" w:val="{\rtf1\ansi\ansicpg936\pard\plain{\fonttbl{\f0\fnil\fcharset0\fprq2 Times New Roman;}}{\colortbl;\red0\green0\blue0;}\par\pard\plain \qc{\f0\fs40\b\cf1 References:}\par\pard\plain \fi-420\li420\ql{\f0\fs20\cf1  }{\f0\fs20\cf1 1}{\f0\fs20\cf1 .\tab }{\bkmkstart _neb93D27FE5_B2F0_4AE6_AA2C_6DD298BD074B}{\f0\fs20\cf1 Zhou Y}{\f0\fs20\cf1 , }{\f0\fs20\cf1 Xu M}{\f0\fs20\cf1 , }{\f0\fs20\cf1 Shen W}{\f0\fs20\cf1 , }{\f0\fs20\cf1 Xu Y}{\f0\fs20\cf1 , }{\f0\fs20\cf1 Shao A}{\f0\fs20\cf1 , }{\f0\fs20\cf1 Xu P}{\f0\fs20\cf1 , }{\f0\fs20\cf1 Yao K}{\f0\fs20\cf1 , }{\f0\fs20\cf1 Han H}{\f0\fs20\cf1 , }{\f0\fs20\cf1 Ye J}{\f0\fs20\cf1 . }{\f0\fs20\cf1 Recent Advances in Nanomedicine for Ocular Fundus Neovascularization Disease Management}{\f0\fs20\cf1 . }{\f0\fs20\cf1 ADV HEALTHC MATER}{\f0\fs20\cf1  }{\f0\fs20\cf1 2024}{\f0\fs20\cf1 , }{\f0\fs20\b\cf1 13}{\f0\fs20\cf1 (}{\f0\fs20\cf1 17}{\f0\fs20\cf1 )}{\f0\fs20\b\cf1 :}{\f0\fs20\cf1  }{\f0\fs20\cf1 e2304626}{\f0\fs20\cf1 .}{\bkmkend _neb93D27FE5_B2F0_4AE6_AA2C_6DD298BD074B}\par\pard\plain \fi-420\li420\ql{\f0\fs20\cf1  }{\f0\fs20\cf1 2}{\f0\fs20\cf1 .\tab }{\bkmkstart _nebDEA7A6AA_BC14_44B2_9E9F_97012FF77275}{\f0\fs20\cf1 Hernandez M}{\f0\fs20\cf1 , }{\f0\fs20\cf1 Romero-V{\u225 ?}zquez S}{\f0\fs20\cf1 , }{\f0\fs20\cf1 Recalde S}{\f0\fs20\cf1 , }{\f0\fs20\cf1 Bezunartea J}{\f0\fs20\cf1 , }{\f0\fs20\cf1 Ordu{\u241 ?}a MM}{\f0\fs20\cf1 , }{\f0\fs20\cf1 Belza-Zuazu I}{\f0\fs20\cf1 , }{\f0\fs20\cf1 Garc{\u237 ?}a-Layana A}{\f0\fs20\cf1 , }{\f0\fs20\cf1 Ad{\u225 ?}n A}{\f0\fs20\cf1 , }{\f0\fs20\cf1 Fern{\u225 ?}ndez-Robredo P}{\f0\fs20\cf1 , }{\f0\fs20\cf1 Molins B}{\f0\fs20\cf1 . }{\f0\fs20\cf1 C-reactive protein dissociation drives choroidal neovascularization in age-related macular degeneration}{\f0\fs20\cf1 . }{\f0\fs20\cf1 SCI REP-UK}{\f0\fs20\cf1  }{\f0\fs20\cf1 2025}{\f0\fs20\cf1 , }{\f0\fs20\b\cf1 15}{\f0\fs20\cf1 (}{\f0\fs20\cf1 1}{\f0\fs20\cf1 )}{\f0\fs20\b\cf1 :}{\f0\fs20\cf1  }{\f0\fs20\cf1 31408}{\f0\fs20\cf1 .}{\bkmkend _nebDEA7A6AA_BC14_44B2_9E9F_97012FF77275}\par\pard\plain \fi-420\li420\ql{\f0\fs20\cf1  }{\f0\fs20\cf1 3}{\f0\fs20\cf1 .\tab }{\bkmkstart _neb757855DD_8F2A_41C7_AB09_FD1174DCA39B}{\f0\fs20\cf1 Zou K}{\f0\fs20\cf1 , }{\f0\fs20\cf1 Li X}{\f0\fs20\cf1 , }{\f0\fs20\cf1 Ren B}{\f0\fs20\cf1 , }{\f0\fs20\cf1 Cheng F}{\f0\fs20\cf1 , }{\f0\fs20\cf1 Ye J}{\f0\fs20\cf1 , }{\f0\fs20\cf1 Ou Z}{\f0\fs20\cf1 . }{\f0\fs20\cf1 Single-cell analysis identifies MKI67(+) microglia as drivers of neovascularization in proliferative diabetic retinopathy}{\f0\fs20\cf1 . }{\f0\fs20\cf1 J TRANSL MED}{\f0\fs20\cf1  }{\f0\fs20\cf1 2025}{\f0\fs20\cf1 , }{\f0\fs20\b\cf1 23}{\f0\fs20\cf1 (}{\f0\fs20\cf1 1}{\f0\fs20\cf1 )}{\f0\fs20\b\cf1 :}{\f0\fs20\cf1  }{\f0\fs20\cf1 310}{\f0\fs20\cf1 .}{\bkmkend _neb757855DD_8F2A_41C7_AB09_FD1174DCA39B}\par\pard\plain \fi-420\li420\ql{\f0\fs20\cf1  }{\f0\fs20\cf1 4}{\f0\fs20\cf1 .\tab }{\bkmkstart _nebCF04DA5F_A0CE_49C1_905F_58CBDDCA00C7}{\f0\fs20\cf1 Shi Y}{\f0\fs20\cf1 , }{\f0\fs20\cf1 Yao H}{\f0\fs20\cf1 , }{\f0\fs20\cf1 Zhang P}{\f0\fs20\cf1 , }{\f0\fs20\cf1 Yang J}{\f0\fs20\cf1 , }{\f0\fs20\cf1 Gao L}{\f0\fs20\cf1 . }{\f0\fs20\cf1 Prognostic factors of conbercept intravitreal injection in the treatment of choroidal neovascularization secondary to pathologic myopia}{\f0\fs20\cf1 . }{\f0\fs20\cf1 EUR J OPHTHALMOL}{\f0\fs20\cf1  }{\f0\fs20\cf1 2025}{\f0\fs20\cf1 , }{\f0\fs20\b\cf1 35}{\f0\fs20\cf1 (}{\f0\fs20\cf1 6}{\f0\fs20\cf1 )}{\f0\fs20\b\cf1 :}{\f0\fs20\cf1  }{\f0\fs20\cf1 2251-2258}{\f0\fs20\cf1 .}{\bkmkend _nebCF04DA5F_A0CE_49C1_905F_58CBDDCA00C7}\par\pard\plain \fi-420\li420\ql{\f0\fs20\cf1  }{\f0\fs20\cf1 5}{\f0\fs20\cf1 .\tab }{\bkmkstart _neb94D6DABC_40D3_4B89_9666_138BFC041033}{\f0\fs20\cf1 Wu J}{\f0\fs20\cf1 , }{\f0\fs20\cf1 Jang H}{\f0\fs20\cf1 , }{\f0\fs20\cf1 Kwak H}{\f0\fs20\cf1 , }{\f0\fs20\cf1 Son M}{\f0\fs20\cf1 , }{\f0\fs20\cf1 Jiang W}{\f0\fs20\cf1 , }{\f0\fs20\cf1 Hwang H}{\f0\fs20\cf1 , }{\f0\fs20\cf1 Jo DH}{\f0\fs20\cf1 , }{\f0\fs20\cf1 Kim D}{\f0\fs20\cf1 , }{\f0\fs20\cf1 Kim HH}{\f0\fs20\cf1 , }{\f0\fs20\cf1 Kim JH}{\f0\fs20\cf1 . }{\f0\fs20\cf1 Engineered virus-like particle-assembled Vegfa-targeting Cas9 ribonucleoprotein treatment alleviates neovascularization in wet age-related macular degeneration}{\f0\fs20\cf1 . }{\f0\fs20\cf1 GENOME BIOL}{\f0\fs20\cf1  }{\f0\fs20\cf1 2025}{\f0\fs20\cf1 , }{\f0\fs20\b\cf1 26}{\f0\fs20\cf1 (}{\f0\fs20\cf1 1}{\f0\fs20\cf1 )}{\f0\fs20\b\cf1 :}{\f0\fs20\cf1  }{\f0\fs20\cf1 346}{\f0\fs20\cf1 .}{\bkmkend _neb94D6DABC_40D3_4B89_9666_138BFC041033}\par\pard\plain \fi-420\li420\ql{\f0\fs20\cf1  }{\f0\fs20\cf1 6}{\f0\fs20\cf1 .\tab }{\bkmkstart _nebFA689259_E2B0_42D7_A8AC_524273D5AB1A}{\f0\fs20\cf1 Yang P}{\f0\fs20\cf1 , }{\f0\fs20\cf1 Su W}{\f0\fs20\cf1 , }{\f0\fs20\cf1 Wang L}{\f0\fs20\cf1 , }{\f0\fs20\cf1 Xu F}{\f0\fs20\cf1 , }{\f0\fs20\cf1 Kong Y}{\f0\fs20\cf1 , }{\f0\fs20\cf1 Long J}{\f0\fs20\cf1 . }{\f0\fs20\cf1 From aldehyde metabolism to delay aging: targeting ALDH2 as a novel strategy}{\f0\fs20\cf1 . }{\f0\fs20\cf1 Free radical biology &amp; medicine}{\f0\fs20\cf1  }{\f0\fs20\cf1 2025}{\f0\fs20\cf1 , }{\f0\fs20\b\cf1 236}{\f0\fs20\b\cf1 :}{\f0\fs20\cf1  }{\f0\fs20\cf1 70-86}{\f0\fs20\cf1 .}{\bkmkend _nebFA689259_E2B0_42D7_A8AC_524273D5AB1A}\par\pard\plain \fi-420\li420\ql{\f0\fs20\cf1  }{\f0\fs20\cf1 7}{\f0\fs20\cf1 .\tab }{\bkmkstart _nebE20051C4_BDD5_4C5B_A450_A0751A196D2B}{\f0\fs20\cf1 Lioy B}{\f0\fs20\cf1 , }{\f0\fs20\cf1 Pereira WR}{\f0\fs20\cf1 , }{\f0\fs20\cf1 Junejo R}{\f0\fs20\cf1 , }{\f0\fs20\cf1 Pe{\u231 ?}anha T}{\f0\fs20\cf1 , }{\f0\fs20\cf1 Artioli GG}{\f0\fs20\cf1 . }{\f0\fs20\cf1 Evidence for early endothelial dysfunction associated with the ALDH2 rs671 gene variant: A preliminary investigation with young East Asians}{\f0\fs20\cf1 . }{\f0\fs20\cf1 EXP PHYSIOL}{\f0\fs20\cf1  }{\f0\fs20\cf1 2025}{\f0\fs20\b\cf1 :}{\f0\fs20\cf1  }{\f0\fs20\cf1 10-1113}{\f0\fs20\cf1 .}{\bkmkend _nebE20051C4_BDD5_4C5B_A450_A0751A196D2B}\par\pard\plain \fi-420\li420\ql{\f0\fs20\cf1  }{\f0\fs20\cf1 8}{\f0\fs20\cf1 .\tab }{\bkmkstart _neb9463B287_9600_445B_BFA9_E0740AB4716A}{\f0\fs20\cf1 Zhong H}{\f0\fs20\cf1 , }{\f0\fs20\cf1 Waresi M}{\f0\fs20\cf1 , }{\f0\fs20\cf1 Qi Z}{\f0\fs20\cf1 , }{\f0\fs20\cf1 Zhou L}{\f0\fs20\cf1 , }{\f0\fs20\cf1 Zhang W}{\f0\fs20\cf1 , }{\f0\fs20\cf1 Sun X}{\f0\fs20\cf1 , }{\f0\fs20\cf1 Han L}{\f0\fs20\cf1 , }{\f0\fs20\cf1 Chen Z}{\f0\fs20\cf1 , }{\f0\fs20\cf1 Zhou W}{\f0\fs20\cf1 , }{\f0\fs20\cf1 Zhang P}{\f0\fs20\cf1 , }{\f0\fs20\cf1 Xu H}{\f0\fs20\cf1 , }{\f0\fs20\cf1 Zhang S}{\f0\fs20\cf1 , }{\f0\fs20\cf1 Wu H}{\f0\fs20\cf1 , }{\f0\fs20\cf1 Sun A}{\f0\fs20\cf1 , }{\f0\fs20\cf1 Ge J}{\f0\fs20\cf1 . }{\f0\fs20\cf1 ALDH2 rs671 variant enhances platelet activation and thrombosis by disrupting mitochondrial complex I assembly}{\f0\fs20\cf1 . }{\f0\fs20\cf1 CARDIOVASC RES}{\f0\fs20\cf1  }{\f0\fs20\cf1 2025}{\f0\fs20\cf1 , }{\f0\fs20\b\cf1 121}{\f0\fs20\cf1 (}{\f0\fs20\cf1 14}{\f0\fs20\cf1 )}{\f0\fs20\b\cf1 :}{\f0\fs20\cf1  }{\f0\fs20\cf1 2246-2259}{\f0\fs20\cf1 .}{\bkmkend _neb9463B287_9600_445B_BFA9_E0740AB4716A}\par\pard\plain \fi-420\li420\ql{\f0\fs20\cf1  }{\f0\fs20\cf1 9}{\f0\fs20\cf1 .\tab }{\bkmkstart _neb5A5D4F3C_9524_49AF_A1D6_A7DB9F283476}{\f0\fs20\cf1 Duan Y}{\f0\fs20\cf1 , }{\f0\fs20\cf1 Shan Z}{\f0\fs20\cf1 , }{\f0\fs20\cf1 Pang J}{\f0\fs20\cf1 , }{\f0\fs20\cf1 Chen Y}{\f0\fs20\cf1 . }{\f0\fs20\cf1 ALDH2 in autophagy and cell death: molecular mechanisms and implications for diseases}{\f0\fs20\cf1 . }{\f0\fs20\cf1 MILITARY MED RES}{\f0\fs20\cf1  }{\f0\fs20\cf1 2025}{\f0\fs20\cf1 , }{\f0\fs20\b\cf1 12}{\f0\fs20\cf1 (}{\f0\fs20\cf1 1}{\f0\fs20\cf1 )}{\f0\fs20\b\cf1 :}{\f0\fs20\cf1  }{\f0\fs20\cf1 58}{\f0\fs20\cf1 .}{\bkmkend _neb5A5D4F3C_9524_49AF_A1D6_A7DB9F283476}\par\pard\plain \fi-420\li420\ql{\f0\fs20\cf1 10}{\f0\fs20\cf1 .\tab }{\bkmkstart _neb6A6F0877_B1A9_4C90_A8A4_52B8C6066E46}{\f0\fs20\cf1 Xu M}{\f0\fs20\cf1 , }{\f0\fs20\cf1 Barakzai SK}{\f0\fs20\cf1 , }{\f0\fs20\cf1 Kumar R}{\f0\fs20\cf1 , }{\f0\fs20\cf1 Veillard I}{\f0\fs20\cf1 , }{\f0\fs20\cf1 Kim E}{\f0\fs20\cf1 , }{\f0\fs20\cf1 Bregar A}{\f0\fs20\cf1 , }{\f0\fs20\cf1 Eisenhauer E}{\f0\fs20\cf1 , }{\f0\fs20\cf1 Penson R}{\f0\fs20\cf1 , }{\f0\fs20\cf1 Bouberhan S}{\f0\fs20\cf1 , }{\f0\fs20\cf1 Filipi J}{\f0\fs20\cf1 , }{\f0\fs20\cf1 Colella T}{\f0\fs20\cf1 , }{\f0\fs20\cf1 Bond T}{\f0\fs20\cf1 , }{\f0\fs20\cf1 Clark C}{\f0\fs20\cf1 , }{\f0\fs20\cf1 Lin LH}{\f0\fs20\cf1 , }{\f0\fs20\cf1 Ruan J}{\f0\fs20\cf1 , }{\f0\fs20\cf1 Wang C}{\f0\fs20\cf1 , }{\f0\fs20\cf1 Qin X}{\f0\fs20\cf1 , }{\f0\fs20\cf1 Sarosiek K}{\f0\fs20\cf1 , }{\f0\fs20\cf1 Rueda B}{\f0\fs20\cf1 , }{\f0\fs20\cf1 Castro C}{\f0\fs20\cf1 , }{\f0\fs20\cf1 Spriggs DR}{\f0\fs20\cf1 , }{\f0\fs20\cf1 Yeku OO}{\f0\fs20\cf1 . }{\f0\fs20\cf1 Hypoxia induced VEGF secretion promotes resistance to bispecific T-cell engagers}{\f0\fs20\cf1 . }{\f0\fs20\cf1 SIGNAL TRANSDUCT TAR}{\f0\fs20\cf1  }{\f0\fs20\cf1 2025}{\f0\fs20\cf1 , }{\f0\fs20\b\cf1 10}{\f0\fs20\cf1 (}{\f0\fs20\cf1 1}{\f0\fs20\cf1 )}{\f0\fs20\b\cf1 :}{\f0\fs20\cf1  }{\f0\fs20\cf1 405}{\f0\fs20\cf1 .}{\bkmkend _neb6A6F0877_B1A9_4C90_A8A4_52B8C6066E46}\par\pard\plain \fi-420\li420\ql{\f0\fs20\cf1 11}{\f0\fs20\cf1 .\tab }{\bkmkstart _nebD6FDF6CB_C88A_4004_B1C7_19916844E646}{\f0\fs20\cf1 Lin Y}{\f0\fs20\cf1 , }{\f0\fs20\cf1 Lee Y}{\f0\fs20\cf1 , }{\f0\fs20\cf1 Liao J}{\f0\fs20\cf1 , }{\f0\fs20\cf1 Yu P}{\f0\fs20\cf1 , }{\f0\fs20\cf1 Chou C}{\f0\fs20\cf1 , }{\f0\fs20\cf1 Yang Y}{\f0\fs20\cf1 . }{\f0\fs20\cf1 Alda{\u8209 ?}1 restores ALDH2{\u8209 ?}mediated alcohol metabolism to inhibit the NF{\u8209 ?}{\u954 ?}B/VEGFC axis in head and neck cancer}{\f0\fs20\cf1 . }{\f0\fs20\cf1 INT J MOL MED}{\f0\fs20\cf1  }{\f0\fs20\cf1 2025}{\f0\fs20\cf1 , }{\f0\fs20\b\cf1 55}{\f0\fs20\cf1 (}{\f0\fs20\cf1 4}{\f0\fs20\cf1 )}{\f0\fs20\b\cf1 :}{\f0\fs20\cf1  }{\f0\fs20\cf1 55}{\f0\fs20\cf1 .}{\bkmkend _nebD6FDF6CB_C88A_4004_B1C7_19916844E646}\par\pard\plain \fi-420\li420\ql{\f0\fs20\cf1 12}{\f0\fs20\cf1 .\tab }{\bkmkstart _nebE512354E_8352_45E4_B5DF_3AC06863E3D7}{\f0\fs20\cf1 Dwivedi AK}{\f0\fs20\cf1 , }{\f0\fs20\cf1 Mallawaarachchi I}{\f0\fs20\cf1 , }{\f0\fs20\cf1 Alvarado LA}{\f0\fs20\cf1 . }{\f0\fs20\cf1 Analysis of small sample size studies using nonparametric bootstrap test with pooled resampling method}{\f0\fs20\cf1 . }{\f0\fs20\cf1 STAT MED}{\f0\fs20\cf1  }{\f0\fs20\cf1 2017}{\f0\fs20\cf1 , }{\f0\fs20\b\cf1 36}{\f0\fs20\cf1 (}{\f0\fs20\cf1 14}{\f0\fs20\cf1 )}{\f0\fs20\b\cf1 :}{\f0\fs20\cf1  }{\f0\fs20\cf1 2187-2205}{\f0\fs20\cf1 .}{\bkmkend _nebE512354E_8352_45E4_B5DF_3AC06863E3D7}\par\pard\plain \fi-420\li420\ql{\f0\fs20\cf1 13}{\f0\fs20\cf1 .\tab }{\bkmkstart _neb311AAC30_D693_4FA8_8816_B19EED3C15CF}{\f0\fs20\cf1 Toragall V}{\f0\fs20\cf1 , }{\f0\fs20\cf1 Muzaffar JC}{\f0\fs20\cf1 , }{\f0\fs20\cf1 Baskaran V}{\f0\fs20\cf1 . }{\f0\fs20\cf1 Lutein loaded double-layered polymer nanocarrier modulate H(2)O(2) and CoCl(2) induced oxidative and hypoxia damage and angiogenic markers in ARPE-19 cells}{\f0\fs20\cf1 . }{\f0\fs20\cf1 INT J BIOL MACROMOL}{\f0\fs20\cf1  }{\f0\fs20\cf1 2023}{\f0\fs20\cf1 , }{\f0\fs20\b\cf1 240}{\f0\fs20\b\cf1 :}{\f0\fs20\cf1  }{\f0\fs20\cf1 124378}{\f0\fs20\cf1 .}{\bkmkend _neb311AAC30_D693_4FA8_8816_B19EED3C15CF}\par\pard\plain \fi-420\li420\ql{\f0\fs20\cf1 14}{\f0\fs20\cf1 .\tab }{\bkmkstart _nebFECB4245_9550_4BB7_8A99_1E7DF3577C74}{\f0\fs20\cf1 Barton A}{\f0\fs20\cf1 , }{\f0\fs20\cf1 Ja{\u347 ?}kiewicz M}{\f0\fs20\cf1 , }{\f0\fs20\cf1 Wi{\u281 ?}ch-Wal{\u243 ?}w A}{\f0\fs20\cf1 , }{\f0\fs20\cf1 Moszy{\u324 ?}ska A}{\f0\fs20\cf1 , }{\f0\fs20\cf1 Cabaj A}{\f0\fs20\cf1 , }{\f0\fs20\cf1 Wielockx B}{\f0\fs20\cf1 , }{\f0\fs20\cf1 Schaefer L}{\f0\fs20\cf1 , }{\f0\fs20\cf1 Collawn JF}{\f0\fs20\cf1 , }{\f0\fs20\cf1 Bartoszewski R}{\f0\fs20\cf1 . }{\f0\fs20\cf1 Challenges in mimicking hypoxia: insights into HIF-regulated MiRNA expression induced by DMOG and CoCl(2)}{\f0\fs20\cf1 . }{\f0\fs20\cf1 Cell communication and signaling : CCS}{\f0\fs20\cf1  }{\f0\fs20\cf1 2025}{\f0\fs20\cf1 , }{\f0\fs20\b\cf1 23}{\f0\fs20\cf1 (}{\f0\fs20\cf1 1}{\f0\fs20\cf1 )}{\f0\fs20\b\cf1 :}{\f0\fs20\cf1  }{\f0\fs20\cf1 454}{\f0\fs20\cf1 .}{\bkmkend _nebFECB4245_9550_4BB7_8A99_1E7DF3577C74}\par\pard\plain \fi-420\li420\ql{\f0\fs20\cf1 15}{\f0\fs20\cf1 .\tab }{\bkmkstart _neb17B95111_99CC_43FF_AA64_89B32260AD93}{\f0\fs20\cf1 Ma J}{\f0\fs20\cf1 , }{\f0\fs20\cf1 Zhu TP}{\f0\fs20\cf1 , }{\f0\fs20\cf1 Moe MC}{\f0\fs20\cf1 , }{\f0\fs20\cf1 Ye P}{\f0\fs20\cf1 , }{\f0\fs20\cf1 Yao K}{\f0\fs20\cf1 . }{\f0\fs20\cf1 Opticin production is reduced by hypoxia and VEGF in human retinal pigment epithelium via MMP-2 activation}{\f0\fs20\cf1 . }{\f0\fs20\cf1 CYTOKINE}{\f0\fs20\cf1  }{\f0\fs20\cf1 2012}{\f0\fs20\cf1 , }{\f0\fs20\b\cf1 59}{\f0\fs20\cf1 (}{\f0\fs20\cf1 1}{\f0\fs20\cf1 )}{\f0\fs20\b\cf1 :}{\f0\fs20\cf1  }{\f0\fs20\cf1 100-107}{\f0\fs20\cf1 .}{\bkmkend _neb17B95111_99CC_43FF_AA64_89B32260AD93}\par\pard\plain \fi-420\li420\ql{\f0\fs20\cf1 16}{\f0\fs20\cf1 .\tab }{\bkmkstart _nebE1EA32AA_9873_4966_B2B8_D133329C7CC4}{\f0\fs20\cf1 Cheng Z}{\f0\fs20\cf1 , }{\f0\fs20\cf1 Yao W}{\f0\fs20\cf1 , }{\f0\fs20\cf1 Zheng J}{\f0\fs20\cf1 , }{\f0\fs20\cf1 Ding W}{\f0\fs20\cf1 , }{\f0\fs20\cf1 Wang Y}{\f0\fs20\cf1 , }{\f0\fs20\cf1 Zhang T}{\f0\fs20\cf1 , }{\f0\fs20\cf1 Zhu L}{\f0\fs20\cf1 , }{\f0\fs20\cf1 Zhou F}{\f0\fs20\cf1 . }{\f0\fs20\cf1 A derivative of betulinic acid protects human Retinal Pigment Epithelial (RPE) cells from cobalt chloride-induced acute hypoxic stress}{\f0\fs20\cf1 . }{\f0\fs20\cf1 EXP EYE RES}{\f0\fs20\cf1  }{\f0\fs20\cf1 2019}{\f0\fs20\cf1 , }{\f0\fs20\b\cf1 180}{\f0\fs20\b\cf1 :}{\f0\fs20\cf1  }{\f0\fs20\cf1 92-101}{\f0\fs20\cf1 .}{\bkmkend _nebE1EA32AA_9873_4966_B2B8_D133329C7CC4}\par\pard\plain \fi-420\li420\ql{\f0\fs20\cf1 17}{\f0\fs20\cf1 .\tab }{\bkmkstart _nebF1992694_849B_4400_BFFE_2CF813B7803C}{\f0\fs20\cf1 Warden C}{\f0\fs20\cf1 , }{\f0\fs20\cf1 Brantley MAJ}{\f0\fs20\cf1 . }{\f0\fs20\cf1 Glycine-Conjugated Bile Acids Protect RPE Tight Junctions against Oxidative Stress and Inhibit Choroidal Endothelial Cell Angiogenesis In Vitro}{\f0\fs20\cf1 . }{\f0\fs20\cf1 BIOMOLECULES}{\f0\fs20\cf1  }{\f0\fs20\cf1 2021}{\f0\fs20\cf1 , }{\f0\fs20\b\cf1 11}{\f0\fs20\cf1 (}{\f0\fs20\cf1 5}{\f0\fs20\cf1 )}{\f0\fs20\b\cf1 :}{\f0\fs20\cf1  }{\f0\fs20\cf1 626}{\f0\fs20\cf1 .}{\bkmkend _nebF1992694_849B_4400_BFFE_2CF813B7803C}\par\pard\plain \fi-420\li420\ql{\f0\fs20\cf1 18}{\f0\fs20\cf1 .\tab }{\bkmkstart _neb7080577B_AB4D_4393_BACD_69B002C9452D}{\f0\fs20\cf1 Guerra MH}{\f0\fs20\cf1 , }{\f0\fs20\cf1 Yumnamcha T}{\f0\fs20\cf1 , }{\f0\fs20\cf1 Ebrahim A}{\f0\fs20\cf1 , }{\f0\fs20\cf1 Berger EA}{\f0\fs20\cf1 , }{\f0\fs20\cf1 Singh LP}{\f0\fs20\cf1 , }{\f0\fs20\cf1 Ibrahim AS}{\f0\fs20\cf1 . }{\f0\fs20\cf1 Real-Time Monitoring the Effect of Cytopathic Hypoxia on Retinal Pigment Epithelial Barrier Functionality Using Electric Cell-Substrate Impedance Sensing (ECIS) Biosensor Technology}{\f0\fs20\cf1 . }{\f0\fs20\cf1 International journal of molecular sciences}{\f0\fs20\cf1  }{\f0\fs20\cf1 2021}{\f0\fs20\cf1 , }{\f0\fs20\b\cf1 22}{\f0\fs20\cf1 (}{\f0\fs20\cf1 9}{\f0\fs20\cf1 )}{\f0\fs20\b\cf1 :}{\f0\fs20\cf1  }{\f0\fs20\cf1 4568}{\f0\fs20\cf1 .}{\bkmkend _neb7080577B_AB4D_4393_BACD_69B002C9452D}\par\pard\plain \fi-420\li420\ql{\f0\fs20\cf1 19}{\f0\fs20\cf1 .\tab }{\bkmkstart _nebA5D55D92_6AFD_41E2_BB59_D99CA43FB9A6}{\f0\fs20\cf1 Chang Y}{\f0\fs20\cf1 , }{\f0\fs20\cf1 Lin C}{\f0\fs20\cf1 , }{\f0\fs20\cf1 Hsieh M}{\f0\fs20\cf1 , }{\f0\fs20\cf1 Wu H}{\f0\fs20\cf1 , }{\f0\fs20\cf1 Wu W}{\f0\fs20\cf1 , }{\f0\fs20\cf1 Wu W}{\f0\fs20\cf1 , }{\f0\fs20\cf1 Kao Y}{\f0\fs20\cf1 . }{\f0\fs20\cf1 High mobility group B1 up-regulates angiogenic and fibrogenic factors in human retinal pigment epithelial ARPE-19 cells}{\f0\fs20\cf1 . }{\f0\fs20\cf1 CELL SIGNAL}{\f0\fs20\cf1  }{\f0\fs20\cf1 2017}{\f0\fs20\cf1 , }{\f0\fs20\b\cf1 40}{\f0\fs20\b\cf1 :}{\f0\fs20\cf1  }{\f0\fs20\cf1 248-257}{\f0\fs20\cf1 .}{\bkmkend _nebA5D55D92_6AFD_41E2_BB59_D99CA43FB9A6}\par\pard\plain \fi-420\li420\ql{\f0\fs20\cf1 20}{\f0\fs20\cf1 .\tab }{\bkmkstart _neb52B99F7D_1764_4322_A09A_C3A7AD3FFB94}{\f0\fs20\cf1 Zhou Q}{\f0\fs20\cf1 , }{\f0\fs20\cf1 Zhou L}{\f0\fs20\cf1 , }{\f0\fs20\cf1 Qian J}{\f0\fs20\cf1 , }{\f0\fs20\cf1 Yuan Z}{\f0\fs20\cf1 , }{\f0\fs20\cf1 Chen Z}{\f0\fs20\cf1 . }{\f0\fs20\cf1 NKILA inhibition protects retinal pigment epithelium cells from hypoxia by facilitating NF{\u954 ?}B activation}{\f0\fs20\cf1 . }{\f0\fs20\cf1 BIOCHEM BIOPH RES CO}{\f0\fs20\cf1  }{\f0\fs20\cf1 2018}{\f0\fs20\cf1 , }{\f0\fs20\b\cf1 503}{\f0\fs20\cf1 (}{\f0\fs20\cf1 4}{\f0\fs20\cf1 )}{\f0\fs20\b\cf1 :}{\f0\fs20\cf1  }{\f0\fs20\cf1 3134-3141}{\f0\fs20\cf1 .}{\bkmkend _neb52B99F7D_1764_4322_A09A_C3A7AD3FFB94}\par\pard\plain \fi-420\li420\ql{\f0\fs20\cf1 21}{\f0\fs20\cf1 .\tab }{\bkmkstart _nebF7AC607D_196B_4277_88A2_44C91AE7D1E2}{\f0\fs20\cf1 Yu Q}{\f0\fs20\cf1 , }{\f0\fs20\cf1 Zhang J}{\f0\fs20\cf1 , }{\f0\fs20\cf1 Li J}{\f0\fs20\cf1 , }{\f0\fs20\cf1 Song Y}{\f0\fs20\cf1 , }{\f0\fs20\cf1 Pan J}{\f0\fs20\cf1 , }{\f0\fs20\cf1 Mei C}{\f0\fs20\cf1 , }{\f0\fs20\cf1 Cui M}{\f0\fs20\cf1 , }{\f0\fs20\cf1 He Q}{\f0\fs20\cf1 , }{\f0\fs20\cf1 Wang H}{\f0\fs20\cf1 , }{\f0\fs20\cf1 Li H}{\f0\fs20\cf1 , }{\f0\fs20\cf1 Cheng B}{\f0\fs20\cf1 , }{\f0\fs20\cf1 Zhang Y}{\f0\fs20\cf1 , }{\f0\fs20\cf1 Guo W}{\f0\fs20\cf1 , }{\f0\fs20\cf1 Zhu C}{\f0\fs20\cf1 , }{\f0\fs20\cf1 Chen S}{\f0\fs20\cf1 . }{\f0\fs20\cf1 Sirtuin 5-Mediated Desuccinylation of ALDH2 Alleviates Mitochondrial Oxidative Stress Following Acetaminophen-Induced Acute Liver Injury}{\f0\fs20\cf1 . }{\f0\fs20\cf1 Advanced science (Weinheim, Baden-Wurttemberg, Germany)}{\f0\fs20\cf1  }{\f0\fs20\cf1 2024}{\f0\fs20\cf1 , }{\f0\fs20\b\cf1 11}{\f0\fs20\cf1 (}{\f0\fs20\cf1 39}{\f0\fs20\cf1 )}{\f0\fs20\b\cf1 :}{\f0\fs20\cf1  }{\f0\fs20\cf1 e2402710}{\f0\fs20\cf1 .}{\bkmkend _nebF7AC607D_196B_4277_88A2_44C91AE7D1E2}\par\pard\plain \fi-420\li420\ql{\f0\fs20\cf1 22}{\f0\fs20\cf1 .\tab }{\bkmkstart _nebE7377A55_65B7_49ED_B05E_18D13CCD749A}{\f0\fs20\cf1 Lin Y}{\f0\fs20\cf1 , }{\f0\fs20\cf1 Lee Y}{\f0\fs20\cf1 , }{\f0\fs20\cf1 Liao J}{\f0\fs20\cf1 , }{\f0\fs20\cf1 Yu P}{\f0\fs20\cf1 , }{\f0\fs20\cf1 Chou C}{\f0\fs20\cf1 , }{\f0\fs20\cf1 Yang Y}{\f0\fs20\cf1 . }{\f0\fs20\cf1 Alda{\u8209 ?}1 restores ALDH2{\u8209 ?}mediated alcohol metabolism to inhibit the NF{\u8209 ?}{\u954 ?}B/VEGFC axis in head and neck cancer}{\f0\fs20\cf1 . }{\f0\fs20\cf1 INT J MOL MED}{\f0\fs20\cf1  }{\f0\fs20\cf1 2025}{\f0\fs20\cf1 , }{\f0\fs20\b\cf1 55}{\f0\fs20\cf1 (}{\f0\fs20\cf1 4}{\f0\fs20\cf1 )}{\f0\fs20\b\cf1 :}{\f0\fs20\cf1  }{\f0\fs20\cf1 55}{\f0\fs20\cf1 .}{\bkmkend _nebE7377A55_65B7_49ED_B05E_18D13CCD749A}\par\pard\plain \fi-420\li420\ql{\f0\fs20\cf1 23}{\f0\fs20\cf1 .\tab }{\bkmkstart _neb952AD294_353B_4B22_BE68_E0ABD2DCEDC1}{\f0\fs20\cf1 Chen X}{\f0\fs20\cf1 , }{\f0\fs20\cf1 Yu X}{\f0\fs20\cf1 , }{\f0\fs20\cf1 Zhong S}{\f0\fs20\cf1 , }{\f0\fs20\cf1 Sha P}{\f0\fs20\cf1 , }{\f0\fs20\cf1 Li R}{\f0\fs20\cf1 , }{\f0\fs20\cf1 Xu X}{\f0\fs20\cf1 , }{\f0\fs20\cf1 Liang N}{\f0\fs20\cf1 , }{\f0\fs20\cf1 Zhang L}{\f0\fs20\cf1 , }{\f0\fs20\cf1 Li L}{\f0\fs20\cf1 , }{\f0\fs20\cf1 Zhang J}{\f0\fs20\cf1 , }{\f0\fs20\cf1 Zhou M}{\f0\fs20\cf1 , }{\f0\fs20\cf1 Lv T}{\f0\fs20\cf1 , }{\f0\fs20\cf1 Ma H}{\f0\fs20\cf1 , }{\f0\fs20\cf1 Wang Y}{\f0\fs20\cf1 , }{\f0\fs20\cf1 Ye Y}{\f0\fs20\cf1 , }{\f0\fs20\cf1 Yin C}{\f0\fs20\cf1 , }{\f0\fs20\cf1 Chen S}{\f0\fs20\cf1 , }{\f0\fs20\cf1 Tian J}{\f0\fs20\cf1 , }{\f0\fs20\cf1 Sun A}{\f0\fs20\cf1 , }{\f0\fs20\cf1 Wang W}{\f0\fs20\cf1 , }{\f0\fs20\cf1 Yan D}{\f0\fs20\cf1 , }{\f0\fs20\cf1 Yang H}{\f0\fs20\cf1 , }{\f0\fs20\cf1 Huang H}{\f0\fs20\cf1 , }{\f0\fs20\cf1 Li P}{\f0\fs20\cf1 , }{\f0\fs20\cf1 Yin H}{\f0\fs20\cf1 . }{\f0\fs20\cf1 ALDH2/eIF3E Interaction Modulates Protein Translation Critical for Cardiomyocyte Ferroptosis in Acute Myocardial Ischemia Injury}{\f0\fs20\cf1 . }{\f0\fs20\cf1 CIRCULATION}{\f0\fs20\cf1  }{\f0\fs20\cf1 2026}{\f0\fs20\cf1 , }{\f0\fs20\b\cf1 153}{\f0\fs20\cf1 (}{\f0\fs20\cf1 3}{\f0\fs20\cf1 )}{\f0\fs20\b\cf1 :}{\f0\fs20\cf1  }{\f0\fs20\cf1 164-184}{\f0\fs20\cf1 .}{\bkmkend _neb952AD294_353B_4B22_BE68_E0ABD2DCEDC1}\par\pard\plain \fi-420\li420\ql{\f0\fs20\cf1 24}{\f0\fs20\cf1 .\tab }{\bkmkstart _neb85D50324_CEB5_4865_A73F_74B02FD02647}{\f0\fs20\cf1 Hu J}{\f0\fs20\cf1 , }{\f0\fs20\cf1 Zhao Y}{\f0\fs20\cf1 , }{\f0\fs20\cf1 Wu Y}{\f0\fs20\cf1 , }{\f0\fs20\cf1 Yang K}{\f0\fs20\cf1 , }{\f0\fs20\cf1 Hu K}{\f0\fs20\cf1 , }{\f0\fs20\cf1 Sun A}{\f0\fs20\cf1 , }{\f0\fs20\cf1 Ge J}{\f0\fs20\cf1 . }{\f0\fs20\cf1 Shexiang Baoxin Pill Attenuates Ischemic Injury by Promoting Angiogenesis by Activation of Aldehyde Dehydrogenase 2}{\f0\fs20\cf1 . }{\f0\fs20\cf1 J CARDIOVASC PHARM}{\f0\fs20\cf1  }{\f0\fs20\cf1 2021}{\f0\fs20\cf1 , }{\f0\fs20\b\cf1 77}{\f0\fs20\cf1 (}{\f0\fs20\cf1 3}{\f0\fs20\cf1 )}{\f0\fs20\b\cf1 :}{\f0\fs20\cf1  }{\f0\fs20\cf1 408-417}{\f0\fs20\cf1 .}{\bkmkend _neb85D50324_CEB5_4865_A73F_74B02FD02647}\par\pard\plain \fi-420\li420\ql{\f0\fs20\cf1 25}{\f0\fs20\cf1 .\tab }{\bkmkstart _nebC7CCBAD8_3934_420C_B3D3_761CDBA1A9FD}{\f0\fs20\cf1 He M}{\f0\fs20\cf1 , }{\f0\fs20\cf1 Long P}{\f0\fs20\cf1 , }{\f0\fs20\cf1 Chen T}{\f0\fs20\cf1 , }{\f0\fs20\cf1 Li K}{\f0\fs20\cf1 , }{\f0\fs20\cf1 Wei D}{\f0\fs20\cf1 , }{\f0\fs20\cf1 Zhang Y}{\f0\fs20\cf1 , }{\f0\fs20\cf1 Wang W}{\f0\fs20\cf1 , }{\f0\fs20\cf1 Hu Y}{\f0\fs20\cf1 , }{\f0\fs20\cf1 Ding Y}{\f0\fs20\cf1 , }{\f0\fs20\cf1 Wen A}{\f0\fs20\cf1 . }{\f0\fs20\cf1 ALDH2/SIRT1 Contributes to Type 1 and Type 2 Diabetes-Induced Retinopathy through Depressing Oxidative Stress}{\f0\fs20\cf1 . }{\f0\fs20\cf1 OXID MED CELL LONGEV}{\f0\fs20\cf1  }{\f0\fs20\cf1 2021}{\f0\fs20\cf1 , }{\f0\fs20\b\cf1 2021}{\f0\fs20\b\cf1 :}{\f0\fs20\cf1  }{\f0\fs20\cf1 1641717}{\f0\fs20\cf1 .}{\bkmkend _nebC7CCBAD8_3934_420C_B3D3_761CDBA1A9FD}\par\pard\plain \fi-420\li420\ql{\f0\fs20\cf1 26}{\f0\fs20\cf1 .\tab }{\bkmkstart _neb62D246DF_995A_47E3_A57D_B82320E489FB}{\f0\fs20\cf1 Liu L}{\f0\fs20\cf1 , }{\f0\fs20\cf1 Deng Q}{\f0\fs20\cf1 , }{\f0\fs20\cf1 Xie L}{\f0\fs20\cf1 , }{\f0\fs20\cf1 Wu D}{\f0\fs20\cf1 , }{\f0\fs20\cf1 Zheng H}{\f0\fs20\cf1 , }{\f0\fs20\cf1 Jiang J}{\f0\fs20\cf1 , }{\f0\fs20\cf1 Shi H}{\f0\fs20\cf1 , }{\f0\fs20\cf1 Yao T}{\f0\fs20\cf1 . }{\f0\fs20\cf1 ALDH2 Overexpression Improves the Blood-brain Barrier and Represses Mitochondrial Dysfunction in Chronic Cerebral Hypoperfusion Through the SIRT1/ROS Axis}{\f0\fs20\cf1 . }{\f0\fs20\cf1 NEUROCHEM RES}{\f0\fs20\cf1  }{\f0\fs20\cf1 2025}{\f0\fs20\cf1 , }{\f0\fs20\b\cf1 50}{\f0\fs20\cf1 (}{\f0\fs20\cf1 2}{\f0\fs20\cf1 )}{\f0\fs20\b\cf1 :}{\f0\fs20\cf1  }{\f0\fs20\cf1 102}{\f0\fs20\cf1 .}{\bkmkend _neb62D246DF_995A_47E3_A57D_B82320E489FB}\par\pard\plain \fi-420\li420\ql{\f0\fs20\cf1 27}{\f0\fs20\cf1 .\tab }{\bkmkstart _neb00E4E92F_79C8_435A_95F3_E010B4A56C1D}{\f0\fs20\cf1 Wowui PI}{\f0\fs20\cf1 , }{\f0\fs20\cf1 Mprah R}{\f0\fs20\cf1 , }{\f0\fs20\cf1 Ndzie Noah ML}{\f0\fs20\cf1 , }{\f0\fs20\cf1 Adu-Amankwaah J}{\f0\fs20\cf1 , }{\f0\fs20\cf1 Kanoseh AWL}{\f0\fs20\cf1 , }{\f0\fs20\cf1 Tao L}{\f0\fs20\cf1 , }{\f0\fs20\cf1 Chulu D}{\f0\fs20\cf1 , }{\f0\fs20\cf1 Yalley SK}{\f0\fs20\cf1 , }{\f0\fs20\cf1 Shaheen S}{\f0\fs20\cf1 , }{\f0\fs20\cf1 Sun H}{\f0\fs20\cf1 . }{\f0\fs20\cf1 Estrogen via GPER downregulated HIF-1a and MIF expression, attenuated cardiac arrhythmias, and myocardial inflammation during hypobaric hypoxia}{\f0\fs20\cf1 . }{\f0\fs20\cf1 Molecular medicine (Cambridge, Mass.)}{\f0\fs20\cf1  }{\f0\fs20\cf1 2025}{\f0\fs20\cf1 , }{\f0\fs20\b\cf1 31}{\f0\fs20\cf1 (}{\f0\fs20\cf1 1}{\f0\fs20\cf1 )}{\f0\fs20\b\cf1 :}{\f0\fs20\cf1  }{\f0\fs20\cf1 107}{\f0\fs20\cf1 .}{\bkmkend _neb00E4E92F_79C8_435A_95F3_E010B4A56C1D}\par\pard\plain \fi-420\li420\ql{\f0\fs20\cf1 28}{\f0\fs20\cf1 .\tab }{\bkmkstart _nebDE5FA2E7_4E37_4387_80B7_4E3A8F4E1CAB}{\f0\fs20\cf1 Lin L}{\f0\fs20\cf1 , }{\f0\fs20\cf1 Tao J}{\f0\fs20\cf1 , }{\f0\fs20\cf1 Li M}{\f0\fs20\cf1 , }{\f0\fs20\cf1 Peng J}{\f0\fs20\cf1 , }{\f0\fs20\cf1 Zhou C}{\f0\fs20\cf1 , }{\f0\fs20\cf1 Ouyang J}{\f0\fs20\cf1 , }{\f0\fs20\cf1 Si Y}{\f0\fs20\cf1 . }{\f0\fs20\cf1 Mechanism of ALDH2 improves the neuronal damage caused by hypoxia/reoxygenation}{\f0\fs20\cf1 . }{\f0\fs20\cf1 EUR REV MED PHARMACO}{\f0\fs20\cf1  }{\f0\fs20\cf1 2022}{\f0\fs20\cf1 , }{\f0\fs20\b\cf1 26}{\f0\fs20\cf1 (}{\f0\fs20\cf1 8}{\f0\fs20\cf1 )}{\f0\fs20\b\cf1 :}{\f0\fs20\cf1  }{\f0\fs20\cf1 2712-2720}{\f0\fs20\cf1 .}{\bkmkend _nebDE5FA2E7_4E37_4387_80B7_4E3A8F4E1CAB}\par\pard\plain \fi-420\li420\ql}"/>
    <w:docVar w:name=" ADDIN NE.CacheRef.{00A209B8-CEA2-4DDD-969B-3F18912BF6AA}" w:val="{\rtf1\ansi\ansicpg936\pard\plain{\fonttbl{\f0\fnil\fcharset0\fprq2 Times New Roman;}}{\colortbl;\red0\green0\blue0;}{\f0\fs22\super\cf1 [}{\f0\fs22\super\cf1 1}{\f0\fs22\super\cf1 ]}}"/>
    <w:docVar w:name=" ADDIN NE.CacheRef.{14EA587C-CD4F-4388-A168-D4896109A7D7}" w:val="{\rtf1\ansi\ansicpg936\pard\plain{\fonttbl{\f0\fnil\fcharset0\fprq2 Times New Roman;}}{\colortbl;\red0\green0\blue0;}{\f0\fs22\super\cf1 [}{\f0\fs22\super\cf1 19}{\f0\fs22\super\cf1 -}{\f0\fs22\super\cf1 20}{\f0\fs22\super\cf1 ]}}"/>
    <w:docVar w:name=" ADDIN NE.CacheRef.{18FAD53D-F708-44B2-829C-002340B62463}" w:val="{\rtf1\ansi\ansicpg936\pard\plain{\fonttbl{\f0\fnil\fcharset0\fprq2 Times New Roman;}}{\colortbl;\red0\green0\blue0;}{\f0\fs22\super\cf1 [}{\f0\fs22\super\cf1 26}{\f0\fs22\super\cf1 ]}}"/>
    <w:docVar w:name=" ADDIN NE.CacheRef.{1ADF0B11-DB5A-41CE-891C-0CA98CEB83B8}" w:val="{\rtf1\ansi\ansicpg936\pard\plain{\fonttbl{\f0\fnil\fcharset0\fprq2 Times New Roman;}}{\colortbl;\red0\green0\blue0;}{\f0\fs22\super\cf1 [}{\f0\fs22\super\cf1 23}{\f0\fs22\super\cf1 ]}}"/>
    <w:docVar w:name=" ADDIN NE.CacheRef.{1E8D406A-CCA7-4217-937F-2877475FF138}" w:val="{\rtf1\ansi\ansicpg936\pard\plain{\fonttbl{\f0\fnil\fcharset0\fprq2 Times New Roman;}}{\colortbl;\red0\green0\blue0;}{\f0\fs22\super\cf1 [}{\f0\fs22\super\cf1 8}{\f0\fs22\super\cf1 ]}}"/>
    <w:docVar w:name=" ADDIN NE.CacheRef.{2E826DB9-BAFF-489D-9E8E-91DFFF81911C}" w:val="{\rtf1\ansi\ansicpg936\pard\plain{\fonttbl{\f0\fnil\fcharset0\fprq2 Times New Roman;}}{\colortbl;\red0\green0\blue0;}{\f0\fs22\super\cf1 [}{\f0\fs22\super\cf1 24}{\f0\fs22\super\cf1 ]}}"/>
    <w:docVar w:name=" ADDIN NE.CacheRef.{30DEE01D-4F49-46D1-9CD1-D3D3ADE38F45}" w:val="{\rtf1\ansi\ansicpg936\pard\plain{\fonttbl{\f0\fnil\fcharset0\fprq2 Times New Roman;}}{\colortbl;\red0\green0\blue0;}{\f0\fs22\super\cf1 [}{\f0\fs22\super\cf1 5}{\f0\fs22\super\cf1 ]}}"/>
    <w:docVar w:name=" ADDIN NE.CacheRef.{31DEA555-94D8-4AE2-8627-D2E66DB5DE65}" w:val="{\rtf1\ansi\ansicpg936\pard\plain{\fonttbl{\f0\fnil\fcharset0\fprq2 Times New Roman;}}{\colortbl;\red0\green0\blue0;}{\f0\fs22\super\cf1 [}{\f0\fs22\super\cf1 27}{\f0\fs22\super\cf1 ]}}"/>
    <w:docVar w:name=" ADDIN NE.CacheRef.{347134D4-05B0-4B6D-BD65-B700C1A66314}" w:val="{\rtf1\ansi\ansicpg936\pard\plain{\fonttbl{\f0\fnil\fcharset0\fprq2 Times New Roman;}}{\colortbl;\red0\green0\blue0;}{\f0\fs22\super\cf1 [}{\f0\fs22\super\cf1 17}{\f0\fs22\super\cf1 ]}}"/>
    <w:docVar w:name=" ADDIN NE.CacheRef.{495A505D-01CB-4370-A887-D6D13D790F77}" w:val="{\rtf1\ansi\ansicpg936\pard\plain{\fonttbl{\f0\fnil\fcharset0\fprq2 Times New Roman;}}{\colortbl;\red0\green0\blue0;}{\f0\fs22\super\cf1 [}{\f0\fs22\super\cf1 2}{\f0\fs22\super\cf1 -}{\f0\fs22\super\cf1 4}{\f0\fs22\super\cf1 ]}}"/>
    <w:docVar w:name=" ADDIN NE.CacheRef.{62C60F95-3564-49EA-9475-E1E2642FC14A}" w:val="{\rtf1\ansi\ansicpg936\pard\plain{\fonttbl{\f0\fnil\fcharset0\fprq2 Times New Roman;}}{\colortbl;\red0\green0\blue0;}{\f0\fs22\super\cf1 [}{\f0\fs22\super\cf1 25}{\f0\fs22\super\cf1 ]}}"/>
    <w:docVar w:name=" ADDIN NE.CacheRef.{64F683C9-ED98-455E-95F6-A979E07481F4}" w:val="{\rtf1\ansi\ansicpg936\pard\plain{\fonttbl{\f0\fnil\fcharset0\fprq2 Times New Roman;}}{\colortbl;\red0\green0\blue0;}{\f0\fs22\super\cf1 [}{\f0\fs22\super\cf1 13}{\f0\fs22\super\cf1 ]}}"/>
    <w:docVar w:name=" ADDIN NE.CacheRef.{76914696-DE4E-4276-AA01-F22EC55F6FCB}" w:val="{\rtf1\ansi\ansicpg936\pard\plain{\fonttbl{\f0\fnil\fcharset0\fprq2 Times New Roman;}}{\colortbl;\red0\green0\blue0;}{\f0\fs22\super\cf1 [}{\f0\fs22\super\cf1 10}{\f0\fs22\super\cf1 ]}}"/>
    <w:docVar w:name=" ADDIN NE.CacheRef.{7F424280-B51D-4CA9-BECC-142BDBF5FBD8}" w:val="{\rtf1\ansi\ansicpg936\pard\plain{\fonttbl{\f0\fnil\fcharset0\fprq2 Times New Roman;}}{\colortbl;\red0\green0\blue0;}{\f0\fs22\super\cf1 [}{\f0\fs22\super\cf1 12}{\f0\fs22\super\cf1 ]}}"/>
    <w:docVar w:name=" ADDIN NE.CacheRef.{8DC30425-4B34-4D01-A3C0-4D8C4D9D520C}" w:val="{\rtf1\ansi\ansicpg936\pard\plain{\fonttbl{\f0\fnil\fcharset0\fprq2 Times New Roman;}}{\colortbl;\red0\green0\blue0;}{\f0\fs22\super\cf1 [}{\f0\fs22\super\cf1 18}{\f0\fs22\super\cf1 ]}}"/>
    <w:docVar w:name=" ADDIN NE.CacheRef.{9EEFF3DD-5DAE-4B4D-997D-69D0C0A9F154}" w:val="{\rtf1\ansi\ansicpg936\pard\plain{\fonttbl{\f0\fnil\fcharset0\fprq2 Times New Roman;}}{\colortbl;\red0\green0\blue0;}{\f0\fs22\super\cf1 [}{\f0\fs22\super\cf1 9}{\f0\fs22\super\cf1 ]}}"/>
    <w:docVar w:name=" ADDIN NE.CacheRef.{AF04E324-33BF-4312-AA95-D19D647862E8}" w:val="{\rtf1\ansi\ansicpg936\pard\plain{\fonttbl{\f0\fnil\fcharset0\fprq2 Times New Roman;}}{\colortbl;\red0\green0\blue0;}{\f0\fs22\super\cf1 [}{\f0\fs22\super\cf1 16}{\f0\fs22\super\cf1 ]}}"/>
    <w:docVar w:name=" ADDIN NE.CacheRef.{C335C741-D992-4E26-B3F0-56C5B3501485}" w:val="{\rtf1\ansi\ansicpg936\pard\plain{\fonttbl{\f0\fnil\fcharset0\fprq2 Times New Roman;}}{\colortbl;\red0\green0\blue0;}{\f0\fs22\super\cf1 [}{\f0\fs22\super\cf1 6}{\f0\fs22\super\cf1 ]}}"/>
    <w:docVar w:name=" ADDIN NE.CacheRef.{C6B05937-5D4C-451F-B78E-B00CB7C0D9C9}" w:val="{\rtf1\ansi\ansicpg936\pard\plain{\fonttbl{\f0\fnil\fcharset0\fprq2 Times New Roman;}}{\colortbl;\red0\green0\blue0;}{\f0\fs22\super\cf1 [}{\f0\fs22\super\cf1 14}{\f0\fs22\super\cf1 ]}}"/>
    <w:docVar w:name=" ADDIN NE.CacheRef.{CF9A1E92-1FD1-4BA3-9F97-84BDB1F4BE46}" w:val="{\rtf1\ansi\ansicpg936\pard\plain{\fonttbl{\f0\fnil\fcharset0\fprq2 Times New Roman;}}{\colortbl;\red0\green0\blue0;}{\f0\fs22\super\cf1 [}{\f0\fs22\super\cf1 11}{\f0\fs22\super\cf1 ]}}"/>
    <w:docVar w:name=" ADDIN NE.CacheRef.{D1FC3EC3-6781-485F-9F1C-5779D402C732}" w:val="{\rtf1\ansi\ansicpg936\pard\plain{\fonttbl{\f0\fnil\fcharset0\fprq2 Times New Roman;}}{\colortbl;\red0\green0\blue0;}{\f0\fs22\super\cf1 [}{\f0\fs22\super\cf1 21}{\f0\fs22\super\cf1 ]}}"/>
    <w:docVar w:name=" ADDIN NE.CacheRef.{D593DB18-662D-45D2-AE76-A85422E7B262}" w:val="{\rtf1\ansi\ansicpg936\pard\plain{\fonttbl{\f0\fnil\fcharset0\fprq2 Times New Roman;}}{\colortbl;\red0\green0\blue0;}{\f0\fs22\super\cf1 [}{\f0\fs22\super\cf1 28}{\f0\fs22\super\cf1 ]}}"/>
    <w:docVar w:name=" ADDIN NE.CacheRef.{E10DCEB7-6FD3-4978-BFAB-59AB984240F5}" w:val="{\rtf1\ansi\ansicpg936\pard\plain{\fonttbl{\f0\fnil\fcharset0\fprq2 Times New Roman;}}{\colortbl;\red0\green0\blue0;}{\f0\fs22\super\cf1 [}{\f0\fs22\super\cf1 15}{\f0\fs22\super\cf1 -}{\f0\fs22\super\cf1 16}{\f0\fs22\super\cf1 ]}}"/>
    <w:docVar w:name=" ADDIN NE.CacheRef.{E6DFB2BC-98CB-4ED2-A094-9FDD34C14947}" w:val="{\rtf1\ansi\ansicpg936\pard\plain{\fonttbl{\f0\fnil\fcharset0\fprq2 Times New Roman;}}{\colortbl;\red0\green0\blue0;}{\f0\fs22\super\cf1 [}{\f0\fs22\super\cf1 22}{\f0\fs22\super\cf1 ]}}"/>
    <w:docVar w:name=" ADDIN NE.CacheRef.{FC820519-3710-41D4-8AAF-7093F7FA107C}" w:val="{\rtf1\ansi\ansicpg936\pard\plain{\fonttbl{\f0\fnil\fcharset0\fprq2 Times New Roman;}}{\colortbl;\red0\green0\blue0;}{\f0\fs22\super\cf1 [}{\f0\fs22\super\cf1 7}{\f0\fs22\super\cf1 ]}}"/>
    <w:docVar w:name="EN.InstantFormat" w:val="&lt;ENInstantFormat&gt;&lt;Enabled&gt;1&lt;/Enabled&gt;&lt;ScanUnformatted&gt;1&lt;/ScanUnformatted&gt;&lt;ScanChanges&gt;1&lt;/ScanChanges&gt;&lt;Suspended&gt;0&lt;/Suspended&gt;&lt;/ENInstantFormat&gt;"/>
    <w:docVar w:name="EN.Layout" w:val="&lt;ENLayout&gt;&lt;Style&gt;Biomatter Center&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ddwe2r8f2w5cef55zvetfyttsw5f2xpefe&quot;&gt;我的 EndNote 个人图书馆 &lt;record-ids&gt;&lt;item&gt;88&lt;/item&gt;&lt;/record-ids&gt;&lt;/item&gt;&lt;/Libraries&gt;"/>
    <w:docVar w:name="NE.Ref{00A209B8-CEA2-4DDD-969B-3F18912BF6AA}" w:val=" ADDIN NE.Ref.{00A209B8-CEA2-4DDD-969B-3F18912BF6AA}&lt;Citation&gt;&lt;Group&gt;&lt;References&gt;&lt;Item&gt;&lt;ID&gt;4204&lt;/ID&gt;&lt;UID&gt;{93D27FE5-B2F0-4AE6-AA2C-6DD298BD074B}&lt;/UID&gt;&lt;Title&gt;Recent Advances in Nanomedicine for Ocular Fundus Neovascularization Disease Management&lt;/Title&gt;&lt;Template&gt;Journal Article&lt;/Template&gt;&lt;Star&gt;1&lt;/Star&gt;&lt;Tag&gt;0&lt;/Tag&gt;&lt;Author&gt;Zhou, Yifan; Xu, Mingyu; Shen, Wenyue; Xu, Yufeng; Shao, An; Xu, Peifang; Yao, Ke; Han, Haijie; Ye, Juan&lt;/Author&gt;&lt;Year&gt;2024&lt;/Year&gt;&lt;Details&gt;&lt;_accessed&gt;66307548&lt;/_accessed&gt;&lt;_accession_num&gt;38406994&lt;/_accession_num&gt;&lt;_collection_scope&gt;SCIE;EI&lt;/_collection_scope&gt;&lt;_created&gt;66302558&lt;/_created&gt;&lt;_date&gt;2024-07-01&lt;/_date&gt;&lt;_date_display&gt;2024/07/&lt;/_date_display&gt;&lt;_db_updated&gt;PubMed&lt;/_db_updated&gt;&lt;_doi&gt;10.1002/adhm.202304626&lt;/_doi&gt;&lt;_impact_factor&gt;  10.000&lt;/_impact_factor&gt;&lt;_isbn&gt;2192-2659&lt;/_isbn&gt;&lt;_issue&gt;17&lt;/_issue&gt;&lt;_journal&gt;Advanced healthcare materials&lt;/_journal&gt;&lt;_keywords&gt;choroidal neovascularization; nanomedicine; ocular drug delivery; retinal neovascularization; smart nanocarriers; stimuli‐responsive; Humans; *Nanomedicine/methods; Nanoparticles/chemistry; Drug Delivery Systems/methods; Animals; Fundus Oculi; Neovascularization, Pathologic/drug therapy; Drug Carriers/chemistry; Retinal Neovascularization/drug therapy/pathology; Angiogenesis Inhibitors/administration &amp;amp; dosage/chemistry/therapeutic use&lt;/_keywords&gt;&lt;_modified&gt;66307548&lt;/_modified&gt;&lt;_pages&gt;e2304626&lt;/_pages&gt;&lt;_place_published&gt;Germany&lt;/_place_published&gt;&lt;_social_category&gt;工程：生物医学(2) &amp;amp; 材料科学：生物材料(2) &amp;amp; 纳米科技(2)&lt;/_social_category&gt;&lt;_url&gt;https://pubmed.ncbi.nlm.nih.gov/38406994_x000d__x000a_https://www.ncbi.nlm.nih.gov/pmc/articles/PMC11468720/&lt;/_url&gt;&lt;_volume&gt;13&lt;/_volume&gt;&lt;_language&gt;English&lt;/_language&gt;&lt;/Details&gt;&lt;Extra&gt;&lt;DBUID&gt;{03752FAB-B361-4F66-989B-C711D9502F78}&lt;/DBUID&gt;&lt;/Extra&gt;&lt;/Item&gt;&lt;/References&gt;&lt;/Group&gt;&lt;/Citation&gt;_x000a_"/>
    <w:docVar w:name="NE.Ref{14EA587C-CD4F-4388-A168-D4896109A7D7}" w:val=" ADDIN NE.Ref.{14EA587C-CD4F-4388-A168-D4896109A7D7}&lt;Citation&gt;&lt;Group&gt;&lt;References&gt;&lt;Item&gt;&lt;ID&gt;4399&lt;/ID&gt;&lt;UID&gt;{A5D55D92-6AFD-41E2-BB59-D99CA43FB9A6}&lt;/UID&gt;&lt;Title&gt;High mobility group B1 up-regulates angiogenic and fibrogenic factors in human retinal pigment epithelial ARPE-19 cells&lt;/Title&gt;&lt;Template&gt;Journal Article&lt;/Template&gt;&lt;Star&gt;0&lt;/Star&gt;&lt;Tag&gt;0&lt;/Tag&gt;&lt;Author&gt;Chang, Yo-Chen; Lin, Chia-Wei; Hsieh, Ming-Chu; Wu, Horng-Jiun; Wu, Wen-Sheng; Wu, Wen-Chuan; Kao, Ying-Hsien&lt;/Author&gt;&lt;Year&gt;2017&lt;/Year&gt;&lt;Details&gt;&lt;_accession_num&gt;28970183&lt;/_accession_num&gt;&lt;_date_display&gt;2017/12/&lt;/_date_display&gt;&lt;_date&gt;2017-12-01&lt;/_date&gt;&lt;_doi&gt;10.1016/j.cellsig.2017.09.019&lt;/_doi&gt;&lt;_isbn&gt;1873-3913&lt;/_isbn&gt;&lt;_journal&gt;Cellular signalling&lt;/_journal&gt;&lt;_keywords&gt;Angiogenesis; Hypoxia; RAGE; Signal transduction; TLR4; Tissue remodeling; Angiogenesis Inducing Agents/*metabolism; Autocrine Communication/genetics; Cell Hypoxia/drug effects/genetics; Cell Proliferation/drug effects; Cobalt/administration &amp;amp; dosage; Diabetic Retinopathy/drug therapy/*genetics/pathology; Gene Expression Regulation, Developmental/drug effects; HMGB1 Protein/administration &amp;amp; dosage/*genetics/metabolism; Humans; Peptides/*administration &amp;amp; dosage/genetics/metabolism; Retinal Pigment Epithelium/*drug effects/metabolism; Signal Transduction/drug effects; p38 Mitogen-Activated Protein Kinases/genetics&lt;/_keywords&gt;&lt;_pages&gt;248-257&lt;/_pages&gt;&lt;_place_published&gt;England&lt;/_place_published&gt;&lt;_url&gt;https://pubmed.ncbi.nlm.nih.gov/28970183&lt;/_url&gt;&lt;_volume&gt;40&lt;/_volume&gt;&lt;_created&gt;66308240&lt;/_created&gt;&lt;_modified&gt;66308241&lt;/_modified&gt;&lt;_db_updated&gt;PubMed&lt;/_db_updated&gt;&lt;_impact_factor&gt;   4.400&lt;/_impact_factor&gt;&lt;_social_category&gt;细胞生物学(3)&lt;/_social_category&gt;&lt;_collection_scope&gt;SCIE&lt;/_collection_scope&gt;&lt;_accessed&gt;66308241&lt;/_accessed&gt;&lt;_language&gt;English&lt;/_language&gt;&lt;/Details&gt;&lt;Extra&gt;&lt;DBUID&gt;{03752FAB-B361-4F66-989B-C711D9502F78}&lt;/DBUID&gt;&lt;/Extra&gt;&lt;/Item&gt;&lt;/References&gt;&lt;/Group&gt;&lt;Group&gt;&lt;References&gt;&lt;Item&gt;&lt;ID&gt;4400&lt;/ID&gt;&lt;UID&gt;{52B99F7D-1764-4322-A09A-C3A7AD3FFB94}&lt;/UID&gt;&lt;Title&gt;NKILA inhibition protects retinal pigment epithelium cells from hypoxia by facilitating NFκB activation&lt;/Title&gt;&lt;Template&gt;Journal Article&lt;/Template&gt;&lt;Star&gt;0&lt;/Star&gt;&lt;Tag&gt;0&lt;/Tag&gt;&lt;Author&gt;Zhou, Qing; Zhou, Lu; Qian, Jing; Yuan, Zhi-Lan; Chen, Zhi-Jun&lt;/Author&gt;&lt;Year&gt;2018&lt;/Year&gt;&lt;Details&gt;&lt;_accession_num&gt;30144973&lt;/_accession_num&gt;&lt;_date_display&gt;2018/09/18&lt;/_date_display&gt;&lt;_date&gt;2018-09-18&lt;/_date&gt;&lt;_doi&gt;10.1016/j.bbrc.2018.08.105&lt;/_doi&gt;&lt;_isbn&gt;1090-2104&lt;/_isbn&gt;&lt;_issue&gt;4&lt;/_issue&gt;&lt;_journal&gt;Biochemical and biophysical research communications&lt;/_journal&gt;&lt;_keywords&gt;Hypoxia; NFκB; NKILA; Retinal pigment epithelium (RPE) cells; microRNA-103; Cell Death; Cell Line; Cells, Cultured; Down-Regulation; Gene Expression Regulation; Humans; Hypoxia/*genetics/metabolism/pathology; MicroRNAs/genetics; NF-kappa B/*metabolism; RNA, Long Noncoding/*genetics/metabolism; Retinal Pigment Epithelium/cytology/*metabolism/pathology; *Up-Regulation&lt;/_keywords&gt;&lt;_pages&gt;3134-3141&lt;/_pages&gt;&lt;_place_published&gt;United States&lt;/_place_published&gt;&lt;_url&gt;https://pubmed.ncbi.nlm.nih.gov/30144973&lt;/_url&gt;&lt;_volume&gt;503&lt;/_volume&gt;&lt;_created&gt;66308241&lt;/_created&gt;&lt;_modified&gt;66308241&lt;/_modified&gt;&lt;_db_updated&gt;PubMed&lt;/_db_updated&gt;&lt;_impact_factor&gt;   2.500&lt;/_impact_factor&gt;&lt;_social_category&gt;生化与分子生物学(4) &amp;amp; 生物物理(3)&lt;/_social_category&gt;&lt;_collection_scope&gt;SCIE&lt;/_collection_scope&gt;&lt;_accessed&gt;66308242&lt;/_accessed&gt;&lt;_language&gt;English&lt;/_language&gt;&lt;/Details&gt;&lt;Extra&gt;&lt;DBUID&gt;{03752FAB-B361-4F66-989B-C711D9502F78}&lt;/DBUID&gt;&lt;/Extra&gt;&lt;/Item&gt;&lt;/References&gt;&lt;/Group&gt;&lt;/Citation&gt;_x000a_"/>
    <w:docVar w:name="NE.Ref{18FAD53D-F708-44B2-829C-002340B62463}" w:val=" ADDIN NE.Ref.{18FAD53D-F708-44B2-829C-002340B62463}&lt;Citation&gt;&lt;Group&gt;&lt;References&gt;&lt;Item&gt;&lt;ID&gt;4404&lt;/ID&gt;&lt;UID&gt;{62D246DF-995A-47E3-A57D-B82320E489FB}&lt;/UID&gt;&lt;Title&gt;ALDH2 Overexpression Improves the Blood-brain Barrier and Represses Mitochondrial Dysfunction in Chronic Cerebral Hypoperfusion Through the SIRT1/ROS Axis&lt;/Title&gt;&lt;Template&gt;Journal Article&lt;/Template&gt;&lt;Star&gt;0&lt;/Star&gt;&lt;Tag&gt;0&lt;/Tag&gt;&lt;Author&gt;Liu, Lu; Deng, Qian; Xie, Le; Wu, Dahua; Zheng, Hang; Jiang, Junlin; Shi, Hongmei; Yao, Ting&lt;/Author&gt;&lt;Year&gt;2025&lt;/Year&gt;&lt;Details&gt;&lt;_accession_num&gt;39964551&lt;/_accession_num&gt;&lt;_date_display&gt;2025/02/18&lt;/_date_display&gt;&lt;_date&gt;2025-02-18&lt;/_date&gt;&lt;_doi&gt;10.1007/s11064-025-04353-7&lt;/_doi&gt;&lt;_isbn&gt;1573-6903&lt;/_isbn&gt;&lt;_issue&gt;2&lt;/_issue&gt;&lt;_journal&gt;Neurochemical research&lt;/_journal&gt;&lt;_keywords&gt;ALDH2; BCCAO; Blood-brain barrier; Chronic cerebral hypoperfusion; Mitochondrial function; SIRT1; Animals; *Sirtuin 1/metabolism; *Aldehyde Dehydrogenase, Mitochondrial/metabolism/genetics/biosynthesis; *Blood-Brain Barrier/metabolism; *Mitochondria/metabolism/pathology; Male; Rats, Sprague-Dawley; *Reactive Oxygen Species/metabolism; Rats; Oxidative Stress/physiology; *Brain Ischemia/metabolism; Membrane Potential, Mitochondrial/physiology; Neurons/metabolism&lt;/_keywords&gt;&lt;_pages&gt;102&lt;/_pages&gt;&lt;_place_published&gt;United States&lt;/_place_published&gt;&lt;_url&gt;https://pubmed.ncbi.nlm.nih.gov/39964551&lt;/_url&gt;&lt;_volume&gt;50&lt;/_volume&gt;&lt;_created&gt;66308249&lt;/_created&gt;&lt;_modified&gt;66308249&lt;/_modified&gt;&lt;_db_updated&gt;PubMed&lt;/_db_updated&gt;&lt;_impact_factor&gt;   3.700&lt;/_impact_factor&gt;&lt;_social_category&gt;生化与分子生物学(3) &amp;amp; 神经科学(3)&lt;/_social_category&gt;&lt;_collection_scope&gt;SCIE&lt;/_collection_scope&gt;&lt;_accessed&gt;66308249&lt;/_accessed&gt;&lt;/Details&gt;&lt;Extra&gt;&lt;DBUID&gt;{03752FAB-B361-4F66-989B-C711D9502F78}&lt;/DBUID&gt;&lt;/Extra&gt;&lt;/Item&gt;&lt;/References&gt;&lt;/Group&gt;&lt;/Citation&gt;_x000a_"/>
    <w:docVar w:name="NE.Ref{1ADF0B11-DB5A-41CE-891C-0CA98CEB83B8}" w:val=" ADDIN NE.Ref.{1ADF0B11-DB5A-41CE-891C-0CA98CEB83B8}&lt;Citation&gt;&lt;Group&gt;&lt;References&gt;&lt;Item&gt;&lt;ID&gt;4401&lt;/ID&gt;&lt;UID&gt;{952AD294-353B-4B22-BE68-E0ABD2DCEDC1}&lt;/UID&gt;&lt;Title&gt;ALDH2/eIF3E Interaction Modulates Protein Translation Critical for Cardiomyocyte Ferroptosis in Acute Myocardial Ischemia Injury&lt;/Title&gt;&lt;Template&gt;Journal Article&lt;/Template&gt;&lt;Star&gt;0&lt;/Star&gt;&lt;Tag&gt;0&lt;/Tag&gt;&lt;Author&gt;Chen, Xin; Yu, Xiujian; Zhong, Shanshan; Sha, Ping; Li, Rui; Xu, Xiaodong; Liang, Ningning; Zhang, Lili; Li, Luxiao; Zhang, Jingyu; Zhou, Mingyao; Lv, Tongwei; Ma, Haoran; Wang, Yongqiang; Ye, Yanwen; Yin, Chunzhao; Chen, Shiting; Tian, Jinwei; Sun, Aijun; Wang, Weiyuan; Yan, Dewen; Yang, Huang-Tian; Huang, Hui; Li, Pan; Yin, Huiyong&lt;/Author&gt;&lt;Year&gt;2026&lt;/Year&gt;&lt;Details&gt;&lt;_accession_num&gt;41111418&lt;/_accession_num&gt;&lt;_date_display&gt;2026/01/20&lt;/_date_display&gt;&lt;_date&gt;2026-01-20&lt;/_date&gt;&lt;_doi&gt;10.1161/CIRCULATIONAHA.125.075220&lt;/_doi&gt;&lt;_isbn&gt;1524-4539&lt;/_isbn&gt;&lt;_issue&gt;3&lt;/_issue&gt;&lt;_journal&gt;Circulation&lt;/_journal&gt;&lt;_keywords&gt;ALDH2; eIF3E; ferroptosis; myocardial infarction; protein translation; *Aldehyde Dehydrogenase, Mitochondrial/genetics/metabolism; *Ferroptosis; Animals; Humans; *Myocytes, Cardiac/metabolism/pathology; Mice; Male; Female; *Myocardial Infarction/genetics/pathology; Disease Models, Animal; Middle Aged; Mice, Inbred C57BL; Lipid Peroxidation; *Myocardial Ischemia/pathology/genetics/metabolism&lt;/_keywords&gt;&lt;_pages&gt;164-184&lt;/_pages&gt;&lt;_place_published&gt;United States&lt;/_place_published&gt;&lt;_url&gt;https://pubmed.ncbi.nlm.nih.gov/41111418&lt;/_url&gt;&lt;_volume&gt;153&lt;/_volume&gt;&lt;_created&gt;66308245&lt;/_created&gt;&lt;_modified&gt;66308245&lt;/_modified&gt;&lt;_db_updated&gt;PubMed&lt;/_db_updated&gt;&lt;_impact_factor&gt;  35.600&lt;/_impact_factor&gt;&lt;_social_category&gt;心脏和心血管系统(1) &amp;amp; 外周血管病(1)&lt;/_social_category&gt;&lt;_collection_scope&gt;SCIE&lt;/_collection_scope&gt;&lt;_accessed&gt;66308245&lt;/_accessed&gt;&lt;/Details&gt;&lt;Extra&gt;&lt;DBUID&gt;{03752FAB-B361-4F66-989B-C711D9502F78}&lt;/DBUID&gt;&lt;/Extra&gt;&lt;/Item&gt;&lt;/References&gt;&lt;/Group&gt;&lt;/Citation&gt;_x000a_"/>
    <w:docVar w:name="NE.Ref{1E8D406A-CCA7-4217-937F-2877475FF138}" w:val=" ADDIN NE.Ref.{1E8D406A-CCA7-4217-937F-2877475FF138}&lt;Citation&gt;&lt;Group&gt;&lt;References&gt;&lt;Item&gt;&lt;ID&gt;4284&lt;/ID&gt;&lt;UID&gt;{9463B287-9600-445B-BFA9-E0740AB4716A}&lt;/UID&gt;&lt;Title&gt;ALDH2 rs671 variant enhances platelet activation and thrombosis by disrupting mitochondrial complex I assembly&lt;/Title&gt;&lt;Template&gt;Journal Article&lt;/Template&gt;&lt;Star&gt;0&lt;/Star&gt;&lt;Tag&gt;0&lt;/Tag&gt;&lt;Author&gt;Zhong, Haoxuan; Waresi, Maieryemu; Qi, Zhiyong; Zhou, Luning; Zhang, Wei; Sun, Xiaolei; Han, Liping; Chen, Zhihan; Zhou, Wenxuan; Zhang, Peng; Xu, Huajie; Zhang, Si; Wu, Hongyi; Sun, Aijun; Ge, Junbo&lt;/Author&gt;&lt;Year&gt;2025&lt;/Year&gt;&lt;Details&gt;&lt;_accession_num&gt;41150615&lt;/_accession_num&gt;&lt;_date_display&gt;2025/11/22&lt;/_date_display&gt;&lt;_date&gt;2025-11-22&lt;/_date&gt;&lt;_doi&gt;10.1093/cvr/cvaf194&lt;/_doi&gt;&lt;_isbn&gt;1755-3245&lt;/_isbn&gt;&lt;_issue&gt;14&lt;/_issue&gt;&lt;_journal&gt;Cardiovascular research&lt;/_journal&gt;&lt;_keywords&gt;Aldehyde dehydrogenase 2; Mitochondrial complex I; NAD+; Platelet activation; ROS; Thrombosis; Animals; *Aldehyde Dehydrogenase, Mitochondrial/genetics/metabolism/deficiency; *Platelet Activation/drug effects/genetics; Humans; *Blood Platelets/enzymology/drug effects; Mice, Knockout; *Thrombosis/genetics/enzymology/blood/prevention &amp;amp; control; *Electron Transport Complex I/metabolism/genetics; Disease Models, Animal; Male; Case-Control Studies; Reactive Oxygen Species/metabolism; Mice, Inbred C57BL; Female; *Mitochondria/enzymology; Genetic Predisposition to Disease; Signal Transduction; NAD/pharmacology; NADPH Oxidase 1/metabolism; Middle Aged; Phenotype&lt;/_keywords&gt;&lt;_pages&gt;2246-2259&lt;/_pages&gt;&lt;_place_published&gt;England&lt;/_place_published&gt;&lt;_url&gt;https://pubmed.ncbi.nlm.nih.gov/41150615&lt;/_url&gt;&lt;_volume&gt;121&lt;/_volume&gt;&lt;_created&gt;66307563&lt;/_created&gt;&lt;_modified&gt;66307570&lt;/_modified&gt;&lt;_db_updated&gt;PubMed&lt;/_db_updated&gt;&lt;_impact_factor&gt;  10.400&lt;/_impact_factor&gt;&lt;_social_category&gt;心脏和心血管系统(2)&lt;/_social_category&gt;&lt;_collection_scope&gt;SCIE&lt;/_collection_scope&gt;&lt;_accessed&gt;66307570&lt;/_accessed&gt;&lt;_language&gt;English&lt;/_language&gt;&lt;/Details&gt;&lt;Extra&gt;&lt;DBUID&gt;{03752FAB-B361-4F66-989B-C711D9502F78}&lt;/DBUID&gt;&lt;/Extra&gt;&lt;/Item&gt;&lt;/References&gt;&lt;/Group&gt;&lt;/Citation&gt;_x000a_"/>
    <w:docVar w:name="NE.Ref{2E826DB9-BAFF-489D-9E8E-91DFFF81911C}" w:val=" ADDIN NE.Ref.{2E826DB9-BAFF-489D-9E8E-91DFFF81911C}&lt;Citation&gt;&lt;Group&gt;&lt;References&gt;&lt;Item&gt;&lt;ID&gt;4402&lt;/ID&gt;&lt;UID&gt;{85D50324-CEB5-4865-A73F-74B02FD02647}&lt;/UID&gt;&lt;Title&gt;Shexiang Baoxin Pill Attenuates Ischemic Injury by Promoting Angiogenesis by Activation of Aldehyde Dehydrogenase 2&lt;/Title&gt;&lt;Template&gt;Journal Article&lt;/Template&gt;&lt;Star&gt;0&lt;/Star&gt;&lt;Tag&gt;0&lt;/Tag&gt;&lt;Author&gt;Hu, Jingjing; Zhao, Yongchao; Wu, Yonghui; Yang, Kun; Hu, Kai; Sun, Aijun; Ge, Junbo&lt;/Author&gt;&lt;Year&gt;2021&lt;/Year&gt;&lt;Details&gt;&lt;_accession_num&gt;33662981&lt;/_accession_num&gt;&lt;_date_display&gt;2021/03/01&lt;/_date_display&gt;&lt;_date&gt;2021-03-01&lt;/_date&gt;&lt;_doi&gt;10.1097/FJC.0000000000000967&lt;/_doi&gt;&lt;_isbn&gt;1533-4023&lt;/_isbn&gt;&lt;_issue&gt;3&lt;/_issue&gt;&lt;_journal&gt;Journal of cardiovascular pharmacology&lt;/_journal&gt;&lt;_keywords&gt;Aldehyde Dehydrogenase, Mitochondrial/genetics/*metabolism; Angiogenesis Inducing Agents/*pharmacology; Animals; Cell Hypoxia; Cell Movement/drug effects; Cell Proliferation/drug effects; Cells, Cultured; Disease Models, Animal; Drugs, Chinese Herbal/*pharmacology; Endothelial Cells/*drug effects/enzymology; Enzyme Activation; Hindlimb/*blood supply; Ischemia/*drug therapy/enzymology/physiopathology; Male; Mice, Inbred C57BL; Mice, Knockout; Neovascularization, Physiologic/*drug effects; Proto-Oncogene Proteins c-akt/metabolism; Rats, Sprague-Dawley; Regional Blood Flow; Signal Transduction; Mice; Rats&lt;/_keywords&gt;&lt;_pages&gt;408-417&lt;/_pages&gt;&lt;_place_published&gt;United States&lt;/_place_published&gt;&lt;_url&gt;https://pubmed.ncbi.nlm.nih.gov/33662981&lt;/_url&gt;&lt;_volume&gt;77&lt;/_volume&gt;&lt;_created&gt;66308245&lt;/_created&gt;&lt;_modified&gt;66308245&lt;/_modified&gt;&lt;_db_updated&gt;PubMed&lt;/_db_updated&gt;&lt;_impact_factor&gt;   2.600&lt;/_impact_factor&gt;&lt;_social_category&gt;心脏和心血管系统(4) &amp;amp; 药学(4)&lt;/_social_category&gt;&lt;_collection_scope&gt;SCIE&lt;/_collection_scope&gt;&lt;_accessed&gt;66308245&lt;/_accessed&gt;&lt;/Details&gt;&lt;Extra&gt;&lt;DBUID&gt;{03752FAB-B361-4F66-989B-C711D9502F78}&lt;/DBUID&gt;&lt;/Extra&gt;&lt;/Item&gt;&lt;/References&gt;&lt;/Group&gt;&lt;/Citation&gt;_x000a_"/>
    <w:docVar w:name="NE.Ref{30DEE01D-4F49-46D1-9CD1-D3D3ADE38F45}" w:val=" ADDIN NE.Ref.{30DEE01D-4F49-46D1-9CD1-D3D3ADE38F45}&lt;Citation&gt;&lt;Group&gt;&lt;References&gt;&lt;Item&gt;&lt;ID&gt;4241&lt;/ID&gt;&lt;UID&gt;{94D6DABC-40D3-4B89-9666-138BFC041033}&lt;/UID&gt;&lt;Title&gt;Engineered virus-like particle-assembled Vegfa-targeting Cas9 ribonucleoprotein treatment alleviates neovascularization in wet age-related macular degeneration&lt;/Title&gt;&lt;Template&gt;Journal Article&lt;/Template&gt;&lt;Star&gt;0&lt;/Star&gt;&lt;Tag&gt;0&lt;/Tag&gt;&lt;Author&gt;Wu, Jun; Jang, Hyewon; Kwak, Hyunjong; Son, Minchae; Jiang, Weiyan; Hwang, Hye-Yeon; Jo, Dong Hyun; Kim, Daesik; Kim, Hyongbum Henry; Kim, Jeong Hun&lt;/Author&gt;&lt;Year&gt;2025&lt;/Year&gt;&lt;Details&gt;&lt;_accession_num&gt;41068986&lt;/_accession_num&gt;&lt;_date_display&gt;2025/10/09&lt;/_date_display&gt;&lt;_date&gt;2025-10-09&lt;/_date&gt;&lt;_doi&gt;10.1186/s13059-025-03774-5&lt;/_doi&gt;&lt;_isbn&gt;1474-760X&lt;/_isbn&gt;&lt;_issue&gt;1&lt;/_issue&gt;&lt;_journal&gt;Genome biology&lt;/_journal&gt;&lt;_keywords&gt;Age-related macular degeneration; Cas9 ribonucleoprotein; Engineered virus-like particles; Laser-induced choroidal neovascularization; Vascular endothelial growth factor; Animals; *Vascular Endothelial Growth Factor A/genetics/metabolism; Mice; Gene Editing/methods; *Ribonucleoproteins/genetics; *CRISPR-Associated Protein 9/genetics/metabolism; *Choroidal Neovascularization/therapy/genetics; CRISPR-Cas Systems; NIH 3T3 Cells; Disease Models, Animal; Humans; *Wet Macular Degeneration/therapy/genetics; Genetic Therapy; *Macular Degeneration/therapy/genetics&lt;/_keywords&gt;&lt;_pages&gt;346&lt;/_pages&gt;&lt;_place_published&gt;England&lt;/_place_published&gt;&lt;_url&gt;https://pubmed.ncbi.nlm.nih.gov/41068986_x000d__x000a_https://www.ncbi.nlm.nih.gov/pmc/articles/PMC12509411/&lt;/_url&gt;&lt;_volume&gt;26&lt;/_volume&gt;&lt;_created&gt;66307549&lt;/_created&gt;&lt;_modified&gt;66307563&lt;/_modified&gt;&lt;_db_updated&gt;PubMed&lt;/_db_updated&gt;&lt;_impact_factor&gt;  10.100&lt;/_impact_factor&gt;&lt;_social_category&gt;生物工程与应用微生物(1) &amp;amp; 遗传学(1)&lt;/_social_category&gt;&lt;_collection_scope&gt;SCIE&lt;/_collection_scope&gt;&lt;_accessed&gt;66307554&lt;/_accessed&gt;&lt;_language&gt;English&lt;/_language&gt;&lt;/Details&gt;&lt;Extra&gt;&lt;DBUID&gt;{03752FAB-B361-4F66-989B-C711D9502F78}&lt;/DBUID&gt;&lt;/Extra&gt;&lt;/Item&gt;&lt;/References&gt;&lt;/Group&gt;&lt;/Citation&gt;_x000a_"/>
    <w:docVar w:name="NE.Ref{31DEA555-94D8-4AE2-8627-D2E66DB5DE65}" w:val=" ADDIN NE.Ref.{31DEA555-94D8-4AE2-8627-D2E66DB5DE65}&lt;Citation&gt;&lt;Group&gt;&lt;References&gt;&lt;Item&gt;&lt;ID&gt;4405&lt;/ID&gt;&lt;UID&gt;{00E4E92F-79C8-435A-95F3-E010B4A56C1D}&lt;/UID&gt;&lt;Title&gt;Estrogen via GPER downregulated HIF-1a and MIF expression, attenuated cardiac arrhythmias, and myocardial inflammation during hypobaric hypoxia&lt;/Title&gt;&lt;Template&gt;Journal Article&lt;/Template&gt;&lt;Star&gt;0&lt;/Star&gt;&lt;Tag&gt;0&lt;/Tag&gt;&lt;Author&gt;Wowui, Prosperl Ivette; Mprah, Richard; Ndzie Noah, Marie Louise; Adu-Amankwaah, Joseph; Kanoseh, Anastasia Wemaaatu Lamawura; Tao, Li; Chulu, Diana; Yalley, Simon Kumah; Shaheen, Saffia; Sun, Hong&lt;/Author&gt;&lt;Year&gt;2025&lt;/Year&gt;&lt;Details&gt;&lt;_accession_num&gt;40108505&lt;/_accession_num&gt;&lt;_date_display&gt;2025/03/20&lt;/_date_display&gt;&lt;_date&gt;2025-03-20&lt;/_date&gt;&lt;_doi&gt;10.1186/s10020-025-01144-2&lt;/_doi&gt;&lt;_isbn&gt;1528-3658&lt;/_isbn&gt;&lt;_issue&gt;1&lt;/_issue&gt;&lt;_journal&gt;Molecular medicine (Cambridge, Mass.)&lt;/_journal&gt;&lt;_keywords&gt;Estrogen; G-protein-coupled estrogen receptor; Hypobaric hypoxia; Hypoxia-inducible factor-1α; Macrophage migration inhibitory factor; Myocardial inflammation; Animals; *Macrophage Migration-Inhibitory Factors/metabolism/genetics; *Hypoxia-Inducible Factor 1, alpha Subunit/metabolism/genetics; Female; Mice; *Receptors, G-Protein-Coupled/metabolism; *Receptors, Estrogen/metabolism; *Arrhythmias, Cardiac/metabolism/etiology; *Estrogens/pharmacology/metabolism; *Hypoxia/metabolism/complications; Inflammation/metabolism; Myocardium/metabolism/pathology; *Intramolecular Oxidoreductases/metabolism/genetics; Down-Regulation; Ovariectomy&lt;/_keywords&gt;&lt;_pages&gt;107&lt;/_pages&gt;&lt;_place_published&gt;England&lt;/_place_published&gt;&lt;_url&gt;https://pubmed.ncbi.nlm.nih.gov/40108505_x000d__x000a_https://www.ncbi.nlm.nih.gov/pmc/articles/PMC11924608/&lt;/_url&gt;&lt;_volume&gt;31&lt;/_volume&gt;&lt;_created&gt;66308252&lt;/_created&gt;&lt;_modified&gt;66308253&lt;/_modified&gt;&lt;_db_updated&gt;PubMed&lt;/_db_updated&gt;&lt;_accessed&gt;66308253&lt;/_accessed&gt;&lt;/Details&gt;&lt;Extra&gt;&lt;DBUID&gt;{03752FAB-B361-4F66-989B-C711D9502F78}&lt;/DBUID&gt;&lt;/Extra&gt;&lt;/Item&gt;&lt;/References&gt;&lt;/Group&gt;&lt;/Citation&gt;_x000a_"/>
    <w:docVar w:name="NE.Ref{347134D4-05B0-4B6D-BD65-B700C1A66314}" w:val=" ADDIN NE.Ref.{347134D4-05B0-4B6D-BD65-B700C1A66314}&lt;Citation&gt;&lt;Group&gt;&lt;References&gt;&lt;Item&gt;&lt;ID&gt;4353&lt;/ID&gt;&lt;UID&gt;{F1992694-849B-4400-BFFE-2CF813B7803C}&lt;/UID&gt;&lt;Title&gt;Glycine-Conjugated Bile Acids Protect RPE Tight Junctions against Oxidative Stress and Inhibit Choroidal Endothelial Cell Angiogenesis In Vitro&lt;/Title&gt;&lt;Template&gt;Journal Article&lt;/Template&gt;&lt;Star&gt;0&lt;/Star&gt;&lt;Tag&gt;0&lt;/Tag&gt;&lt;Author&gt;Warden, Cassandra; Brantley, Milam A Jr&lt;/Author&gt;&lt;Year&gt;2021&lt;/Year&gt;&lt;Details&gt;&lt;_accession_num&gt;33922434&lt;/_accession_num&gt;&lt;_date_display&gt;2021/04/23&lt;/_date_display&gt;&lt;_date&gt;2021-04-23&lt;/_date&gt;&lt;_doi&gt;10.3390/biom11050626&lt;/_doi&gt;&lt;_isbn&gt;2218-273X&lt;/_isbn&gt;&lt;_issue&gt;5&lt;/_issue&gt;&lt;_journal&gt;Biomolecules&lt;/_journal&gt;&lt;_keywords&gt;GCA; GDCA; GUDCA; RPE; age-related macular degeneration; angiogenesis; bile acids; choroidal endothelial cell; Angiogenesis Inhibitors/pharmacology; Animals; Bile Acids and Salts/*metabolism; Cell Culture Techniques; Cell Movement/drug effects; Cell Proliferation/drug effects; Choroid/metabolism; Endothelial Cells/metabolism; Glycine/metabolism; Glycocholic Acid/pharmacology; Glycodeoxycholic Acid/pharmacology; Humans; Macaca mulatta; Neovascularization, Pathologic/metabolism/*prevention &amp;amp; control; Oxidative Stress/drug effects; Retinal Pigment Epithelium/*metabolism; Tight Junctions/metabolism; Ursodeoxycholic Acid/analogs &amp;amp; derivatives/pharmacology; Vascular Endothelial Growth Factor A/metabolism; Wet Macular Degeneration/metabolism&lt;/_keywords&gt;&lt;_pages&gt;626&lt;/_pages&gt;&lt;_place_published&gt;Switzerland&lt;/_place_published&gt;&lt;_url&gt;https://pubmed.ncbi.nlm.nih.gov/33922434_x000d__x000a_https://www.ncbi.nlm.nih.gov/pmc/articles/PMC8146504/&lt;/_url&gt;&lt;_volume&gt;11&lt;/_volume&gt;&lt;_created&gt;66307595&lt;/_created&gt;&lt;_modified&gt;66307600&lt;/_modified&gt;&lt;_db_updated&gt;PubMed&lt;/_db_updated&gt;&lt;_impact_factor&gt;   4.800&lt;/_impact_factor&gt;&lt;_social_category&gt;生化与分子生物学(3)&lt;/_social_category&gt;&lt;_collection_scope&gt;SCIE&lt;/_collection_scope&gt;&lt;_accessed&gt;66307600&lt;/_accessed&gt;&lt;_language&gt;English&lt;/_language&gt;&lt;/Details&gt;&lt;Extra&gt;&lt;DBUID&gt;{03752FAB-B361-4F66-989B-C711D9502F78}&lt;/DBUID&gt;&lt;/Extra&gt;&lt;/Item&gt;&lt;/References&gt;&lt;/Group&gt;&lt;/Citation&gt;_x000a_"/>
    <w:docVar w:name="NE.Ref{495A505D-01CB-4370-A887-D6D13D790F77}" w:val=" ADDIN NE.Ref.{495A505D-01CB-4370-A887-D6D13D790F77}&lt;Citation&gt;&lt;Group&gt;&lt;References&gt;&lt;Item&gt;&lt;ID&gt;4251&lt;/ID&gt;&lt;UID&gt;{DEA7A6AA-BC14-44B2-9E9F-97012FF77275}&lt;/UID&gt;&lt;Title&gt;C-reactive protein dissociation drives choroidal neovascularization in age-related macular degeneration&lt;/Title&gt;&lt;Template&gt;Journal Article&lt;/Template&gt;&lt;Star&gt;0&lt;/Star&gt;&lt;Tag&gt;0&lt;/Tag&gt;&lt;Author&gt;Hernandez, Maria; Romero-Vázquez, Sara; Recalde, Sergio; Bezunartea, Jaione; Orduña, Maite Moreno; Belza-Zuazu, Idoia; García-Layana, Alfredo; Adán, Alfredo; Fernández-Robredo, Patricia; Molins, Blanca&lt;/Author&gt;&lt;Year&gt;2025&lt;/Year&gt;&lt;Details&gt;&lt;_accession_num&gt;40858941&lt;/_accession_num&gt;&lt;_date_display&gt;2025/08/26&lt;/_date_display&gt;&lt;_date&gt;2025-08-26&lt;/_date&gt;&lt;_doi&gt;10.1038/s41598-025-16631-z&lt;/_doi&gt;&lt;_isbn&gt;2045-2322&lt;/_isbn&gt;&lt;_issue&gt;1&lt;/_issue&gt;&lt;_journal&gt;Scientific reports&lt;/_journal&gt;&lt;_keywords&gt;Age macular degeneration; C-reactive protein; Choroidal neovascularization; Complement pathway; Inflammation; Retinal pigment epithelium; Animals; *Choroidal Neovascularization/metabolism/pathology/etiology; *C-Reactive Protein/metabolism/administration &amp;amp; dosage; *Macular Degeneration/metabolism/pathology; Mice; Female; Male; Disease Models, Animal; Fluorescein Angiography; Mice, Inbred C57BL; Retinal Pigment Epithelium/metabolism/pathology; Humans; Protein Isoforms/metabolism&lt;/_keywords&gt;&lt;_pages&gt;31408&lt;/_pages&gt;&lt;_place_published&gt;England&lt;/_place_published&gt;&lt;_url&gt;https://pubmed.ncbi.nlm.nih.gov/40858941_x000d__x000a_https://www.ncbi.nlm.nih.gov/pmc/articles/PMC12381139/&lt;/_url&gt;&lt;_volume&gt;15&lt;/_volume&gt;&lt;_created&gt;66307549&lt;/_created&gt;&lt;_modified&gt;66307552&lt;/_modified&gt;&lt;_db_updated&gt;PubMed&lt;/_db_updated&gt;&lt;_impact_factor&gt;   3.800&lt;/_impact_factor&gt;&lt;_social_category&gt;综合性期刊(2)&lt;/_social_category&gt;&lt;_collection_scope&gt;SCIE&lt;/_collection_scope&gt;&lt;_accessed&gt;66307552&lt;/_accessed&gt;&lt;_language&gt;English&lt;/_language&gt;&lt;/Details&gt;&lt;Extra&gt;&lt;DBUID&gt;{03752FAB-B361-4F66-989B-C711D9502F78}&lt;/DBUID&gt;&lt;/Extra&gt;&lt;/Item&gt;&lt;/References&gt;&lt;/Group&gt;&lt;Group&gt;&lt;References&gt;&lt;Item&gt;&lt;ID&gt;4268&lt;/ID&gt;&lt;UID&gt;{757855DD-8F2A-41C7-AB09-FD1174DCA39B}&lt;/UID&gt;&lt;Title&gt;Single-cell analysis identifies MKI67(+) microglia as drivers of neovascularization in proliferative diabetic retinopathy&lt;/Title&gt;&lt;Template&gt;Journal Article&lt;/Template&gt;&lt;Star&gt;0&lt;/Star&gt;&lt;Tag&gt;0&lt;/Tag&gt;&lt;Author&gt;Zou, Keyi; Li, Xue; Ren, Bibo; Cheng, Fu; Ye, Jian; Ou, Zelin&lt;/Author&gt;&lt;Year&gt;2025&lt;/Year&gt;&lt;Details&gt;&lt;_accession_num&gt;40069725&lt;/_accession_num&gt;&lt;_date_display&gt;2025/03/11&lt;/_date_display&gt;&lt;_date&gt;2025-03-11&lt;/_date&gt;&lt;_doi&gt;10.1186/s12967-025-06320-w&lt;/_doi&gt;&lt;_isbn&gt;1479-5876&lt;/_isbn&gt;&lt;_issue&gt;1&lt;/_issue&gt;&lt;_journal&gt;Journal of translational medicine&lt;/_journal&gt;&lt;_keywords&gt;Abemaciclib; Lactate metabolic gene; Microglia; Oxygen-induced retinopathy; Proliferative diabetic retinopathy; Single cell analysis; *Microglia/metabolism/pathology/drug effects; *Diabetic Retinopathy/pathology/genetics/complications/metabolism; Animals; Humans; *Single-Cell Analysis; *Ki-67 Antigen/metabolism; *Neovascularization, Pathologic/pathology/genetics; Mice; Mice, Inbred C57BL; *Retinal Neovascularization/pathology/genetics; Male; Cell Proliferation/drug effects; Disease Models, Animal; Glucose/pharmacology; Lactic Acid/metabolism; Oxygen&lt;/_keywords&gt;&lt;_pages&gt;310&lt;/_pages&gt;&lt;_place_published&gt;England&lt;/_place_published&gt;&lt;_url&gt;https://pubmed.ncbi.nlm.nih.gov/40069725_x000d__x000a_https://www.ncbi.nlm.nih.gov/pmc/articles/PMC11899098/&lt;/_url&gt;&lt;_volume&gt;23&lt;/_volume&gt;&lt;_created&gt;66307551&lt;/_created&gt;&lt;_modified&gt;66307553&lt;/_modified&gt;&lt;_db_updated&gt;PubMed&lt;/_db_updated&gt;&lt;_impact_factor&gt;   6.100&lt;/_impact_factor&gt;&lt;_social_category&gt;医学：研究与实验(2)&lt;/_social_category&gt;&lt;_collection_scope&gt;SCIE&lt;/_collection_scope&gt;&lt;_accessed&gt;66307553&lt;/_accessed&gt;&lt;_language&gt;English&lt;/_language&gt;&lt;/Details&gt;&lt;Extra&gt;&lt;DBUID&gt;{03752FAB-B361-4F66-989B-C711D9502F78}&lt;/DBUID&gt;&lt;/Extra&gt;&lt;/Item&gt;&lt;/References&gt;&lt;/Group&gt;&lt;Group&gt;&lt;References&gt;&lt;Item&gt;&lt;ID&gt;4279&lt;/ID&gt;&lt;UID&gt;{CF04DA5F-A0CE-49C1-905F-58CBDDCA00C7}&lt;/UID&gt;&lt;Title&gt;Prognostic factors of conbercept intravitreal injection in the treatment of choroidal neovascularization secondary to pathologic myopia&lt;/Title&gt;&lt;Template&gt;Journal Article&lt;/Template&gt;&lt;Star&gt;0&lt;/Star&gt;&lt;Tag&gt;0&lt;/Tag&gt;&lt;Author&gt;Shi, Yeqiang; Yao, Hui; Zhang, Peng; Yang, Jun; Gao, Lei&lt;/Author&gt;&lt;Year&gt;2025&lt;/Year&gt;&lt;Details&gt;&lt;_accession_num&gt;40528789&lt;/_accession_num&gt;&lt;_date_display&gt;2025/11/&lt;/_date_display&gt;&lt;_date&gt;2025-11-01&lt;/_date&gt;&lt;_doi&gt;10.1177/11206721251351496&lt;/_doi&gt;&lt;_isbn&gt;1724-6016&lt;/_isbn&gt;&lt;_issue&gt;6&lt;/_issue&gt;&lt;_journal&gt;European journal of ophthalmology&lt;/_journal&gt;&lt;_keywords&gt;Choroidal neovascularization; conbercept; optical coherence tomography angiography; pathologic myopia; retrospective analysis; Humans; Intravitreal Injections; Female; Male; Retrospective Studies; *Choroidal Neovascularization/drug therapy/etiology/diagnosis; *Myopia, Degenerative/complications/diagnosis; *Visual Acuity; *Recombinant Fusion Proteins/administration &amp;amp; dosage; Tomography, Optical Coherence; Fluorescein Angiography; Middle Aged; Angiogenesis Inhibitors/administration &amp;amp; dosage; Prognosis; Adult; Follow-Up Studies; Fundus Oculi; Aged; Treatment Outcome; Vascular Endothelial Growth Factor A/antagonists &amp;amp; inhibitors&lt;/_keywords&gt;&lt;_pages&gt;2251-2258&lt;/_pages&gt;&lt;_place_published&gt;United States&lt;/_place_published&gt;&lt;_url&gt;https://pubmed.ncbi.nlm.nih.gov/40528789&lt;/_url&gt;&lt;_volume&gt;35&lt;/_volume&gt;&lt;_created&gt;66307553&lt;/_created&gt;&lt;_modified&gt;66307554&lt;/_modified&gt;&lt;_db_updated&gt;PubMed&lt;/_db_updated&gt;&lt;_impact_factor&gt;   1.500&lt;/_impact_factor&gt;&lt;_social_category&gt;眼科学(4)&lt;/_social_category&gt;&lt;_collection_scope&gt;SCIE&lt;/_collection_scope&gt;&lt;_accessed&gt;66307554&lt;/_accessed&gt;&lt;_language&gt;English&lt;/_language&gt;&lt;/Details&gt;&lt;Extra&gt;&lt;DBUID&gt;{03752FAB-B361-4F66-989B-C711D9502F78}&lt;/DBUID&gt;&lt;/Extra&gt;&lt;/Item&gt;&lt;/References&gt;&lt;/Group&gt;&lt;/Citation&gt;_x000a_"/>
    <w:docVar w:name="NE.Ref{62C60F95-3564-49EA-9475-E1E2642FC14A}" w:val=" ADDIN NE.Ref.{62C60F95-3564-49EA-9475-E1E2642FC14A}&lt;Citation&gt;&lt;Group&gt;&lt;References&gt;&lt;Item&gt;&lt;ID&gt;4361&lt;/ID&gt;&lt;UID&gt;{C7CCBAD8-3934-420C-B3D3-761CDBA1A9FD}&lt;/UID&gt;&lt;Title&gt;ALDH2/SIRT1 Contributes to Type 1 and Type 2 Diabetes-Induced Retinopathy through Depressing Oxidative Stress&lt;/Title&gt;&lt;Template&gt;Journal Article&lt;/Template&gt;&lt;Star&gt;0&lt;/Star&gt;&lt;Tag&gt;0&lt;/Tag&gt;&lt;Author&gt;He, Mengshan; Long, Pan; Chen, Tao; Li, Kaifeng; Wei, Dongyu; Zhang, Yufei; Wang, Wenjun; Hu, Yonghe; Ding, Yi; Wen, Aidong&lt;/Author&gt;&lt;Year&gt;2021&lt;/Year&gt;&lt;Details&gt;&lt;_accession_num&gt;34725563&lt;/_accession_num&gt;&lt;_date_display&gt;2021/10/23&lt;/_date_display&gt;&lt;_date&gt;2021-10-23&lt;/_date&gt;&lt;_doi&gt;10.1155/2021/1641717&lt;/_doi&gt;&lt;_isbn&gt;1942-0994&lt;/_isbn&gt;&lt;_journal&gt;Oxidative medicine and cellular longevity&lt;/_journal&gt;&lt;_keywords&gt;Adult; Aldehyde Dehydrogenase, Mitochondrial/genetics/*metabolism; Animals; Diabetes Mellitus, Experimental/*complications/enzymology/genetics; Diabetes Mellitus, Type 1/*complications/enzymology/genetics; Diabetes Mellitus, Type 2/*complications/enzymology/genetics; Diabetic Retinopathy/enzymology/*etiology/genetics; Disease Models, Animal; Disease Progression; Female; Humans; Male; Middle Aged; *Oxidative Stress; Rats, Sprague-Dawley; Reactive Oxygen Species/*metabolism; Retina/*enzymology/pathology; Retrospective Studies; Sirtuin 1/*metabolism; Rats&lt;/_keywords&gt;&lt;_pages&gt;1641717&lt;/_pages&gt;&lt;_place_published&gt;United States&lt;/_place_published&gt;&lt;_url&gt;https://pubmed.ncbi.nlm.nih.gov/34725563_x000d__x000a_https://www.ncbi.nlm.nih.gov/pmc/articles/PMC8557042/&lt;/_url&gt;&lt;_volume&gt;2021&lt;/_volume&gt;&lt;_created&gt;66307598&lt;/_created&gt;&lt;_modified&gt;66307600&lt;/_modified&gt;&lt;_db_updated&gt;PubMed&lt;/_db_updated&gt;&lt;_collection_scope&gt;SCIE;EI&lt;/_collection_scope&gt;&lt;_accessed&gt;66308248&lt;/_accessed&gt;&lt;/Details&gt;&lt;Extra&gt;&lt;DBUID&gt;{03752FAB-B361-4F66-989B-C711D9502F78}&lt;/DBUID&gt;&lt;/Extra&gt;&lt;/Item&gt;&lt;/References&gt;&lt;/Group&gt;&lt;/Citation&gt;_x000a_"/>
    <w:docVar w:name="NE.Ref{64F683C9-ED98-455E-95F6-A979E07481F4}" w:val=" ADDIN NE.Ref.{64F683C9-ED98-455E-95F6-A979E07481F4}&lt;Citation&gt;&lt;Group&gt;&lt;References&gt;&lt;Item&gt;&lt;ID&gt;4346&lt;/ID&gt;&lt;UID&gt;{311AAC30-D693-4FA8-8816-B19EED3C15CF}&lt;/UID&gt;&lt;Title&gt;Lutein loaded double-layered polymer nanocarrier modulate H(2)O(2) and CoCl(2) induced oxidative and hypoxia damage and angiogenic markers in ARPE-19 cells&lt;/Title&gt;&lt;Template&gt;Journal Article&lt;/Template&gt;&lt;Star&gt;0&lt;/Star&gt;&lt;Tag&gt;0&lt;/Tag&gt;&lt;Author&gt;Toragall, Veeresh; Muzaffar, J C; Baskaran, Vallikanan&lt;/Author&gt;&lt;Year&gt;2023&lt;/Year&gt;&lt;Details&gt;&lt;_accession_num&gt;37030468&lt;/_accession_num&gt;&lt;_date_display&gt;2023/06/15&lt;/_date_display&gt;&lt;_date&gt;2023-06-15&lt;/_date&gt;&lt;_doi&gt;10.1016/j.ijbiomac.2023.124378&lt;/_doi&gt;&lt;_isbn&gt;1879-0003&lt;/_isbn&gt;&lt;_journal&gt;International journal of biological macromolecules&lt;/_journal&gt;&lt;_keywords&gt;Angiogenesis; Double-layer polymer matrix; Hypoxia; Lutein; Oxidative stress and ARPE-19 cells; Humans; *Lutein/pharmacology; *Retinal Pigment Epithelium; Hydrogen Peroxide/metabolism; Vascular Endothelial Growth Factor A/metabolism; Antioxidants/pharmacology; Oxidative Stress; Hypoxia&lt;/_keywords&gt;&lt;_pages&gt;124378&lt;/_pages&gt;&lt;_place_published&gt;Netherlands&lt;/_place_published&gt;&lt;_url&gt;https://pubmed.ncbi.nlm.nih.gov/37030468&lt;/_url&gt;&lt;_volume&gt;240&lt;/_volume&gt;&lt;_created&gt;66307593&lt;/_created&gt;&lt;_modified&gt;66307594&lt;/_modified&gt;&lt;_db_updated&gt;PubMed&lt;/_db_updated&gt;&lt;_impact_factor&gt;   7.700&lt;/_impact_factor&gt;&lt;_social_category&gt;生化与分子生物学(2) &amp;amp; 应用化学(1) &amp;amp; 高分子科学(1)&lt;/_social_category&gt;&lt;_collection_scope&gt;SCIE&lt;/_collection_scope&gt;&lt;_accessed&gt;66307594&lt;/_accessed&gt;&lt;_language&gt;English&lt;/_language&gt;&lt;/Details&gt;&lt;Extra&gt;&lt;DBUID&gt;{03752FAB-B361-4F66-989B-C711D9502F78}&lt;/DBUID&gt;&lt;/Extra&gt;&lt;/Item&gt;&lt;/References&gt;&lt;/Group&gt;&lt;/Citation&gt;_x000a_"/>
    <w:docVar w:name="NE.Ref{76914696-DE4E-4276-AA01-F22EC55F6FCB}" w:val=" ADDIN NE.Ref.{76914696-DE4E-4276-AA01-F22EC55F6FCB}&lt;Citation&gt;&lt;Group&gt;&lt;References&gt;&lt;Item&gt;&lt;ID&gt;4291&lt;/ID&gt;&lt;UID&gt;{6A6F0877-B1A9-4C90-A8A4-52B8C6066E46}&lt;/UID&gt;&lt;Title&gt;Hypoxia induced VEGF secretion promotes resistance to bispecific T-cell engagers&lt;/Title&gt;&lt;Template&gt;Journal Article&lt;/Template&gt;&lt;Star&gt;0&lt;/Star&gt;&lt;Tag&gt;0&lt;/Tag&gt;&lt;Author&gt;Xu, Mengyao; Barakzai, Syem K; Kumar, Raj; Veillard, Irva; Kim, Eugene; Bregar, Amy; Eisenhauer, Eric; Penson, Richard; Bouberhan, Sara; Filipi, Jennifer; Colella, Tina; Bond, Tim; Clark, Caroline; Lin, Lawrence H; Ruan, Jinpeng; Wang, Cheng; Qin, Xingping; Sarosiek, Kristopher; Rueda, Bo; Castro, Cesar; Spriggs, David R; Yeku, Oladapo O&lt;/Author&gt;&lt;Year&gt;2025&lt;/Year&gt;&lt;Details&gt;&lt;_accession_num&gt;41413213&lt;/_accession_num&gt;&lt;_date_display&gt;2025/12/19&lt;/_date_display&gt;&lt;_date&gt;2025-12-19&lt;/_date&gt;&lt;_doi&gt;10.1038/s41392-025-02505-3&lt;/_doi&gt;&lt;_isbn&gt;2059-3635&lt;/_isbn&gt;&lt;_issue&gt;1&lt;/_issue&gt;&lt;_journal&gt;Signal transduction and targeted therapy&lt;/_journal&gt;&lt;_keywords&gt;Humans; Female; *Antibodies, Bispecific/pharmacology; *Vascular Endothelial Growth Factor A/genetics/immunology; *Ovarian Neoplasms/immunology/genetics/pathology/therapy/drug therapy; *CA-125 Antigen/genetics/immunology; *T-Lymphocytes/immunology; Cell Line, Tumor; *Drug Resistance, Neoplasm/genetics; Membrane Proteins/genetics/immunology&lt;/_keywords&gt;&lt;_pages&gt;405&lt;/_pages&gt;&lt;_place_published&gt;England&lt;/_place_published&gt;&lt;_url&gt;https://pubmed.ncbi.nlm.nih.gov/41413213_x000d__x000a_https://www.ncbi.nlm.nih.gov/pmc/articles/PMC12715234/&lt;/_url&gt;&lt;_volume&gt;10&lt;/_volume&gt;&lt;_created&gt;66307573&lt;/_created&gt;&lt;_modified&gt;66307578&lt;/_modified&gt;&lt;_db_updated&gt;PubMed&lt;/_db_updated&gt;&lt;_impact_factor&gt;  40.800&lt;/_impact_factor&gt;&lt;_social_category&gt;生化与分子生物学(1) &amp;amp; 细胞生物学(1)&lt;/_social_category&gt;&lt;_collection_scope&gt;SCIE;CSCD&lt;/_collection_scope&gt;&lt;_accessed&gt;66307578&lt;/_accessed&gt;&lt;_language&gt;English&lt;/_language&gt;&lt;/Details&gt;&lt;Extra&gt;&lt;DBUID&gt;{03752FAB-B361-4F66-989B-C711D9502F78}&lt;/DBUID&gt;&lt;/Extra&gt;&lt;/Item&gt;&lt;/References&gt;&lt;/Group&gt;&lt;/Citation&gt;_x000a_"/>
    <w:docVar w:name="NE.Ref{7F424280-B51D-4CA9-BECC-142BDBF5FBD8}" w:val=" ADDIN NE.Ref.{7F424280-B51D-4CA9-BECC-142BDBF5FBD8}&lt;Citation&gt;&lt;Group&gt;&lt;References&gt;&lt;Item&gt;&lt;ID&gt;4302&lt;/ID&gt;&lt;UID&gt;{E512354E-8352-45E4-B5DF-3AC06863E3D7}&lt;/UID&gt;&lt;Title&gt;Analysis of small sample size studies using nonparametric bootstrap test with pooled resampling method&lt;/Title&gt;&lt;Template&gt;Journal Article&lt;/Template&gt;&lt;Star&gt;0&lt;/Star&gt;&lt;Tag&gt;0&lt;/Tag&gt;&lt;Author&gt;Dwivedi, Alok Kumar; Mallawaarachchi, Indika; Alvarado, Luis A&lt;/Author&gt;&lt;Year&gt;2017&lt;/Year&gt;&lt;Details&gt;&lt;_accession_num&gt;28276584&lt;/_accession_num&gt;&lt;_date_display&gt;2017/06/30&lt;/_date_display&gt;&lt;_date&gt;2017-06-30&lt;/_date&gt;&lt;_doi&gt;10.1002/sim.7263&lt;/_doi&gt;&lt;_isbn&gt;1097-0258&lt;/_isbn&gt;&lt;_issue&gt;14&lt;/_issue&gt;&lt;_journal&gt;Statistics in medicine&lt;/_journal&gt;&lt;_keywords&gt;bootstrap test; experimental studies; nonparametric test; parametric test; resampling method; small sample size; Analysis of Variance; Biostatistics; Computer Simulation; Data Interpretation, Statistical; Epilepsy/therapy; Humans; Models, Statistical; Randomized Controlled Trials as Topic/statistics &amp;amp; numerical data; Sample Size; *Statistics, Nonparametric; Substance-Related Disorders/therapy&lt;/_keywords&gt;&lt;_pages&gt;2187-2205&lt;/_pages&gt;&lt;_place_published&gt;England&lt;/_place_published&gt;&lt;_url&gt;https://pubmed.ncbi.nlm.nih.gov/28276584&lt;/_url&gt;&lt;_volume&gt;36&lt;/_volume&gt;&lt;_created&gt;66307583&lt;/_created&gt;&lt;_modified&gt;66307593&lt;/_modified&gt;&lt;_db_updated&gt;PubMed&lt;/_db_updated&gt;&lt;_impact_factor&gt;   1.800&lt;/_impact_factor&gt;&lt;_social_category&gt;数学与计算生物学(3) &amp;amp; 医学：信息(4) &amp;amp; 医学：研究与实验(4) &amp;amp; 公共卫生、环境卫生与职业卫生(4) &amp;amp; 统计学与概率论(3)&lt;/_social_category&gt;&lt;_collection_scope&gt;SCIE&lt;/_collection_scope&gt;&lt;_accessed&gt;66307593&lt;/_accessed&gt;&lt;_language&gt;English&lt;/_language&gt;&lt;/Details&gt;&lt;Extra&gt;&lt;DBUID&gt;{03752FAB-B361-4F66-989B-C711D9502F78}&lt;/DBUID&gt;&lt;/Extra&gt;&lt;/Item&gt;&lt;/References&gt;&lt;/Group&gt;&lt;/Citation&gt;_x000a_"/>
    <w:docVar w:name="NE.Ref{8DC30425-4B34-4D01-A3C0-4D8C4D9D520C}" w:val=" ADDIN NE.Ref.{8DC30425-4B34-4D01-A3C0-4D8C4D9D520C}&lt;Citation&gt;&lt;Group&gt;&lt;References&gt;&lt;Item&gt;&lt;ID&gt;4398&lt;/ID&gt;&lt;UID&gt;{7080577B-AB4D-4393-BACD-69B002C9452D}&lt;/UID&gt;&lt;Title&gt;Real-Time Monitoring the Effect of Cytopathic Hypoxia on Retinal Pigment Epithelial Barrier Functionality Using Electric Cell-Substrate Impedance Sensing (ECIS) Biosensor Technology&lt;/Title&gt;&lt;Template&gt;Journal Article&lt;/Template&gt;&lt;Star&gt;0&lt;/Star&gt;&lt;Tag&gt;0&lt;/Tag&gt;&lt;Author&gt;Guerra, Michael H; Yumnamcha, Thangal; Ebrahim, Abdul-Shukkur; Berger, Elizabeth A; Singh, Lalit Pukhrambam; Ibrahim, Ahmed S&lt;/Author&gt;&lt;Year&gt;2021&lt;/Year&gt;&lt;Details&gt;&lt;_accession_num&gt;33925448&lt;/_accession_num&gt;&lt;_date_display&gt;2021/04/27&lt;/_date_display&gt;&lt;_date&gt;2021-04-27&lt;/_date&gt;&lt;_doi&gt;10.3390/ijms22094568&lt;/_doi&gt;&lt;_isbn&gt;1422-0067&lt;/_isbn&gt;&lt;_issue&gt;9&lt;/_issue&gt;&lt;_journal&gt;International journal of molecular sciences&lt;/_journal&gt;&lt;_keywords&gt;ARPE-19; CoCl2; ECIS modeling; Rb resistance; age related macular degeneration (AMD); alpha resistance; barrier integrity; capacitance; cytopathic hypoxia; diabetic macular edema (DME); impedance; retinal pigment epithelial cells (RPE); seahorse; Biosensing Techniques/instrumentation/*methods; Cell Adhesion; *Cell Hypoxia/drug effects/physiology; Cell Line; Cell Survival/drug effects/physiology; Cobalt/administration &amp;amp; dosage/*pharmacology; Dose-Response Relationship, Drug; Electric Impedance; Electrodes; Humans; Mitochondria/drug effects/metabolism; Retinal Pigment Epithelium/*cytology/drug effects/*physiology; Zonula Occludens-1 Protein/metabolism&lt;/_keywords&gt;&lt;_pages&gt;4568&lt;/_pages&gt;&lt;_place_published&gt;Switzerland&lt;/_place_published&gt;&lt;_url&gt;https://pubmed.ncbi.nlm.nih.gov/33925448_x000d__x000a_https://www.ncbi.nlm.nih.gov/pmc/articles/PMC8123793/&lt;/_url&gt;&lt;_volume&gt;22&lt;/_volume&gt;&lt;_created&gt;66308237&lt;/_created&gt;&lt;_modified&gt;66308240&lt;/_modified&gt;&lt;_db_updated&gt;PubMed&lt;/_db_updated&gt;&lt;_impact_factor&gt;   4.900&lt;/_impact_factor&gt;&lt;_collection_scope&gt;SCIE&lt;/_collection_scope&gt;&lt;_accessed&gt;66308240&lt;/_accessed&gt;&lt;_language&gt;English&lt;/_language&gt;&lt;/Details&gt;&lt;Extra&gt;&lt;DBUID&gt;{03752FAB-B361-4F66-989B-C711D9502F78}&lt;/DBUID&gt;&lt;/Extra&gt;&lt;/Item&gt;&lt;/References&gt;&lt;/Group&gt;&lt;/Citation&gt;_x000a_"/>
    <w:docVar w:name="NE.Ref{9EEFF3DD-5DAE-4B4D-997D-69D0C0A9F154}" w:val=" ADDIN NE.Ref.{9EEFF3DD-5DAE-4B4D-997D-69D0C0A9F154}&lt;Citation&gt;&lt;Group&gt;&lt;References&gt;&lt;Item&gt;&lt;ID&gt;4285&lt;/ID&gt;&lt;UID&gt;{5A5D4F3C-9524-49AF-A1D6-A7DB9F283476}&lt;/UID&gt;&lt;Title&gt;ALDH2 in autophagy and cell death: molecular mechanisms and implications for diseases&lt;/Title&gt;&lt;Template&gt;Journal Article&lt;/Template&gt;&lt;Star&gt;0&lt;/Star&gt;&lt;Tag&gt;0&lt;/Tag&gt;&lt;Author&gt;Duan, Yu; Shan, Ze-Chen; Pang, Jiao-Jiao; Chen, Yu-Guo&lt;/Author&gt;&lt;Year&gt;2025&lt;/Year&gt;&lt;Details&gt;&lt;_accession_num&gt;40968356&lt;/_accession_num&gt;&lt;_date_display&gt;2025/09/18&lt;/_date_display&gt;&lt;_date&gt;2025-09-18&lt;/_date&gt;&lt;_doi&gt;10.1186/s40779-025-00646-8&lt;/_doi&gt;&lt;_isbn&gt;2054-9369&lt;/_isbn&gt;&lt;_issue&gt;1&lt;/_issue&gt;&lt;_journal&gt;Military Medical Research&lt;/_journal&gt;&lt;_keywords&gt;Aldehyde dehydrogenase (ALDH) 2; Autophagy; Cell death; Human diseases; Humans; *Autophagy/physiology/drug effects; *Aldehyde Dehydrogenase, Mitochondrial/therapeutic use/metabolism; *Cell Death/physiology/drug effects&lt;/_keywords&gt;&lt;_pages&gt;58&lt;/_pages&gt;&lt;_place_published&gt;England&lt;/_place_published&gt;&lt;_url&gt;https://pubmed.ncbi.nlm.nih.gov/40968356_x000d__x000a_https://www.ncbi.nlm.nih.gov/pmc/articles/PMC12445042/&lt;/_url&gt;&lt;_volume&gt;12&lt;/_volume&gt;&lt;_created&gt;66307563&lt;/_created&gt;&lt;_modified&gt;66307570&lt;/_modified&gt;&lt;_db_updated&gt;PubMed&lt;/_db_updated&gt;&lt;_impact_factor&gt;  16.700&lt;/_impact_factor&gt;&lt;_social_category&gt;医学：内科(2)&lt;/_social_category&gt;&lt;_collection_scope&gt;SCIE;CSCD&lt;/_collection_scope&gt;&lt;_accessed&gt;66307570&lt;/_accessed&gt;&lt;_language&gt;English&lt;/_language&gt;&lt;/Details&gt;&lt;Extra&gt;&lt;DBUID&gt;{03752FAB-B361-4F66-989B-C711D9502F78}&lt;/DBUID&gt;&lt;/Extra&gt;&lt;/Item&gt;&lt;/References&gt;&lt;/Group&gt;&lt;/Citation&gt;_x000a_"/>
    <w:docVar w:name="NE.Ref{AF04E324-33BF-4312-AA95-D19D647862E8}" w:val=" ADDIN NE.Ref.{AF04E324-33BF-4312-AA95-D19D647862E8}&lt;Citation&gt;&lt;Group&gt;&lt;References&gt;&lt;Item&gt;&lt;ID&gt;4397&lt;/ID&gt;&lt;UID&gt;{E1EA32AA-9873-4966-B2B8-D133329C7CC4}&lt;/UID&gt;&lt;Title&gt;A derivative of betulinic acid protects human Retinal Pigment Epithelial (RPE) cells from cobalt chloride-induced acute hypoxic stress&lt;/Title&gt;&lt;Template&gt;Journal Article&lt;/Template&gt;&lt;Star&gt;0&lt;/Star&gt;&lt;Tag&gt;0&lt;/Tag&gt;&lt;Author&gt;Cheng, Zhengqi; Yao, Wenjuan; Zheng, Jian; Ding, Weimin; Wang, Yang; Zhang, Ting; Zhu, Ling; Zhou, Fanfan&lt;/Author&gt;&lt;Year&gt;2019&lt;/Year&gt;&lt;Details&gt;&lt;_accession_num&gt;30578788&lt;/_accession_num&gt;&lt;_date_display&gt;2019/03/&lt;/_date_display&gt;&lt;_date&gt;2019-03-01&lt;/_date&gt;&lt;_doi&gt;10.1016/j.exer.2018.12.011&lt;/_doi&gt;&lt;_isbn&gt;1096-0007&lt;/_isbn&gt;&lt;_journal&gt;Experimental eye research&lt;/_journal&gt;&lt;_keywords&gt;Betulinic acid; Cobalt chloride; Hypoxic stress; Retinal Pigment Epithelium; Signaling pathways; Acute Disease; Adult; Aged; Anti-Inflammatory Agents, Non-Steroidal/*pharmacology; Antimutagenic Agents/toxicity; Antineoplastic Agents, Phytogenic/*pharmacology; Apoptosis/drug effects; Blotting, Western; Cell Line; Cobalt/toxicity; Cytoprotection; Humans; Hypoxia/metabolism/*prevention &amp;amp; control; Middle Aged; Oxidative Stress/*drug effects; Pentacyclic Triterpenes; Reactive Oxygen Species/metabolism; Retinal Pigment Epithelium/*drug effects/metabolism; Triterpenes/*pharmacology; Betulinic Acid&lt;/_keywords&gt;&lt;_pages&gt;92-101&lt;/_pages&gt;&lt;_place_published&gt;England&lt;/_place_published&gt;&lt;_url&gt;https://pubmed.ncbi.nlm.nih.gov/30578788&lt;/_url&gt;&lt;_volume&gt;180&lt;/_volume&gt;&lt;_created&gt;66308230&lt;/_created&gt;&lt;_modified&gt;66308237&lt;/_modified&gt;&lt;_db_updated&gt;PubMed&lt;/_db_updated&gt;&lt;_impact_factor&gt;   3.000&lt;/_impact_factor&gt;&lt;_social_category&gt;眼科学(2)&lt;/_social_category&gt;&lt;_collection_scope&gt;SCIE&lt;/_collection_scope&gt;&lt;_accessed&gt;66308237&lt;/_accessed&gt;&lt;_language&gt;English&lt;/_language&gt;&lt;/Details&gt;&lt;Extra&gt;&lt;DBUID&gt;{03752FAB-B361-4F66-989B-C711D9502F78}&lt;/DBUID&gt;&lt;/Extra&gt;&lt;/Item&gt;&lt;/References&gt;&lt;/Group&gt;&lt;/Citation&gt;_x000a_"/>
    <w:docVar w:name="NE.Ref{C335C741-D992-4E26-B3F0-56C5B3501485}" w:val=" ADDIN NE.Ref.{C335C741-D992-4E26-B3F0-56C5B3501485}&lt;Citation&gt;&lt;Group&gt;&lt;References&gt;&lt;Item&gt;&lt;ID&gt;4280&lt;/ID&gt;&lt;UID&gt;{FA689259-E2B0-42D7-A8AC-524273D5AB1A}&lt;/UID&gt;&lt;Title&gt;From aldehyde metabolism to delay aging: targeting ALDH2 as a novel strategy&lt;/Title&gt;&lt;Template&gt;Journal Article&lt;/Template&gt;&lt;Star&gt;0&lt;/Star&gt;&lt;Tag&gt;0&lt;/Tag&gt;&lt;Author&gt;Yang, Peng; Su, Wu; Wang, Lizhuo; Xu, Fanding; Kong, Yu; Long, Jiangang&lt;/Author&gt;&lt;Year&gt;2025&lt;/Year&gt;&lt;Details&gt;&lt;_accession_num&gt;40349798&lt;/_accession_num&gt;&lt;_date_display&gt;2025/08/16&lt;/_date_display&gt;&lt;_date&gt;2025-08-16&lt;/_date&gt;&lt;_doi&gt;10.1016/j.freeradbiomed.2025.05.389&lt;/_doi&gt;&lt;_isbn&gt;1873-4596&lt;/_isbn&gt;&lt;_journal&gt;Free radical biology &amp;amp; medicine&lt;/_journal&gt;&lt;_keywords&gt;Aging; Aging-related disease; Aldehyde; Aldehyde dehydrogenase 2; Humans; *Aldehyde Dehydrogenase, Mitochondrial/metabolism/genetics/antagonists &amp;amp; inhibitors; *Aging/metabolism/drug effects; *Aldehydes/metabolism; Animals; Oxidation-Reduction; Mitochondria/metabolism&lt;/_keywords&gt;&lt;_pages&gt;70-86&lt;/_pages&gt;&lt;_place_published&gt;United States&lt;/_place_published&gt;&lt;_url&gt;https://pubmed.ncbi.nlm.nih.gov/40349798&lt;/_url&gt;&lt;_volume&gt;236&lt;/_volume&gt;&lt;_created&gt;66307562&lt;/_created&gt;&lt;_modified&gt;66307563&lt;/_modified&gt;&lt;_db_updated&gt;PubMed&lt;/_db_updated&gt;&lt;_language&gt;English&lt;/_language&gt;&lt;/Details&gt;&lt;Extra&gt;&lt;DBUID&gt;{03752FAB-B361-4F66-989B-C711D9502F78}&lt;/DBUID&gt;&lt;/Extra&gt;&lt;/Item&gt;&lt;/References&gt;&lt;/Group&gt;&lt;/Citation&gt;_x000a_"/>
    <w:docVar w:name="NE.Ref{C6B05937-5D4C-451F-B78E-B00CB7C0D9C9}" w:val=" ADDIN NE.Ref.{C6B05937-5D4C-451F-B78E-B00CB7C0D9C9}&lt;Citation&gt;&lt;Group&gt;&lt;References&gt;&lt;Item&gt;&lt;ID&gt;4348&lt;/ID&gt;&lt;UID&gt;{FECB4245-9550-4BB7-8A99-1E7DF3577C74}&lt;/UID&gt;&lt;Title&gt;Challenges in mimicking hypoxia: insights into HIF-regulated MiRNA expression induced by DMOG and CoCl(2)&lt;/Title&gt;&lt;Template&gt;Journal Article&lt;/Template&gt;&lt;Star&gt;0&lt;/Star&gt;&lt;Tag&gt;0&lt;/Tag&gt;&lt;Author&gt;Barton, Anna; Jaśkiewicz, Maciej; Więch-Walów, Anna; Moszyńska, Adrianna; Cabaj, Aleksandra; Wielockx, Ben; Schaefer, Liliana; Collawn, James F; Bartoszewski, Rafal&lt;/Author&gt;&lt;Year&gt;2025&lt;/Year&gt;&lt;Details&gt;&lt;_accession_num&gt;41126276&lt;/_accession_num&gt;&lt;_date_display&gt;2025/10/22&lt;/_date_display&gt;&lt;_date&gt;2025-10-22&lt;/_date&gt;&lt;_doi&gt;10.1186/s12964-025-02459-7&lt;/_doi&gt;&lt;_isbn&gt;1478-811X&lt;/_isbn&gt;&lt;_issue&gt;1&lt;/_issue&gt;&lt;_journal&gt;Cell communication and signaling : CCS&lt;/_journal&gt;&lt;_keywords&gt;EPAS1; HIF1A; MicroRNA; HIF-1α; HIF-2α; Hypoxia mimetics; *MicroRNAs/genetics/metabolism; *Cobalt/pharmacology; Humans; *Amino Acids, Dicarboxylic/pharmacology; Cell Hypoxia/drug effects; *Hypoxia-Inducible Factor 1, alpha Subunit/metabolism/genetics; Human Umbilical Vein Endothelial Cells/metabolism/drug effects; *Basic Helix-Loop-Helix Transcription Factors/metabolism/genetics; *Gene Expression Regulation/drug effects&lt;/_keywords&gt;&lt;_pages&gt;454&lt;/_pages&gt;&lt;_place_published&gt;England&lt;/_place_published&gt;&lt;_url&gt;https://pubmed.ncbi.nlm.nih.gov/41126276_x000d__x000a_https://www.ncbi.nlm.nih.gov/pmc/articles/PMC12542114/&lt;/_url&gt;&lt;_volume&gt;23&lt;/_volume&gt;&lt;_created&gt;66307593&lt;/_created&gt;&lt;_modified&gt;66307596&lt;/_modified&gt;&lt;_db_updated&gt;PubMed&lt;/_db_updated&gt;&lt;_impact_factor&gt;   8.200&lt;/_impact_factor&gt;&lt;_social_category&gt;细胞生物学(2)&lt;/_social_category&gt;&lt;_accessed&gt;66307596&lt;/_accessed&gt;&lt;_language&gt;English&lt;/_language&gt;&lt;/Details&gt;&lt;Extra&gt;&lt;DBUID&gt;{03752FAB-B361-4F66-989B-C711D9502F78}&lt;/DBUID&gt;&lt;/Extra&gt;&lt;/Item&gt;&lt;/References&gt;&lt;/Group&gt;&lt;/Citation&gt;_x000a_"/>
    <w:docVar w:name="NE.Ref{CF9A1E92-1FD1-4BA3-9F97-84BDB1F4BE46}" w:val=" ADDIN NE.Ref.{CF9A1E92-1FD1-4BA3-9F97-84BDB1F4BE46}&lt;Citation&gt;&lt;Group&gt;&lt;References&gt;&lt;Item&gt;&lt;ID&gt;4298&lt;/ID&gt;&lt;UID&gt;{D6FDF6CB-C88A-4004-B1C7-19916844E646}&lt;/UID&gt;&lt;Title&gt;Alda‑1 restores ALDH2‑mediated alcohol metabolism to inhibit the NF‑κB/VEGFC axis in head and neck cancer&lt;/Title&gt;&lt;Template&gt;Journal Article&lt;/Template&gt;&lt;Star&gt;0&lt;/Star&gt;&lt;Tag&gt;0&lt;/Tag&gt;&lt;Author&gt;Lin, Yu-Hsuan; Lee, Yi-Chen; Liao, Jia-Bin; Yu, Pei-Lun; Chou, Chih-Yu; Yang, Yi-Fang&lt;/Author&gt;&lt;Year&gt;2025&lt;/Year&gt;&lt;Details&gt;&lt;_accession_num&gt;39886980&lt;/_accession_num&gt;&lt;_date_display&gt;2025/04/&lt;/_date_display&gt;&lt;_date&gt;2025-04-01&lt;/_date&gt;&lt;_doi&gt;10.3892/ijmm.2025.5496&lt;/_doi&gt;&lt;_isbn&gt;1791-244X&lt;/_isbn&gt;&lt;_issue&gt;4&lt;/_issue&gt;&lt;_journal&gt;International journal of molecular medicine&lt;/_journal&gt;&lt;_keywords&gt;NF‑κB; VEGFC; alcohol metabolism pathway; aldehyde dehydrogenase; head and neck cancer; Humans; *Aldehyde Dehydrogenase, Mitochondrial/metabolism/genetics; *NF-kappa B/metabolism; *Head and Neck Neoplasms/metabolism/pathology/genetics; Cell Line, Tumor; *Vascular Endothelial Growth Factor C/metabolism/genetics; Male; Gene Expression Regulation, Neoplastic; *Ethanol/metabolism; Cell Movement/drug effects; Female; Signal Transduction/drug effects; Middle Aged; Reactive Oxygen Species/metabolism; Cell Proliferation&lt;/_keywords&gt;&lt;_pages&gt;55&lt;/_pages&gt;&lt;_place_published&gt;Greece&lt;/_place_published&gt;&lt;_url&gt;https://pubmed.ncbi.nlm.nih.gov/39886980_x000d__x000a_https://www.ncbi.nlm.nih.gov/pmc/articles/PMC11819766/&lt;/_url&gt;&lt;_volume&gt;55&lt;/_volume&gt;&lt;_created&gt;66307577&lt;/_created&gt;&lt;_modified&gt;66307583&lt;/_modified&gt;&lt;_db_updated&gt;PubMed&lt;/_db_updated&gt;&lt;_impact_factor&gt;   5.700&lt;/_impact_factor&gt;&lt;_social_category&gt;医学：研究与实验(3)&lt;/_social_category&gt;&lt;_collection_scope&gt;SCIE&lt;/_collection_scope&gt;&lt;_accessed&gt;66307583&lt;/_accessed&gt;&lt;_language&gt;English&lt;/_language&gt;&lt;/Details&gt;&lt;Extra&gt;&lt;DBUID&gt;{03752FAB-B361-4F66-989B-C711D9502F78}&lt;/DBUID&gt;&lt;/Extra&gt;&lt;/Item&gt;&lt;/References&gt;&lt;/Group&gt;&lt;/Citation&gt;_x000a_"/>
    <w:docVar w:name="NE.Ref{D1FC3EC3-6781-485F-9F1C-5779D402C732}" w:val=" ADDIN NE.Ref.{D1FC3EC3-6781-485F-9F1C-5779D402C732}&lt;Citation&gt;&lt;Group&gt;&lt;References&gt;&lt;Item&gt;&lt;ID&gt;4363&lt;/ID&gt;&lt;UID&gt;{F7AC607D-196B-4277-88A2-44C91AE7D1E2}&lt;/UID&gt;&lt;Title&gt;Sirtuin 5-Mediated Desuccinylation of ALDH2 Alleviates Mitochondrial Oxidative Stress Following Acetaminophen-Induced Acute Liver Injury&lt;/Title&gt;&lt;Template&gt;Journal Article&lt;/Template&gt;&lt;Star&gt;0&lt;/Star&gt;&lt;Tag&gt;0&lt;/Tag&gt;&lt;Author&gt;Yu, Qiwen; Zhang, Jiakai; Li, Jiye; Song, Yaodong; Pan, Jie; Mei, Chaopeng; Cui, Mengwei; He, Qianqian; Wang, Haifeng; Li, Huihui; Cheng, Bo; Zhang, Yan; Guo, Wenzhi; Zhu, Changju; Chen, Sanyang&lt;/Author&gt;&lt;Year&gt;2024&lt;/Year&gt;&lt;Details&gt;&lt;_accession_num&gt;39159058&lt;/_accession_num&gt;&lt;_date_display&gt;2024/10/&lt;/_date_display&gt;&lt;_date&gt;2024-10-01&lt;/_date&gt;&lt;_doi&gt;10.1002/advs.202402710&lt;/_doi&gt;&lt;_isbn&gt;2198-3844&lt;/_isbn&gt;&lt;_issue&gt;39&lt;/_issue&gt;&lt;_journal&gt;Advanced science (Weinheim, Baden-Wurttemberg, Germany)&lt;/_journal&gt;&lt;_keywords&gt;ALDH2; SIRT5; acute liver injury; mitochondrial oxidative stress; succinylation; Animals; *Aldehyde Dehydrogenase, Mitochondrial/metabolism/genetics; Mice; *Oxidative Stress/drug effects; *Acetaminophen/adverse effects; *Chemical and Drug Induced Liver Injury/metabolism/genetics; *Sirtuins/metabolism/genetics; *Disease Models, Animal; Male; Mitochondria/metabolism/drug effects; Mice, Inbred C57BL&lt;/_keywords&gt;&lt;_pages&gt;e2402710&lt;/_pages&gt;&lt;_place_published&gt;Germany&lt;/_place_published&gt;&lt;_url&gt;https://pubmed.ncbi.nlm.nih.gov/39159058_x000d__x000a_https://www.ncbi.nlm.nih.gov/pmc/articles/PMC11497042/&lt;/_url&gt;&lt;_volume&gt;11&lt;/_volume&gt;&lt;_created&gt;66307598&lt;/_created&gt;&lt;_modified&gt;66307602&lt;/_modified&gt;&lt;_db_updated&gt;PubMed&lt;/_db_updated&gt;&lt;_impact_factor&gt;  14.300&lt;/_impact_factor&gt;&lt;_social_category&gt;化学：综合(1) &amp;amp; 材料科学：综合(1) &amp;amp; 纳米科技(2)&lt;/_social_category&gt;&lt;_accessed&gt;66307602&lt;/_accessed&gt;&lt;_language&gt;English&lt;/_language&gt;&lt;/Details&gt;&lt;Extra&gt;&lt;DBUID&gt;{03752FAB-B361-4F66-989B-C711D9502F78}&lt;/DBUID&gt;&lt;/Extra&gt;&lt;/Item&gt;&lt;/References&gt;&lt;/Group&gt;&lt;/Citation&gt;_x000a_"/>
    <w:docVar w:name="NE.Ref{D593DB18-662D-45D2-AE76-A85422E7B262}" w:val=" ADDIN NE.Ref.{D593DB18-662D-45D2-AE76-A85422E7B262}&lt;Citation&gt;&lt;Group&gt;&lt;References&gt;&lt;Item&gt;&lt;ID&gt;4406&lt;/ID&gt;&lt;UID&gt;{DE5FA2E7-4E37-4387-80B7-4E3A8F4E1CAB}&lt;/UID&gt;&lt;Title&gt;Mechanism of ALDH2 improves the neuronal damage caused by hypoxia/reoxygenation&lt;/Title&gt;&lt;Template&gt;Journal Article&lt;/Template&gt;&lt;Star&gt;0&lt;/Star&gt;&lt;Tag&gt;0&lt;/Tag&gt;&lt;Author&gt;Lin, L; Tao, J-P; Li, M; Peng, J; Zhou, C; Ouyang, J; Si, Y-Y&lt;/Author&gt;&lt;Year&gt;2022&lt;/Year&gt;&lt;Details&gt;&lt;_accession_num&gt;35503616&lt;/_accession_num&gt;&lt;_date_display&gt;2022/04/&lt;/_date_display&gt;&lt;_date&gt;2022-04-01&lt;/_date&gt;&lt;_doi&gt;10.26355/eurrev_202204_28601&lt;/_doi&gt;&lt;_isbn&gt;2284-0729&lt;/_isbn&gt;&lt;_issue&gt;8&lt;/_issue&gt;&lt;_journal&gt;European review for medical and pharmacological sciences&lt;/_journal&gt;&lt;_keywords&gt;*Aldehyde Dehydrogenase, Mitochondrial/genetics; Animals; Apoptosis; Brain/*metabolism; Cell Line; Dimethyl Sulfoxide/pharmacology; Hypoxia/*metabolism; Neurons/*metabolism; Oxygen/metabolism; Rats; Rats, Sprague-Dawley&lt;/_keywords&gt;&lt;_pages&gt;2712-2720&lt;/_pages&gt;&lt;_place_published&gt;Italy&lt;/_place_published&gt;&lt;_url&gt;https://pubmed.ncbi.nlm.nih.gov/35503616&lt;/_url&gt;&lt;_volume&gt;26&lt;/_volume&gt;&lt;_created&gt;66308254&lt;/_created&gt;&lt;_modified&gt;66308254&lt;/_modified&gt;&lt;_db_updated&gt;PubMed&lt;/_db_updated&gt;&lt;_social_category&gt;药学(4)&lt;/_social_category&gt;&lt;_collection_scope&gt;SCIE&lt;/_collection_scope&gt;&lt;_accessed&gt;66308254&lt;/_accessed&gt;&lt;/Details&gt;&lt;Extra&gt;&lt;DBUID&gt;{03752FAB-B361-4F66-989B-C711D9502F78}&lt;/DBUID&gt;&lt;/Extra&gt;&lt;/Item&gt;&lt;/References&gt;&lt;/Group&gt;&lt;/Citation&gt;_x000a_"/>
    <w:docVar w:name="NE.Ref{E10DCEB7-6FD3-4978-BFAB-59AB984240F5}" w:val=" ADDIN NE.Ref.{E10DCEB7-6FD3-4978-BFAB-59AB984240F5}&lt;Citation&gt;&lt;Group&gt;&lt;References&gt;&lt;Item&gt;&lt;ID&gt;4396&lt;/ID&gt;&lt;UID&gt;{17B95111-99CC-43FF-AA64-89B32260AD93}&lt;/UID&gt;&lt;Title&gt;Opticin production is reduced by hypoxia and VEGF in human retinal pigment epithelium via MMP-2 activation&lt;/Title&gt;&lt;Template&gt;Journal Article&lt;/Template&gt;&lt;Star&gt;0&lt;/Star&gt;&lt;Tag&gt;0&lt;/Tag&gt;&lt;Author&gt;Ma, Jin; Zhu, Tie Pei; Moe, Morten C; Ye, Panpan; Yao, Ke&lt;/Author&gt;&lt;Year&gt;2012&lt;/Year&gt;&lt;Details&gt;&lt;_accession_num&gt;22534113&lt;/_accession_num&gt;&lt;_date_display&gt;2012/07/&lt;/_date_display&gt;&lt;_date&gt;2012-07-01&lt;/_date&gt;&lt;_doi&gt;10.1016/j.cyto.2012.03.025&lt;/_doi&gt;&lt;_isbn&gt;1096-0023&lt;/_isbn&gt;&lt;_issue&gt;1&lt;/_issue&gt;&lt;_journal&gt;Cytokine&lt;/_journal&gt;&lt;_keywords&gt;Cell Hypoxia/drug effects; Enzyme Activation/drug effects; Extracellular Matrix Proteins/*biosynthesis/genetics; Gene Expression Regulation/drug effects; Humans; Immunoblotting; Immunohistochemistry; Matrix Metalloproteinase 2/genetics/*metabolism/pharmacology; Proteasome Endopeptidase Complex/metabolism; Proteasome Inhibitors; Proteoglycans/*biosynthesis/genetics; Proteolysis/drug effects; RNA, Messenger/genetics/metabolism; Retinal Pigment Epithelium/*cytology/drug effects/*enzymology; Statistics, Nonparametric; Vascular Endothelial Growth Factor A/*metabolism/pharmacology; Vitreous Body/drug effects/metabolism&lt;/_keywords&gt;&lt;_pages&gt;100-107&lt;/_pages&gt;&lt;_place_published&gt;England&lt;/_place_published&gt;&lt;_url&gt;https://pubmed.ncbi.nlm.nih.gov/22534113&lt;/_url&gt;&lt;_volume&gt;59&lt;/_volume&gt;&lt;_created&gt;66308228&lt;/_created&gt;&lt;_modified&gt;66308233&lt;/_modified&gt;&lt;_db_updated&gt;PubMed&lt;/_db_updated&gt;&lt;_impact_factor&gt;   3.700&lt;/_impact_factor&gt;&lt;_social_category&gt;生化与分子生物学(3) &amp;amp; 细胞生物学(3) &amp;amp; 免疫学(3)&lt;/_social_category&gt;&lt;_collection_scope&gt;SCIE&lt;/_collection_scope&gt;&lt;_accessed&gt;66308233&lt;/_accessed&gt;&lt;_language&gt;English&lt;/_language&gt;&lt;/Details&gt;&lt;Extra&gt;&lt;DBUID&gt;{03752FAB-B361-4F66-989B-C711D9502F78}&lt;/DBUID&gt;&lt;/Extra&gt;&lt;/Item&gt;&lt;/References&gt;&lt;/Group&gt;&lt;Group&gt;&lt;References&gt;&lt;Item&gt;&lt;ID&gt;4397&lt;/ID&gt;&lt;UID&gt;{E1EA32AA-9873-4966-B2B8-D133329C7CC4}&lt;/UID&gt;&lt;Title&gt;A derivative of betulinic acid protects human Retinal Pigment Epithelial (RPE) cells from cobalt chloride-induced acute hypoxic stress&lt;/Title&gt;&lt;Template&gt;Journal Article&lt;/Template&gt;&lt;Star&gt;0&lt;/Star&gt;&lt;Tag&gt;0&lt;/Tag&gt;&lt;Author&gt;Cheng, Zhengqi; Yao, Wenjuan; Zheng, Jian; Ding, Weimin; Wang, Yang; Zhang, Ting; Zhu, Ling; Zhou, Fanfan&lt;/Author&gt;&lt;Year&gt;2019&lt;/Year&gt;&lt;Details&gt;&lt;_accession_num&gt;30578788&lt;/_accession_num&gt;&lt;_date_display&gt;2019/03/&lt;/_date_display&gt;&lt;_date&gt;2019-03-01&lt;/_date&gt;&lt;_doi&gt;10.1016/j.exer.2018.12.011&lt;/_doi&gt;&lt;_isbn&gt;1096-0007&lt;/_isbn&gt;&lt;_journal&gt;Experimental eye research&lt;/_journal&gt;&lt;_keywords&gt;Betulinic acid; Cobalt chloride; Hypoxic stress; Retinal Pigment Epithelium; Signaling pathways; Acute Disease; Adult; Aged; Anti-Inflammatory Agents, Non-Steroidal/*pharmacology; Antimutagenic Agents/toxicity; Antineoplastic Agents, Phytogenic/*pharmacology; Apoptosis/drug effects; Blotting, Western; Cell Line; Cobalt/toxicity; Cytoprotection; Humans; Hypoxia/metabolism/*prevention &amp;amp; control; Middle Aged; Oxidative Stress/*drug effects; Pentacyclic Triterpenes; Reactive Oxygen Species/metabolism; Retinal Pigment Epithelium/*drug effects/metabolism; Triterpenes/*pharmacology; Betulinic Acid&lt;/_keywords&gt;&lt;_pages&gt;92-101&lt;/_pages&gt;&lt;_place_published&gt;England&lt;/_place_published&gt;&lt;_url&gt;https://pubmed.ncbi.nlm.nih.gov/30578788&lt;/_url&gt;&lt;_volume&gt;180&lt;/_volume&gt;&lt;_created&gt;66308230&lt;/_created&gt;&lt;_modified&gt;66308237&lt;/_modified&gt;&lt;_db_updated&gt;PubMed&lt;/_db_updated&gt;&lt;_impact_factor&gt;   3.000&lt;/_impact_factor&gt;&lt;_social_category&gt;眼科学(2)&lt;/_social_category&gt;&lt;_collection_scope&gt;SCIE&lt;/_collection_scope&gt;&lt;_accessed&gt;66308237&lt;/_accessed&gt;&lt;_language&gt;English&lt;/_language&gt;&lt;/Details&gt;&lt;Extra&gt;&lt;DBUID&gt;{03752FAB-B361-4F66-989B-C711D9502F78}&lt;/DBUID&gt;&lt;/Extra&gt;&lt;/Item&gt;&lt;/References&gt;&lt;/Group&gt;&lt;/Citation&gt;_x000a_"/>
    <w:docVar w:name="NE.Ref{E6DFB2BC-98CB-4ED2-A094-9FDD34C14947}" w:val=" ADDIN NE.Ref.{E6DFB2BC-98CB-4ED2-A094-9FDD34C14947}&lt;Citation&gt;&lt;Group&gt;&lt;References&gt;&lt;Item&gt;&lt;ID&gt;4383&lt;/ID&gt;&lt;UID&gt;{E7377A55-65B7-49ED-B05E-18D13CCD749A}&lt;/UID&gt;&lt;Title&gt;Alda‑1 restores ALDH2‑mediated alcohol metabolism to inhibit the NF‑κB/VEGFC axis in head and neck cancer&lt;/Title&gt;&lt;Template&gt;Journal Article&lt;/Template&gt;&lt;Star&gt;0&lt;/Star&gt;&lt;Tag&gt;0&lt;/Tag&gt;&lt;Author&gt;Lin, Yu-Hsuan; Lee, Yi-Chen; Liao, Jia-Bin; Yu, Pei-Lun; Chou, Chih-Yu; Yang, Yi-Fang&lt;/Author&gt;&lt;Year&gt;2025&lt;/Year&gt;&lt;Details&gt;&lt;_accession_num&gt;39886980&lt;/_accession_num&gt;&lt;_date_display&gt;2025/04/&lt;/_date_display&gt;&lt;_date&gt;2025-04-01&lt;/_date&gt;&lt;_doi&gt;10.3892/ijmm.2025.5496&lt;/_doi&gt;&lt;_isbn&gt;1791-244X&lt;/_isbn&gt;&lt;_issue&gt;4&lt;/_issue&gt;&lt;_journal&gt;International journal of molecular medicine&lt;/_journal&gt;&lt;_keywords&gt;NF‑κB; VEGFC; alcohol metabolism pathway; aldehyde dehydrogenase; head and neck cancer; Humans; *Aldehyde Dehydrogenase, Mitochondrial/metabolism/genetics; *NF-kappa B/metabolism; *Head and Neck Neoplasms/metabolism/pathology/genetics; Cell Line, Tumor; *Vascular Endothelial Growth Factor C/metabolism/genetics; Male; Gene Expression Regulation, Neoplastic; *Ethanol/metabolism; Cell Movement/drug effects; Female; Signal Transduction/drug effects; Middle Aged; Reactive Oxygen Species/metabolism; Cell Proliferation&lt;/_keywords&gt;&lt;_pages&gt;55&lt;/_pages&gt;&lt;_place_published&gt;Greece&lt;/_place_published&gt;&lt;_url&gt;https://pubmed.ncbi.nlm.nih.gov/39886980_x000d__x000a_https://www.ncbi.nlm.nih.gov/pmc/articles/PMC11819766/&lt;/_url&gt;&lt;_volume&gt;55&lt;/_volume&gt;&lt;_created&gt;66307601&lt;/_created&gt;&lt;_modified&gt;66308228&lt;/_modified&gt;&lt;_db_updated&gt;PubMed&lt;/_db_updated&gt;&lt;_impact_factor&gt;   5.700&lt;/_impact_factor&gt;&lt;_social_category&gt;医学：研究与实验(3)&lt;/_social_category&gt;&lt;_collection_scope&gt;SCIE&lt;/_collection_scope&gt;&lt;_accessed&gt;66308228&lt;/_accessed&gt;&lt;_language&gt;English&lt;/_language&gt;&lt;/Details&gt;&lt;Extra&gt;&lt;DBUID&gt;{03752FAB-B361-4F66-989B-C711D9502F78}&lt;/DBUID&gt;&lt;/Extra&gt;&lt;/Item&gt;&lt;/References&gt;&lt;/Group&gt;&lt;/Citation&gt;_x000a_"/>
    <w:docVar w:name="NE.Ref{FC820519-3710-41D4-8AAF-7093F7FA107C}" w:val=" ADDIN NE.Ref.{FC820519-3710-41D4-8AAF-7093F7FA107C}&lt;Citation&gt;&lt;Group&gt;&lt;References&gt;&lt;Item&gt;&lt;ID&gt;4281&lt;/ID&gt;&lt;UID&gt;{E20051C4-BDD5-4C5B-A450-A0751A196D2B}&lt;/UID&gt;&lt;Title&gt;Evidence for early endothelial dysfunction associated with the ALDH2 rs671 gene variant: A preliminary investigation with young East Asians&lt;/Title&gt;&lt;Template&gt;Journal Article&lt;/Template&gt;&lt;Star&gt;0&lt;/Star&gt;&lt;Tag&gt;0&lt;/Tag&gt;&lt;Author&gt;Lioy, Beatrice; Pereira, Wagner Ribeiro; Junejo, Rehan; Peçanha, Tiago; Artioli, Guilherme Giannini&lt;/Author&gt;&lt;Year&gt;2025&lt;/Year&gt;&lt;Details&gt;&lt;_accession_num&gt;41364906&lt;/_accession_num&gt;&lt;_date_display&gt;2025/12/09&lt;/_date_display&gt;&lt;_date&gt;2025-12-09&lt;/_date&gt;&lt;_doi&gt;10.1113/EP093300&lt;/_doi&gt;&lt;_isbn&gt;1469-445X&lt;/_isbn&gt;&lt;_journal&gt;Experimental physiology&lt;/_journal&gt;&lt;_keywords&gt;aldehyde dehydrogenase 2; aldehydes; endothelial function; flow‐mediated dilation&lt;/_keywords&gt;&lt;_pages&gt;10.1113/EP093300&lt;/_pages&gt;&lt;_place_published&gt;England&lt;/_place_published&gt;&lt;_url&gt;https://pubmed.ncbi.nlm.nih.gov/41364906&lt;/_url&gt;&lt;_created&gt;66307563&lt;/_created&gt;&lt;_modified&gt;66307575&lt;/_modified&gt;&lt;_db_updated&gt;PubMed&lt;/_db_updated&gt;&lt;_impact_factor&gt;   2.600&lt;/_impact_factor&gt;&lt;_social_category&gt;生理学(3)&lt;/_social_category&gt;&lt;_collection_scope&gt;SCIE&lt;/_collection_scope&gt;&lt;_accessed&gt;66307575&lt;/_accessed&gt;&lt;_language&gt;English&lt;/_language&gt;&lt;/Details&gt;&lt;Extra&gt;&lt;DBUID&gt;{03752FAB-B361-4F66-989B-C711D9502F78}&lt;/DBUID&gt;&lt;/Extra&gt;&lt;/Item&gt;&lt;/References&gt;&lt;/Group&gt;&lt;/Citation&gt;_x000a_"/>
    <w:docVar w:name="ne_build" w:val="16.0.19530"/>
    <w:docVar w:name="ne_docsoft" w:val="MSWord"/>
    <w:docVar w:name="ne_docversion" w:val="NoteExpress 2.0"/>
    <w:docVar w:name="ne_os" w:val="Mircrosoft"/>
    <w:docVar w:name="ne_platform" w:val="Word"/>
    <w:docVar w:name="ne_stylename" w:val="2019版NSFC立项依据"/>
  </w:docVars>
  <w:rsids>
    <w:rsidRoot w:val="00866202"/>
    <w:rsid w:val="00000381"/>
    <w:rsid w:val="000045F3"/>
    <w:rsid w:val="00005C51"/>
    <w:rsid w:val="000135DF"/>
    <w:rsid w:val="00016BD1"/>
    <w:rsid w:val="00017B85"/>
    <w:rsid w:val="00017E8E"/>
    <w:rsid w:val="000252B1"/>
    <w:rsid w:val="0002533B"/>
    <w:rsid w:val="000426D6"/>
    <w:rsid w:val="0004434C"/>
    <w:rsid w:val="00047E9B"/>
    <w:rsid w:val="0005686C"/>
    <w:rsid w:val="0006269D"/>
    <w:rsid w:val="000718B9"/>
    <w:rsid w:val="000753CE"/>
    <w:rsid w:val="00094707"/>
    <w:rsid w:val="000A0381"/>
    <w:rsid w:val="000A072A"/>
    <w:rsid w:val="000A07BE"/>
    <w:rsid w:val="000A441E"/>
    <w:rsid w:val="000C1707"/>
    <w:rsid w:val="000C75CE"/>
    <w:rsid w:val="000D3E4E"/>
    <w:rsid w:val="000D4C31"/>
    <w:rsid w:val="000D4E94"/>
    <w:rsid w:val="000D62BA"/>
    <w:rsid w:val="000E0B98"/>
    <w:rsid w:val="000E1742"/>
    <w:rsid w:val="000F357D"/>
    <w:rsid w:val="000F5984"/>
    <w:rsid w:val="000F6AF0"/>
    <w:rsid w:val="001041B2"/>
    <w:rsid w:val="00105ACC"/>
    <w:rsid w:val="001075A3"/>
    <w:rsid w:val="001077A6"/>
    <w:rsid w:val="0011195E"/>
    <w:rsid w:val="00111E9C"/>
    <w:rsid w:val="00113E24"/>
    <w:rsid w:val="00114677"/>
    <w:rsid w:val="0011534C"/>
    <w:rsid w:val="0011708B"/>
    <w:rsid w:val="001171E8"/>
    <w:rsid w:val="00121460"/>
    <w:rsid w:val="001255C4"/>
    <w:rsid w:val="001404BC"/>
    <w:rsid w:val="0014623A"/>
    <w:rsid w:val="001553C5"/>
    <w:rsid w:val="001560A4"/>
    <w:rsid w:val="001577CA"/>
    <w:rsid w:val="00177314"/>
    <w:rsid w:val="00187F75"/>
    <w:rsid w:val="00192A49"/>
    <w:rsid w:val="001966B8"/>
    <w:rsid w:val="001968E4"/>
    <w:rsid w:val="001A100E"/>
    <w:rsid w:val="001A46F7"/>
    <w:rsid w:val="001B571D"/>
    <w:rsid w:val="001C1DB4"/>
    <w:rsid w:val="001D1A98"/>
    <w:rsid w:val="001E4881"/>
    <w:rsid w:val="001F5C69"/>
    <w:rsid w:val="002009FF"/>
    <w:rsid w:val="00200DF2"/>
    <w:rsid w:val="0020752B"/>
    <w:rsid w:val="00212DEA"/>
    <w:rsid w:val="002179AE"/>
    <w:rsid w:val="00217F59"/>
    <w:rsid w:val="002222AD"/>
    <w:rsid w:val="002248FD"/>
    <w:rsid w:val="00231055"/>
    <w:rsid w:val="0023140C"/>
    <w:rsid w:val="0024045B"/>
    <w:rsid w:val="0024087C"/>
    <w:rsid w:val="00251F6F"/>
    <w:rsid w:val="0026053E"/>
    <w:rsid w:val="00275418"/>
    <w:rsid w:val="002B0E2D"/>
    <w:rsid w:val="002B4EA4"/>
    <w:rsid w:val="002B6AB5"/>
    <w:rsid w:val="002C335B"/>
    <w:rsid w:val="002C754D"/>
    <w:rsid w:val="002D19AA"/>
    <w:rsid w:val="002D2CDE"/>
    <w:rsid w:val="002D4636"/>
    <w:rsid w:val="002E00B4"/>
    <w:rsid w:val="002E0B5C"/>
    <w:rsid w:val="002E1714"/>
    <w:rsid w:val="002E221D"/>
    <w:rsid w:val="002E4CA9"/>
    <w:rsid w:val="002E594D"/>
    <w:rsid w:val="002F1E53"/>
    <w:rsid w:val="002F237B"/>
    <w:rsid w:val="00301965"/>
    <w:rsid w:val="00303822"/>
    <w:rsid w:val="00312677"/>
    <w:rsid w:val="003210CF"/>
    <w:rsid w:val="00322835"/>
    <w:rsid w:val="0032517F"/>
    <w:rsid w:val="00333D6E"/>
    <w:rsid w:val="00343B3A"/>
    <w:rsid w:val="00344A16"/>
    <w:rsid w:val="003475B0"/>
    <w:rsid w:val="00352CC3"/>
    <w:rsid w:val="0036340B"/>
    <w:rsid w:val="00366019"/>
    <w:rsid w:val="00375B18"/>
    <w:rsid w:val="0037709A"/>
    <w:rsid w:val="00381CEE"/>
    <w:rsid w:val="00394AB3"/>
    <w:rsid w:val="00396BED"/>
    <w:rsid w:val="003A4A8A"/>
    <w:rsid w:val="003A69BF"/>
    <w:rsid w:val="003A7847"/>
    <w:rsid w:val="003B3CD0"/>
    <w:rsid w:val="003B42C5"/>
    <w:rsid w:val="003B4813"/>
    <w:rsid w:val="003C0ED7"/>
    <w:rsid w:val="003C66E5"/>
    <w:rsid w:val="003C7FB7"/>
    <w:rsid w:val="003D1738"/>
    <w:rsid w:val="003D415B"/>
    <w:rsid w:val="003D7981"/>
    <w:rsid w:val="003E0E7C"/>
    <w:rsid w:val="003E7A21"/>
    <w:rsid w:val="004044C1"/>
    <w:rsid w:val="00413F80"/>
    <w:rsid w:val="00426F5B"/>
    <w:rsid w:val="00431265"/>
    <w:rsid w:val="00434874"/>
    <w:rsid w:val="00434C82"/>
    <w:rsid w:val="0043591E"/>
    <w:rsid w:val="00464560"/>
    <w:rsid w:val="004676B1"/>
    <w:rsid w:val="00482C36"/>
    <w:rsid w:val="00486DC1"/>
    <w:rsid w:val="004941C0"/>
    <w:rsid w:val="00494B0D"/>
    <w:rsid w:val="004B7349"/>
    <w:rsid w:val="004B7DE5"/>
    <w:rsid w:val="004C17FC"/>
    <w:rsid w:val="004C5662"/>
    <w:rsid w:val="004D3892"/>
    <w:rsid w:val="004E477A"/>
    <w:rsid w:val="004E692A"/>
    <w:rsid w:val="004F3B6C"/>
    <w:rsid w:val="004F4273"/>
    <w:rsid w:val="004F4D94"/>
    <w:rsid w:val="004F539A"/>
    <w:rsid w:val="004F60EA"/>
    <w:rsid w:val="004F74F5"/>
    <w:rsid w:val="005030F7"/>
    <w:rsid w:val="0050338F"/>
    <w:rsid w:val="00513B5A"/>
    <w:rsid w:val="00513C07"/>
    <w:rsid w:val="0052402E"/>
    <w:rsid w:val="005449D6"/>
    <w:rsid w:val="00547894"/>
    <w:rsid w:val="00547DF7"/>
    <w:rsid w:val="005602E3"/>
    <w:rsid w:val="0057104A"/>
    <w:rsid w:val="005740FF"/>
    <w:rsid w:val="005775B2"/>
    <w:rsid w:val="005948E2"/>
    <w:rsid w:val="005C610C"/>
    <w:rsid w:val="005D7856"/>
    <w:rsid w:val="005E35E0"/>
    <w:rsid w:val="005F4500"/>
    <w:rsid w:val="005F533D"/>
    <w:rsid w:val="00607B53"/>
    <w:rsid w:val="0061107A"/>
    <w:rsid w:val="006121D8"/>
    <w:rsid w:val="006150E4"/>
    <w:rsid w:val="00625995"/>
    <w:rsid w:val="006370AC"/>
    <w:rsid w:val="006458CD"/>
    <w:rsid w:val="00650247"/>
    <w:rsid w:val="00657FC4"/>
    <w:rsid w:val="00661EB8"/>
    <w:rsid w:val="00670458"/>
    <w:rsid w:val="0067254E"/>
    <w:rsid w:val="00680496"/>
    <w:rsid w:val="00692402"/>
    <w:rsid w:val="0069546D"/>
    <w:rsid w:val="0069636A"/>
    <w:rsid w:val="00697F51"/>
    <w:rsid w:val="006A6453"/>
    <w:rsid w:val="006A673D"/>
    <w:rsid w:val="006A7B9B"/>
    <w:rsid w:val="006B0FF9"/>
    <w:rsid w:val="006B3891"/>
    <w:rsid w:val="006C3AD8"/>
    <w:rsid w:val="006C3B95"/>
    <w:rsid w:val="006C625E"/>
    <w:rsid w:val="006C6EE3"/>
    <w:rsid w:val="006D4ECC"/>
    <w:rsid w:val="006E05FB"/>
    <w:rsid w:val="006E0720"/>
    <w:rsid w:val="006E0952"/>
    <w:rsid w:val="006E5ADD"/>
    <w:rsid w:val="006F3608"/>
    <w:rsid w:val="006F5228"/>
    <w:rsid w:val="00703158"/>
    <w:rsid w:val="007034AC"/>
    <w:rsid w:val="007060EF"/>
    <w:rsid w:val="00711BB9"/>
    <w:rsid w:val="00713237"/>
    <w:rsid w:val="00724729"/>
    <w:rsid w:val="00736653"/>
    <w:rsid w:val="00741921"/>
    <w:rsid w:val="0075013E"/>
    <w:rsid w:val="007509EF"/>
    <w:rsid w:val="0075393A"/>
    <w:rsid w:val="007616E7"/>
    <w:rsid w:val="00771D3F"/>
    <w:rsid w:val="007744A1"/>
    <w:rsid w:val="00781197"/>
    <w:rsid w:val="007831BA"/>
    <w:rsid w:val="00792992"/>
    <w:rsid w:val="007B02B5"/>
    <w:rsid w:val="007D3910"/>
    <w:rsid w:val="007E0003"/>
    <w:rsid w:val="007F4A03"/>
    <w:rsid w:val="00806F69"/>
    <w:rsid w:val="008108FA"/>
    <w:rsid w:val="00822003"/>
    <w:rsid w:val="00824E6E"/>
    <w:rsid w:val="00826C82"/>
    <w:rsid w:val="008473EA"/>
    <w:rsid w:val="00850074"/>
    <w:rsid w:val="00866202"/>
    <w:rsid w:val="00877D28"/>
    <w:rsid w:val="008833DD"/>
    <w:rsid w:val="008965CD"/>
    <w:rsid w:val="008A1E9E"/>
    <w:rsid w:val="008A2006"/>
    <w:rsid w:val="008A376A"/>
    <w:rsid w:val="008A6E47"/>
    <w:rsid w:val="008B064E"/>
    <w:rsid w:val="008B6333"/>
    <w:rsid w:val="008B6C2B"/>
    <w:rsid w:val="008B755C"/>
    <w:rsid w:val="008C1BF4"/>
    <w:rsid w:val="008C343B"/>
    <w:rsid w:val="008D2268"/>
    <w:rsid w:val="008D3FB4"/>
    <w:rsid w:val="008D4619"/>
    <w:rsid w:val="008D6B6C"/>
    <w:rsid w:val="008D7AA0"/>
    <w:rsid w:val="008E06BA"/>
    <w:rsid w:val="008E7D9E"/>
    <w:rsid w:val="009020A9"/>
    <w:rsid w:val="00906648"/>
    <w:rsid w:val="00915B95"/>
    <w:rsid w:val="0091794A"/>
    <w:rsid w:val="00921723"/>
    <w:rsid w:val="00940C3E"/>
    <w:rsid w:val="00944015"/>
    <w:rsid w:val="009461B6"/>
    <w:rsid w:val="00953DE9"/>
    <w:rsid w:val="009656A9"/>
    <w:rsid w:val="00970EFB"/>
    <w:rsid w:val="00973F3E"/>
    <w:rsid w:val="00993247"/>
    <w:rsid w:val="009A0A92"/>
    <w:rsid w:val="009A7215"/>
    <w:rsid w:val="009B3065"/>
    <w:rsid w:val="009B3198"/>
    <w:rsid w:val="009B5B99"/>
    <w:rsid w:val="009B6816"/>
    <w:rsid w:val="009D1374"/>
    <w:rsid w:val="009D2D33"/>
    <w:rsid w:val="009D6736"/>
    <w:rsid w:val="009E31C9"/>
    <w:rsid w:val="009E4774"/>
    <w:rsid w:val="009E4D39"/>
    <w:rsid w:val="009F093C"/>
    <w:rsid w:val="009F095B"/>
    <w:rsid w:val="009F4EBE"/>
    <w:rsid w:val="009F5895"/>
    <w:rsid w:val="00A018F3"/>
    <w:rsid w:val="00A0344A"/>
    <w:rsid w:val="00A10E62"/>
    <w:rsid w:val="00A16E85"/>
    <w:rsid w:val="00A20FA4"/>
    <w:rsid w:val="00A4124B"/>
    <w:rsid w:val="00A55990"/>
    <w:rsid w:val="00A63660"/>
    <w:rsid w:val="00A64114"/>
    <w:rsid w:val="00A6469E"/>
    <w:rsid w:val="00A649D9"/>
    <w:rsid w:val="00A65E0A"/>
    <w:rsid w:val="00A66008"/>
    <w:rsid w:val="00A816AB"/>
    <w:rsid w:val="00A85C0E"/>
    <w:rsid w:val="00A90F2A"/>
    <w:rsid w:val="00AB3710"/>
    <w:rsid w:val="00AB4E13"/>
    <w:rsid w:val="00AC7B7C"/>
    <w:rsid w:val="00AD193A"/>
    <w:rsid w:val="00AD198A"/>
    <w:rsid w:val="00AD4FBA"/>
    <w:rsid w:val="00AD719B"/>
    <w:rsid w:val="00AF2833"/>
    <w:rsid w:val="00B1211F"/>
    <w:rsid w:val="00B146FC"/>
    <w:rsid w:val="00B17B33"/>
    <w:rsid w:val="00B278C9"/>
    <w:rsid w:val="00B35C0B"/>
    <w:rsid w:val="00B41EA8"/>
    <w:rsid w:val="00B45E87"/>
    <w:rsid w:val="00B46C12"/>
    <w:rsid w:val="00B51C48"/>
    <w:rsid w:val="00B71C4B"/>
    <w:rsid w:val="00B72CD4"/>
    <w:rsid w:val="00B81E3E"/>
    <w:rsid w:val="00B86B50"/>
    <w:rsid w:val="00B93FF1"/>
    <w:rsid w:val="00B94333"/>
    <w:rsid w:val="00B94FCD"/>
    <w:rsid w:val="00B97E07"/>
    <w:rsid w:val="00BA1B82"/>
    <w:rsid w:val="00BB3523"/>
    <w:rsid w:val="00BB424F"/>
    <w:rsid w:val="00BD3031"/>
    <w:rsid w:val="00BE2DFB"/>
    <w:rsid w:val="00BF3F6F"/>
    <w:rsid w:val="00BF6721"/>
    <w:rsid w:val="00C03E01"/>
    <w:rsid w:val="00C076F7"/>
    <w:rsid w:val="00C119A5"/>
    <w:rsid w:val="00C1556D"/>
    <w:rsid w:val="00C160A4"/>
    <w:rsid w:val="00C20423"/>
    <w:rsid w:val="00C35145"/>
    <w:rsid w:val="00C355AE"/>
    <w:rsid w:val="00C37956"/>
    <w:rsid w:val="00C37B19"/>
    <w:rsid w:val="00C56CA7"/>
    <w:rsid w:val="00C63735"/>
    <w:rsid w:val="00C666BD"/>
    <w:rsid w:val="00C76A50"/>
    <w:rsid w:val="00C7744A"/>
    <w:rsid w:val="00C85844"/>
    <w:rsid w:val="00C94CE2"/>
    <w:rsid w:val="00C977A1"/>
    <w:rsid w:val="00CA5FD9"/>
    <w:rsid w:val="00CA7338"/>
    <w:rsid w:val="00CB2442"/>
    <w:rsid w:val="00CC06C1"/>
    <w:rsid w:val="00CC5CDD"/>
    <w:rsid w:val="00CC731C"/>
    <w:rsid w:val="00CD0DF5"/>
    <w:rsid w:val="00CD111A"/>
    <w:rsid w:val="00CD2237"/>
    <w:rsid w:val="00CD4C47"/>
    <w:rsid w:val="00CF624C"/>
    <w:rsid w:val="00D21A69"/>
    <w:rsid w:val="00D26662"/>
    <w:rsid w:val="00D273DF"/>
    <w:rsid w:val="00D373B1"/>
    <w:rsid w:val="00D51CE7"/>
    <w:rsid w:val="00D53B7F"/>
    <w:rsid w:val="00D66C9C"/>
    <w:rsid w:val="00D70567"/>
    <w:rsid w:val="00D81AED"/>
    <w:rsid w:val="00D82E69"/>
    <w:rsid w:val="00D903C2"/>
    <w:rsid w:val="00D94662"/>
    <w:rsid w:val="00DA252C"/>
    <w:rsid w:val="00DB0FF5"/>
    <w:rsid w:val="00DB4E24"/>
    <w:rsid w:val="00DD0D10"/>
    <w:rsid w:val="00DD1250"/>
    <w:rsid w:val="00DD41EA"/>
    <w:rsid w:val="00DE6147"/>
    <w:rsid w:val="00DF07E8"/>
    <w:rsid w:val="00DF270F"/>
    <w:rsid w:val="00E02D61"/>
    <w:rsid w:val="00E5330D"/>
    <w:rsid w:val="00E565CB"/>
    <w:rsid w:val="00E6381E"/>
    <w:rsid w:val="00E65FE8"/>
    <w:rsid w:val="00E80130"/>
    <w:rsid w:val="00E94D66"/>
    <w:rsid w:val="00E9551E"/>
    <w:rsid w:val="00E97D04"/>
    <w:rsid w:val="00EA14E2"/>
    <w:rsid w:val="00EB130C"/>
    <w:rsid w:val="00EC4EC0"/>
    <w:rsid w:val="00EC7BBF"/>
    <w:rsid w:val="00ED4995"/>
    <w:rsid w:val="00EE2FD8"/>
    <w:rsid w:val="00EF13C0"/>
    <w:rsid w:val="00F013F2"/>
    <w:rsid w:val="00F01B1B"/>
    <w:rsid w:val="00F12FC2"/>
    <w:rsid w:val="00F12FD3"/>
    <w:rsid w:val="00F25EB4"/>
    <w:rsid w:val="00F27802"/>
    <w:rsid w:val="00F32559"/>
    <w:rsid w:val="00F37B70"/>
    <w:rsid w:val="00F40F35"/>
    <w:rsid w:val="00F52BE6"/>
    <w:rsid w:val="00F5467E"/>
    <w:rsid w:val="00F6046E"/>
    <w:rsid w:val="00F77B3D"/>
    <w:rsid w:val="00F83DBF"/>
    <w:rsid w:val="00F847ED"/>
    <w:rsid w:val="00F90494"/>
    <w:rsid w:val="00F91224"/>
    <w:rsid w:val="00F91992"/>
    <w:rsid w:val="00F9581C"/>
    <w:rsid w:val="00FA05F5"/>
    <w:rsid w:val="00FA6A68"/>
    <w:rsid w:val="00FB3072"/>
    <w:rsid w:val="00FC26E3"/>
    <w:rsid w:val="00FD463D"/>
    <w:rsid w:val="00FD61FF"/>
    <w:rsid w:val="00FD78CA"/>
    <w:rsid w:val="0D95158B"/>
    <w:rsid w:val="341B36D3"/>
    <w:rsid w:val="41E35595"/>
    <w:rsid w:val="6D3D7B41"/>
    <w:rsid w:val="75635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B98AE7"/>
  <w14:defaultImageDpi w14:val="32767"/>
  <w15:docId w15:val="{998C85E0-4D7C-40E7-88F2-D9A1E802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pPr>
    <w:rPr>
      <w:sz w:val="18"/>
      <w:szCs w:val="18"/>
    </w:rPr>
  </w:style>
  <w:style w:type="paragraph" w:styleId="a5">
    <w:name w:val="header"/>
    <w:basedOn w:val="a"/>
    <w:link w:val="a6"/>
    <w:uiPriority w:val="99"/>
    <w:unhideWhenUsed/>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styleId="af0">
    <w:name w:val="line number"/>
    <w:basedOn w:val="a0"/>
    <w:uiPriority w:val="99"/>
    <w:semiHidden/>
    <w:unhideWhenUsed/>
    <w:rsid w:val="001075A3"/>
  </w:style>
  <w:style w:type="paragraph" w:customStyle="1" w:styleId="EndNoteBibliographyTitle">
    <w:name w:val="EndNote Bibliography Title"/>
    <w:basedOn w:val="a"/>
    <w:link w:val="EndNoteBibliographyTitle0"/>
    <w:rsid w:val="00513C07"/>
    <w:pPr>
      <w:spacing w:after="0"/>
      <w:jc w:val="center"/>
    </w:pPr>
    <w:rPr>
      <w:rFonts w:ascii="等线" w:eastAsia="等线" w:hAnsi="等线"/>
      <w:noProof/>
    </w:rPr>
  </w:style>
  <w:style w:type="character" w:customStyle="1" w:styleId="EndNoteBibliographyTitle0">
    <w:name w:val="EndNote Bibliography Title 字符"/>
    <w:basedOn w:val="a0"/>
    <w:link w:val="EndNoteBibliographyTitle"/>
    <w:rsid w:val="00513C07"/>
    <w:rPr>
      <w:rFonts w:ascii="等线" w:eastAsia="等线" w:hAnsi="等线"/>
      <w:noProof/>
      <w:kern w:val="2"/>
      <w:sz w:val="22"/>
      <w:szCs w:val="24"/>
      <w14:ligatures w14:val="standardContextual"/>
    </w:rPr>
  </w:style>
  <w:style w:type="paragraph" w:customStyle="1" w:styleId="EndNoteBibliography">
    <w:name w:val="EndNote Bibliography"/>
    <w:basedOn w:val="a"/>
    <w:link w:val="EndNoteBibliography0"/>
    <w:rsid w:val="00513C07"/>
    <w:pPr>
      <w:spacing w:line="240" w:lineRule="auto"/>
      <w:jc w:val="both"/>
    </w:pPr>
    <w:rPr>
      <w:rFonts w:ascii="等线" w:eastAsia="等线" w:hAnsi="等线"/>
      <w:noProof/>
    </w:rPr>
  </w:style>
  <w:style w:type="character" w:customStyle="1" w:styleId="EndNoteBibliography0">
    <w:name w:val="EndNote Bibliography 字符"/>
    <w:basedOn w:val="a0"/>
    <w:link w:val="EndNoteBibliography"/>
    <w:rsid w:val="00513C07"/>
    <w:rPr>
      <w:rFonts w:ascii="等线" w:eastAsia="等线" w:hAnsi="等线"/>
      <w:noProof/>
      <w:kern w:val="2"/>
      <w:sz w:val="22"/>
      <w:szCs w:val="24"/>
      <w14:ligatures w14:val="standardContextual"/>
    </w:rPr>
  </w:style>
  <w:style w:type="character" w:styleId="af1">
    <w:name w:val="Strong"/>
    <w:basedOn w:val="a0"/>
    <w:uiPriority w:val="22"/>
    <w:qFormat/>
    <w:rsid w:val="00806F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90644">
      <w:bodyDiv w:val="1"/>
      <w:marLeft w:val="0"/>
      <w:marRight w:val="0"/>
      <w:marTop w:val="0"/>
      <w:marBottom w:val="0"/>
      <w:divBdr>
        <w:top w:val="none" w:sz="0" w:space="0" w:color="auto"/>
        <w:left w:val="none" w:sz="0" w:space="0" w:color="auto"/>
        <w:bottom w:val="none" w:sz="0" w:space="0" w:color="auto"/>
        <w:right w:val="none" w:sz="0" w:space="0" w:color="auto"/>
      </w:divBdr>
    </w:div>
    <w:div w:id="144974226">
      <w:bodyDiv w:val="1"/>
      <w:marLeft w:val="0"/>
      <w:marRight w:val="0"/>
      <w:marTop w:val="0"/>
      <w:marBottom w:val="0"/>
      <w:divBdr>
        <w:top w:val="none" w:sz="0" w:space="0" w:color="auto"/>
        <w:left w:val="none" w:sz="0" w:space="0" w:color="auto"/>
        <w:bottom w:val="none" w:sz="0" w:space="0" w:color="auto"/>
        <w:right w:val="none" w:sz="0" w:space="0" w:color="auto"/>
      </w:divBdr>
    </w:div>
    <w:div w:id="150610557">
      <w:bodyDiv w:val="1"/>
      <w:marLeft w:val="0"/>
      <w:marRight w:val="0"/>
      <w:marTop w:val="0"/>
      <w:marBottom w:val="0"/>
      <w:divBdr>
        <w:top w:val="none" w:sz="0" w:space="0" w:color="auto"/>
        <w:left w:val="none" w:sz="0" w:space="0" w:color="auto"/>
        <w:bottom w:val="none" w:sz="0" w:space="0" w:color="auto"/>
        <w:right w:val="none" w:sz="0" w:space="0" w:color="auto"/>
      </w:divBdr>
      <w:divsChild>
        <w:div w:id="78841460">
          <w:marLeft w:val="0"/>
          <w:marRight w:val="0"/>
          <w:marTop w:val="0"/>
          <w:marBottom w:val="0"/>
          <w:divBdr>
            <w:top w:val="none" w:sz="0" w:space="0" w:color="auto"/>
            <w:left w:val="none" w:sz="0" w:space="0" w:color="auto"/>
            <w:bottom w:val="none" w:sz="0" w:space="0" w:color="auto"/>
            <w:right w:val="none" w:sz="0" w:space="0" w:color="auto"/>
          </w:divBdr>
          <w:divsChild>
            <w:div w:id="597953810">
              <w:marLeft w:val="0"/>
              <w:marRight w:val="0"/>
              <w:marTop w:val="0"/>
              <w:marBottom w:val="0"/>
              <w:divBdr>
                <w:top w:val="none" w:sz="0" w:space="0" w:color="auto"/>
                <w:left w:val="none" w:sz="0" w:space="0" w:color="auto"/>
                <w:bottom w:val="none" w:sz="0" w:space="0" w:color="auto"/>
                <w:right w:val="none" w:sz="0" w:space="0" w:color="auto"/>
              </w:divBdr>
              <w:divsChild>
                <w:div w:id="1141965955">
                  <w:marLeft w:val="0"/>
                  <w:marRight w:val="0"/>
                  <w:marTop w:val="0"/>
                  <w:marBottom w:val="0"/>
                  <w:divBdr>
                    <w:top w:val="none" w:sz="0" w:space="0" w:color="auto"/>
                    <w:left w:val="none" w:sz="0" w:space="0" w:color="auto"/>
                    <w:bottom w:val="none" w:sz="0" w:space="0" w:color="auto"/>
                    <w:right w:val="none" w:sz="0" w:space="0" w:color="auto"/>
                  </w:divBdr>
                  <w:divsChild>
                    <w:div w:id="270288893">
                      <w:marLeft w:val="0"/>
                      <w:marRight w:val="0"/>
                      <w:marTop w:val="0"/>
                      <w:marBottom w:val="0"/>
                      <w:divBdr>
                        <w:top w:val="none" w:sz="0" w:space="0" w:color="auto"/>
                        <w:left w:val="none" w:sz="0" w:space="0" w:color="auto"/>
                        <w:bottom w:val="none" w:sz="0" w:space="0" w:color="auto"/>
                        <w:right w:val="none" w:sz="0" w:space="0" w:color="auto"/>
                      </w:divBdr>
                      <w:divsChild>
                        <w:div w:id="495073561">
                          <w:marLeft w:val="0"/>
                          <w:marRight w:val="0"/>
                          <w:marTop w:val="0"/>
                          <w:marBottom w:val="0"/>
                          <w:divBdr>
                            <w:top w:val="none" w:sz="0" w:space="0" w:color="auto"/>
                            <w:left w:val="none" w:sz="0" w:space="0" w:color="auto"/>
                            <w:bottom w:val="none" w:sz="0" w:space="0" w:color="auto"/>
                            <w:right w:val="none" w:sz="0" w:space="0" w:color="auto"/>
                          </w:divBdr>
                          <w:divsChild>
                            <w:div w:id="1470712247">
                              <w:marLeft w:val="0"/>
                              <w:marRight w:val="0"/>
                              <w:marTop w:val="0"/>
                              <w:marBottom w:val="0"/>
                              <w:divBdr>
                                <w:top w:val="none" w:sz="0" w:space="0" w:color="auto"/>
                                <w:left w:val="none" w:sz="0" w:space="0" w:color="auto"/>
                                <w:bottom w:val="none" w:sz="0" w:space="0" w:color="auto"/>
                                <w:right w:val="none" w:sz="0" w:space="0" w:color="auto"/>
                              </w:divBdr>
                              <w:divsChild>
                                <w:div w:id="1554925552">
                                  <w:marLeft w:val="0"/>
                                  <w:marRight w:val="0"/>
                                  <w:marTop w:val="0"/>
                                  <w:marBottom w:val="0"/>
                                  <w:divBdr>
                                    <w:top w:val="none" w:sz="0" w:space="0" w:color="auto"/>
                                    <w:left w:val="none" w:sz="0" w:space="0" w:color="auto"/>
                                    <w:bottom w:val="none" w:sz="0" w:space="0" w:color="auto"/>
                                    <w:right w:val="none" w:sz="0" w:space="0" w:color="auto"/>
                                  </w:divBdr>
                                  <w:divsChild>
                                    <w:div w:id="102113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078354">
      <w:bodyDiv w:val="1"/>
      <w:marLeft w:val="0"/>
      <w:marRight w:val="0"/>
      <w:marTop w:val="0"/>
      <w:marBottom w:val="0"/>
      <w:divBdr>
        <w:top w:val="none" w:sz="0" w:space="0" w:color="auto"/>
        <w:left w:val="none" w:sz="0" w:space="0" w:color="auto"/>
        <w:bottom w:val="none" w:sz="0" w:space="0" w:color="auto"/>
        <w:right w:val="none" w:sz="0" w:space="0" w:color="auto"/>
      </w:divBdr>
    </w:div>
    <w:div w:id="273564017">
      <w:bodyDiv w:val="1"/>
      <w:marLeft w:val="0"/>
      <w:marRight w:val="0"/>
      <w:marTop w:val="0"/>
      <w:marBottom w:val="0"/>
      <w:divBdr>
        <w:top w:val="none" w:sz="0" w:space="0" w:color="auto"/>
        <w:left w:val="none" w:sz="0" w:space="0" w:color="auto"/>
        <w:bottom w:val="none" w:sz="0" w:space="0" w:color="auto"/>
        <w:right w:val="none" w:sz="0" w:space="0" w:color="auto"/>
      </w:divBdr>
    </w:div>
    <w:div w:id="297340673">
      <w:bodyDiv w:val="1"/>
      <w:marLeft w:val="0"/>
      <w:marRight w:val="0"/>
      <w:marTop w:val="0"/>
      <w:marBottom w:val="0"/>
      <w:divBdr>
        <w:top w:val="none" w:sz="0" w:space="0" w:color="auto"/>
        <w:left w:val="none" w:sz="0" w:space="0" w:color="auto"/>
        <w:bottom w:val="none" w:sz="0" w:space="0" w:color="auto"/>
        <w:right w:val="none" w:sz="0" w:space="0" w:color="auto"/>
      </w:divBdr>
    </w:div>
    <w:div w:id="340472181">
      <w:bodyDiv w:val="1"/>
      <w:marLeft w:val="0"/>
      <w:marRight w:val="0"/>
      <w:marTop w:val="0"/>
      <w:marBottom w:val="0"/>
      <w:divBdr>
        <w:top w:val="none" w:sz="0" w:space="0" w:color="auto"/>
        <w:left w:val="none" w:sz="0" w:space="0" w:color="auto"/>
        <w:bottom w:val="none" w:sz="0" w:space="0" w:color="auto"/>
        <w:right w:val="none" w:sz="0" w:space="0" w:color="auto"/>
      </w:divBdr>
    </w:div>
    <w:div w:id="365562770">
      <w:bodyDiv w:val="1"/>
      <w:marLeft w:val="0"/>
      <w:marRight w:val="0"/>
      <w:marTop w:val="0"/>
      <w:marBottom w:val="0"/>
      <w:divBdr>
        <w:top w:val="none" w:sz="0" w:space="0" w:color="auto"/>
        <w:left w:val="none" w:sz="0" w:space="0" w:color="auto"/>
        <w:bottom w:val="none" w:sz="0" w:space="0" w:color="auto"/>
        <w:right w:val="none" w:sz="0" w:space="0" w:color="auto"/>
      </w:divBdr>
    </w:div>
    <w:div w:id="396365438">
      <w:bodyDiv w:val="1"/>
      <w:marLeft w:val="0"/>
      <w:marRight w:val="0"/>
      <w:marTop w:val="0"/>
      <w:marBottom w:val="0"/>
      <w:divBdr>
        <w:top w:val="none" w:sz="0" w:space="0" w:color="auto"/>
        <w:left w:val="none" w:sz="0" w:space="0" w:color="auto"/>
        <w:bottom w:val="none" w:sz="0" w:space="0" w:color="auto"/>
        <w:right w:val="none" w:sz="0" w:space="0" w:color="auto"/>
      </w:divBdr>
    </w:div>
    <w:div w:id="475418958">
      <w:bodyDiv w:val="1"/>
      <w:marLeft w:val="0"/>
      <w:marRight w:val="0"/>
      <w:marTop w:val="0"/>
      <w:marBottom w:val="0"/>
      <w:divBdr>
        <w:top w:val="none" w:sz="0" w:space="0" w:color="auto"/>
        <w:left w:val="none" w:sz="0" w:space="0" w:color="auto"/>
        <w:bottom w:val="none" w:sz="0" w:space="0" w:color="auto"/>
        <w:right w:val="none" w:sz="0" w:space="0" w:color="auto"/>
      </w:divBdr>
    </w:div>
    <w:div w:id="495537374">
      <w:bodyDiv w:val="1"/>
      <w:marLeft w:val="0"/>
      <w:marRight w:val="0"/>
      <w:marTop w:val="0"/>
      <w:marBottom w:val="0"/>
      <w:divBdr>
        <w:top w:val="none" w:sz="0" w:space="0" w:color="auto"/>
        <w:left w:val="none" w:sz="0" w:space="0" w:color="auto"/>
        <w:bottom w:val="none" w:sz="0" w:space="0" w:color="auto"/>
        <w:right w:val="none" w:sz="0" w:space="0" w:color="auto"/>
      </w:divBdr>
    </w:div>
    <w:div w:id="510681545">
      <w:bodyDiv w:val="1"/>
      <w:marLeft w:val="0"/>
      <w:marRight w:val="0"/>
      <w:marTop w:val="0"/>
      <w:marBottom w:val="0"/>
      <w:divBdr>
        <w:top w:val="none" w:sz="0" w:space="0" w:color="auto"/>
        <w:left w:val="none" w:sz="0" w:space="0" w:color="auto"/>
        <w:bottom w:val="none" w:sz="0" w:space="0" w:color="auto"/>
        <w:right w:val="none" w:sz="0" w:space="0" w:color="auto"/>
      </w:divBdr>
    </w:div>
    <w:div w:id="519127529">
      <w:bodyDiv w:val="1"/>
      <w:marLeft w:val="0"/>
      <w:marRight w:val="0"/>
      <w:marTop w:val="0"/>
      <w:marBottom w:val="0"/>
      <w:divBdr>
        <w:top w:val="none" w:sz="0" w:space="0" w:color="auto"/>
        <w:left w:val="none" w:sz="0" w:space="0" w:color="auto"/>
        <w:bottom w:val="none" w:sz="0" w:space="0" w:color="auto"/>
        <w:right w:val="none" w:sz="0" w:space="0" w:color="auto"/>
      </w:divBdr>
    </w:div>
    <w:div w:id="549461057">
      <w:bodyDiv w:val="1"/>
      <w:marLeft w:val="0"/>
      <w:marRight w:val="0"/>
      <w:marTop w:val="0"/>
      <w:marBottom w:val="0"/>
      <w:divBdr>
        <w:top w:val="none" w:sz="0" w:space="0" w:color="auto"/>
        <w:left w:val="none" w:sz="0" w:space="0" w:color="auto"/>
        <w:bottom w:val="none" w:sz="0" w:space="0" w:color="auto"/>
        <w:right w:val="none" w:sz="0" w:space="0" w:color="auto"/>
      </w:divBdr>
    </w:div>
    <w:div w:id="568852696">
      <w:bodyDiv w:val="1"/>
      <w:marLeft w:val="0"/>
      <w:marRight w:val="0"/>
      <w:marTop w:val="0"/>
      <w:marBottom w:val="0"/>
      <w:divBdr>
        <w:top w:val="none" w:sz="0" w:space="0" w:color="auto"/>
        <w:left w:val="none" w:sz="0" w:space="0" w:color="auto"/>
        <w:bottom w:val="none" w:sz="0" w:space="0" w:color="auto"/>
        <w:right w:val="none" w:sz="0" w:space="0" w:color="auto"/>
      </w:divBdr>
    </w:div>
    <w:div w:id="581764811">
      <w:bodyDiv w:val="1"/>
      <w:marLeft w:val="0"/>
      <w:marRight w:val="0"/>
      <w:marTop w:val="0"/>
      <w:marBottom w:val="0"/>
      <w:divBdr>
        <w:top w:val="none" w:sz="0" w:space="0" w:color="auto"/>
        <w:left w:val="none" w:sz="0" w:space="0" w:color="auto"/>
        <w:bottom w:val="none" w:sz="0" w:space="0" w:color="auto"/>
        <w:right w:val="none" w:sz="0" w:space="0" w:color="auto"/>
      </w:divBdr>
    </w:div>
    <w:div w:id="589891454">
      <w:bodyDiv w:val="1"/>
      <w:marLeft w:val="0"/>
      <w:marRight w:val="0"/>
      <w:marTop w:val="0"/>
      <w:marBottom w:val="0"/>
      <w:divBdr>
        <w:top w:val="none" w:sz="0" w:space="0" w:color="auto"/>
        <w:left w:val="none" w:sz="0" w:space="0" w:color="auto"/>
        <w:bottom w:val="none" w:sz="0" w:space="0" w:color="auto"/>
        <w:right w:val="none" w:sz="0" w:space="0" w:color="auto"/>
      </w:divBdr>
    </w:div>
    <w:div w:id="666792172">
      <w:bodyDiv w:val="1"/>
      <w:marLeft w:val="0"/>
      <w:marRight w:val="0"/>
      <w:marTop w:val="0"/>
      <w:marBottom w:val="0"/>
      <w:divBdr>
        <w:top w:val="none" w:sz="0" w:space="0" w:color="auto"/>
        <w:left w:val="none" w:sz="0" w:space="0" w:color="auto"/>
        <w:bottom w:val="none" w:sz="0" w:space="0" w:color="auto"/>
        <w:right w:val="none" w:sz="0" w:space="0" w:color="auto"/>
      </w:divBdr>
    </w:div>
    <w:div w:id="674844551">
      <w:bodyDiv w:val="1"/>
      <w:marLeft w:val="0"/>
      <w:marRight w:val="0"/>
      <w:marTop w:val="0"/>
      <w:marBottom w:val="0"/>
      <w:divBdr>
        <w:top w:val="none" w:sz="0" w:space="0" w:color="auto"/>
        <w:left w:val="none" w:sz="0" w:space="0" w:color="auto"/>
        <w:bottom w:val="none" w:sz="0" w:space="0" w:color="auto"/>
        <w:right w:val="none" w:sz="0" w:space="0" w:color="auto"/>
      </w:divBdr>
    </w:div>
    <w:div w:id="700589553">
      <w:bodyDiv w:val="1"/>
      <w:marLeft w:val="0"/>
      <w:marRight w:val="0"/>
      <w:marTop w:val="0"/>
      <w:marBottom w:val="0"/>
      <w:divBdr>
        <w:top w:val="none" w:sz="0" w:space="0" w:color="auto"/>
        <w:left w:val="none" w:sz="0" w:space="0" w:color="auto"/>
        <w:bottom w:val="none" w:sz="0" w:space="0" w:color="auto"/>
        <w:right w:val="none" w:sz="0" w:space="0" w:color="auto"/>
      </w:divBdr>
    </w:div>
    <w:div w:id="735276142">
      <w:bodyDiv w:val="1"/>
      <w:marLeft w:val="0"/>
      <w:marRight w:val="0"/>
      <w:marTop w:val="0"/>
      <w:marBottom w:val="0"/>
      <w:divBdr>
        <w:top w:val="none" w:sz="0" w:space="0" w:color="auto"/>
        <w:left w:val="none" w:sz="0" w:space="0" w:color="auto"/>
        <w:bottom w:val="none" w:sz="0" w:space="0" w:color="auto"/>
        <w:right w:val="none" w:sz="0" w:space="0" w:color="auto"/>
      </w:divBdr>
    </w:div>
    <w:div w:id="822090379">
      <w:bodyDiv w:val="1"/>
      <w:marLeft w:val="0"/>
      <w:marRight w:val="0"/>
      <w:marTop w:val="0"/>
      <w:marBottom w:val="0"/>
      <w:divBdr>
        <w:top w:val="none" w:sz="0" w:space="0" w:color="auto"/>
        <w:left w:val="none" w:sz="0" w:space="0" w:color="auto"/>
        <w:bottom w:val="none" w:sz="0" w:space="0" w:color="auto"/>
        <w:right w:val="none" w:sz="0" w:space="0" w:color="auto"/>
      </w:divBdr>
    </w:div>
    <w:div w:id="963733452">
      <w:bodyDiv w:val="1"/>
      <w:marLeft w:val="0"/>
      <w:marRight w:val="0"/>
      <w:marTop w:val="0"/>
      <w:marBottom w:val="0"/>
      <w:divBdr>
        <w:top w:val="none" w:sz="0" w:space="0" w:color="auto"/>
        <w:left w:val="none" w:sz="0" w:space="0" w:color="auto"/>
        <w:bottom w:val="none" w:sz="0" w:space="0" w:color="auto"/>
        <w:right w:val="none" w:sz="0" w:space="0" w:color="auto"/>
      </w:divBdr>
    </w:div>
    <w:div w:id="990912548">
      <w:bodyDiv w:val="1"/>
      <w:marLeft w:val="0"/>
      <w:marRight w:val="0"/>
      <w:marTop w:val="0"/>
      <w:marBottom w:val="0"/>
      <w:divBdr>
        <w:top w:val="none" w:sz="0" w:space="0" w:color="auto"/>
        <w:left w:val="none" w:sz="0" w:space="0" w:color="auto"/>
        <w:bottom w:val="none" w:sz="0" w:space="0" w:color="auto"/>
        <w:right w:val="none" w:sz="0" w:space="0" w:color="auto"/>
      </w:divBdr>
    </w:div>
    <w:div w:id="1027491003">
      <w:bodyDiv w:val="1"/>
      <w:marLeft w:val="0"/>
      <w:marRight w:val="0"/>
      <w:marTop w:val="0"/>
      <w:marBottom w:val="0"/>
      <w:divBdr>
        <w:top w:val="none" w:sz="0" w:space="0" w:color="auto"/>
        <w:left w:val="none" w:sz="0" w:space="0" w:color="auto"/>
        <w:bottom w:val="none" w:sz="0" w:space="0" w:color="auto"/>
        <w:right w:val="none" w:sz="0" w:space="0" w:color="auto"/>
      </w:divBdr>
    </w:div>
    <w:div w:id="1028214021">
      <w:bodyDiv w:val="1"/>
      <w:marLeft w:val="0"/>
      <w:marRight w:val="0"/>
      <w:marTop w:val="0"/>
      <w:marBottom w:val="0"/>
      <w:divBdr>
        <w:top w:val="none" w:sz="0" w:space="0" w:color="auto"/>
        <w:left w:val="none" w:sz="0" w:space="0" w:color="auto"/>
        <w:bottom w:val="none" w:sz="0" w:space="0" w:color="auto"/>
        <w:right w:val="none" w:sz="0" w:space="0" w:color="auto"/>
      </w:divBdr>
    </w:div>
    <w:div w:id="1140347225">
      <w:bodyDiv w:val="1"/>
      <w:marLeft w:val="0"/>
      <w:marRight w:val="0"/>
      <w:marTop w:val="0"/>
      <w:marBottom w:val="0"/>
      <w:divBdr>
        <w:top w:val="none" w:sz="0" w:space="0" w:color="auto"/>
        <w:left w:val="none" w:sz="0" w:space="0" w:color="auto"/>
        <w:bottom w:val="none" w:sz="0" w:space="0" w:color="auto"/>
        <w:right w:val="none" w:sz="0" w:space="0" w:color="auto"/>
      </w:divBdr>
    </w:div>
    <w:div w:id="1180848357">
      <w:bodyDiv w:val="1"/>
      <w:marLeft w:val="0"/>
      <w:marRight w:val="0"/>
      <w:marTop w:val="0"/>
      <w:marBottom w:val="0"/>
      <w:divBdr>
        <w:top w:val="none" w:sz="0" w:space="0" w:color="auto"/>
        <w:left w:val="none" w:sz="0" w:space="0" w:color="auto"/>
        <w:bottom w:val="none" w:sz="0" w:space="0" w:color="auto"/>
        <w:right w:val="none" w:sz="0" w:space="0" w:color="auto"/>
      </w:divBdr>
    </w:div>
    <w:div w:id="1240939810">
      <w:bodyDiv w:val="1"/>
      <w:marLeft w:val="0"/>
      <w:marRight w:val="0"/>
      <w:marTop w:val="0"/>
      <w:marBottom w:val="0"/>
      <w:divBdr>
        <w:top w:val="none" w:sz="0" w:space="0" w:color="auto"/>
        <w:left w:val="none" w:sz="0" w:space="0" w:color="auto"/>
        <w:bottom w:val="none" w:sz="0" w:space="0" w:color="auto"/>
        <w:right w:val="none" w:sz="0" w:space="0" w:color="auto"/>
      </w:divBdr>
    </w:div>
    <w:div w:id="1261330071">
      <w:bodyDiv w:val="1"/>
      <w:marLeft w:val="0"/>
      <w:marRight w:val="0"/>
      <w:marTop w:val="0"/>
      <w:marBottom w:val="0"/>
      <w:divBdr>
        <w:top w:val="none" w:sz="0" w:space="0" w:color="auto"/>
        <w:left w:val="none" w:sz="0" w:space="0" w:color="auto"/>
        <w:bottom w:val="none" w:sz="0" w:space="0" w:color="auto"/>
        <w:right w:val="none" w:sz="0" w:space="0" w:color="auto"/>
      </w:divBdr>
    </w:div>
    <w:div w:id="1265458690">
      <w:bodyDiv w:val="1"/>
      <w:marLeft w:val="0"/>
      <w:marRight w:val="0"/>
      <w:marTop w:val="0"/>
      <w:marBottom w:val="0"/>
      <w:divBdr>
        <w:top w:val="none" w:sz="0" w:space="0" w:color="auto"/>
        <w:left w:val="none" w:sz="0" w:space="0" w:color="auto"/>
        <w:bottom w:val="none" w:sz="0" w:space="0" w:color="auto"/>
        <w:right w:val="none" w:sz="0" w:space="0" w:color="auto"/>
      </w:divBdr>
    </w:div>
    <w:div w:id="1291478855">
      <w:bodyDiv w:val="1"/>
      <w:marLeft w:val="0"/>
      <w:marRight w:val="0"/>
      <w:marTop w:val="0"/>
      <w:marBottom w:val="0"/>
      <w:divBdr>
        <w:top w:val="none" w:sz="0" w:space="0" w:color="auto"/>
        <w:left w:val="none" w:sz="0" w:space="0" w:color="auto"/>
        <w:bottom w:val="none" w:sz="0" w:space="0" w:color="auto"/>
        <w:right w:val="none" w:sz="0" w:space="0" w:color="auto"/>
      </w:divBdr>
    </w:div>
    <w:div w:id="1292007586">
      <w:bodyDiv w:val="1"/>
      <w:marLeft w:val="0"/>
      <w:marRight w:val="0"/>
      <w:marTop w:val="0"/>
      <w:marBottom w:val="0"/>
      <w:divBdr>
        <w:top w:val="none" w:sz="0" w:space="0" w:color="auto"/>
        <w:left w:val="none" w:sz="0" w:space="0" w:color="auto"/>
        <w:bottom w:val="none" w:sz="0" w:space="0" w:color="auto"/>
        <w:right w:val="none" w:sz="0" w:space="0" w:color="auto"/>
      </w:divBdr>
    </w:div>
    <w:div w:id="1326006040">
      <w:bodyDiv w:val="1"/>
      <w:marLeft w:val="0"/>
      <w:marRight w:val="0"/>
      <w:marTop w:val="0"/>
      <w:marBottom w:val="0"/>
      <w:divBdr>
        <w:top w:val="none" w:sz="0" w:space="0" w:color="auto"/>
        <w:left w:val="none" w:sz="0" w:space="0" w:color="auto"/>
        <w:bottom w:val="none" w:sz="0" w:space="0" w:color="auto"/>
        <w:right w:val="none" w:sz="0" w:space="0" w:color="auto"/>
      </w:divBdr>
    </w:div>
    <w:div w:id="1353914484">
      <w:bodyDiv w:val="1"/>
      <w:marLeft w:val="0"/>
      <w:marRight w:val="0"/>
      <w:marTop w:val="0"/>
      <w:marBottom w:val="0"/>
      <w:divBdr>
        <w:top w:val="none" w:sz="0" w:space="0" w:color="auto"/>
        <w:left w:val="none" w:sz="0" w:space="0" w:color="auto"/>
        <w:bottom w:val="none" w:sz="0" w:space="0" w:color="auto"/>
        <w:right w:val="none" w:sz="0" w:space="0" w:color="auto"/>
      </w:divBdr>
    </w:div>
    <w:div w:id="1362898222">
      <w:bodyDiv w:val="1"/>
      <w:marLeft w:val="0"/>
      <w:marRight w:val="0"/>
      <w:marTop w:val="0"/>
      <w:marBottom w:val="0"/>
      <w:divBdr>
        <w:top w:val="none" w:sz="0" w:space="0" w:color="auto"/>
        <w:left w:val="none" w:sz="0" w:space="0" w:color="auto"/>
        <w:bottom w:val="none" w:sz="0" w:space="0" w:color="auto"/>
        <w:right w:val="none" w:sz="0" w:space="0" w:color="auto"/>
      </w:divBdr>
    </w:div>
    <w:div w:id="1374845977">
      <w:bodyDiv w:val="1"/>
      <w:marLeft w:val="0"/>
      <w:marRight w:val="0"/>
      <w:marTop w:val="0"/>
      <w:marBottom w:val="0"/>
      <w:divBdr>
        <w:top w:val="none" w:sz="0" w:space="0" w:color="auto"/>
        <w:left w:val="none" w:sz="0" w:space="0" w:color="auto"/>
        <w:bottom w:val="none" w:sz="0" w:space="0" w:color="auto"/>
        <w:right w:val="none" w:sz="0" w:space="0" w:color="auto"/>
      </w:divBdr>
    </w:div>
    <w:div w:id="1375151608">
      <w:bodyDiv w:val="1"/>
      <w:marLeft w:val="0"/>
      <w:marRight w:val="0"/>
      <w:marTop w:val="0"/>
      <w:marBottom w:val="0"/>
      <w:divBdr>
        <w:top w:val="none" w:sz="0" w:space="0" w:color="auto"/>
        <w:left w:val="none" w:sz="0" w:space="0" w:color="auto"/>
        <w:bottom w:val="none" w:sz="0" w:space="0" w:color="auto"/>
        <w:right w:val="none" w:sz="0" w:space="0" w:color="auto"/>
      </w:divBdr>
    </w:div>
    <w:div w:id="1387803876">
      <w:bodyDiv w:val="1"/>
      <w:marLeft w:val="0"/>
      <w:marRight w:val="0"/>
      <w:marTop w:val="0"/>
      <w:marBottom w:val="0"/>
      <w:divBdr>
        <w:top w:val="none" w:sz="0" w:space="0" w:color="auto"/>
        <w:left w:val="none" w:sz="0" w:space="0" w:color="auto"/>
        <w:bottom w:val="none" w:sz="0" w:space="0" w:color="auto"/>
        <w:right w:val="none" w:sz="0" w:space="0" w:color="auto"/>
      </w:divBdr>
    </w:div>
    <w:div w:id="1389718754">
      <w:bodyDiv w:val="1"/>
      <w:marLeft w:val="0"/>
      <w:marRight w:val="0"/>
      <w:marTop w:val="0"/>
      <w:marBottom w:val="0"/>
      <w:divBdr>
        <w:top w:val="none" w:sz="0" w:space="0" w:color="auto"/>
        <w:left w:val="none" w:sz="0" w:space="0" w:color="auto"/>
        <w:bottom w:val="none" w:sz="0" w:space="0" w:color="auto"/>
        <w:right w:val="none" w:sz="0" w:space="0" w:color="auto"/>
      </w:divBdr>
    </w:div>
    <w:div w:id="1392075055">
      <w:bodyDiv w:val="1"/>
      <w:marLeft w:val="0"/>
      <w:marRight w:val="0"/>
      <w:marTop w:val="0"/>
      <w:marBottom w:val="0"/>
      <w:divBdr>
        <w:top w:val="none" w:sz="0" w:space="0" w:color="auto"/>
        <w:left w:val="none" w:sz="0" w:space="0" w:color="auto"/>
        <w:bottom w:val="none" w:sz="0" w:space="0" w:color="auto"/>
        <w:right w:val="none" w:sz="0" w:space="0" w:color="auto"/>
      </w:divBdr>
    </w:div>
    <w:div w:id="1407342858">
      <w:bodyDiv w:val="1"/>
      <w:marLeft w:val="0"/>
      <w:marRight w:val="0"/>
      <w:marTop w:val="0"/>
      <w:marBottom w:val="0"/>
      <w:divBdr>
        <w:top w:val="none" w:sz="0" w:space="0" w:color="auto"/>
        <w:left w:val="none" w:sz="0" w:space="0" w:color="auto"/>
        <w:bottom w:val="none" w:sz="0" w:space="0" w:color="auto"/>
        <w:right w:val="none" w:sz="0" w:space="0" w:color="auto"/>
      </w:divBdr>
    </w:div>
    <w:div w:id="1407417019">
      <w:bodyDiv w:val="1"/>
      <w:marLeft w:val="0"/>
      <w:marRight w:val="0"/>
      <w:marTop w:val="0"/>
      <w:marBottom w:val="0"/>
      <w:divBdr>
        <w:top w:val="none" w:sz="0" w:space="0" w:color="auto"/>
        <w:left w:val="none" w:sz="0" w:space="0" w:color="auto"/>
        <w:bottom w:val="none" w:sz="0" w:space="0" w:color="auto"/>
        <w:right w:val="none" w:sz="0" w:space="0" w:color="auto"/>
      </w:divBdr>
    </w:div>
    <w:div w:id="1435780275">
      <w:bodyDiv w:val="1"/>
      <w:marLeft w:val="0"/>
      <w:marRight w:val="0"/>
      <w:marTop w:val="0"/>
      <w:marBottom w:val="0"/>
      <w:divBdr>
        <w:top w:val="none" w:sz="0" w:space="0" w:color="auto"/>
        <w:left w:val="none" w:sz="0" w:space="0" w:color="auto"/>
        <w:bottom w:val="none" w:sz="0" w:space="0" w:color="auto"/>
        <w:right w:val="none" w:sz="0" w:space="0" w:color="auto"/>
      </w:divBdr>
    </w:div>
    <w:div w:id="1478107989">
      <w:bodyDiv w:val="1"/>
      <w:marLeft w:val="0"/>
      <w:marRight w:val="0"/>
      <w:marTop w:val="0"/>
      <w:marBottom w:val="0"/>
      <w:divBdr>
        <w:top w:val="none" w:sz="0" w:space="0" w:color="auto"/>
        <w:left w:val="none" w:sz="0" w:space="0" w:color="auto"/>
        <w:bottom w:val="none" w:sz="0" w:space="0" w:color="auto"/>
        <w:right w:val="none" w:sz="0" w:space="0" w:color="auto"/>
      </w:divBdr>
    </w:div>
    <w:div w:id="1541625106">
      <w:bodyDiv w:val="1"/>
      <w:marLeft w:val="0"/>
      <w:marRight w:val="0"/>
      <w:marTop w:val="0"/>
      <w:marBottom w:val="0"/>
      <w:divBdr>
        <w:top w:val="none" w:sz="0" w:space="0" w:color="auto"/>
        <w:left w:val="none" w:sz="0" w:space="0" w:color="auto"/>
        <w:bottom w:val="none" w:sz="0" w:space="0" w:color="auto"/>
        <w:right w:val="none" w:sz="0" w:space="0" w:color="auto"/>
      </w:divBdr>
    </w:div>
    <w:div w:id="1598175443">
      <w:bodyDiv w:val="1"/>
      <w:marLeft w:val="0"/>
      <w:marRight w:val="0"/>
      <w:marTop w:val="0"/>
      <w:marBottom w:val="0"/>
      <w:divBdr>
        <w:top w:val="none" w:sz="0" w:space="0" w:color="auto"/>
        <w:left w:val="none" w:sz="0" w:space="0" w:color="auto"/>
        <w:bottom w:val="none" w:sz="0" w:space="0" w:color="auto"/>
        <w:right w:val="none" w:sz="0" w:space="0" w:color="auto"/>
      </w:divBdr>
    </w:div>
    <w:div w:id="1607929661">
      <w:bodyDiv w:val="1"/>
      <w:marLeft w:val="0"/>
      <w:marRight w:val="0"/>
      <w:marTop w:val="0"/>
      <w:marBottom w:val="0"/>
      <w:divBdr>
        <w:top w:val="none" w:sz="0" w:space="0" w:color="auto"/>
        <w:left w:val="none" w:sz="0" w:space="0" w:color="auto"/>
        <w:bottom w:val="none" w:sz="0" w:space="0" w:color="auto"/>
        <w:right w:val="none" w:sz="0" w:space="0" w:color="auto"/>
      </w:divBdr>
    </w:div>
    <w:div w:id="1627466878">
      <w:bodyDiv w:val="1"/>
      <w:marLeft w:val="0"/>
      <w:marRight w:val="0"/>
      <w:marTop w:val="0"/>
      <w:marBottom w:val="0"/>
      <w:divBdr>
        <w:top w:val="none" w:sz="0" w:space="0" w:color="auto"/>
        <w:left w:val="none" w:sz="0" w:space="0" w:color="auto"/>
        <w:bottom w:val="none" w:sz="0" w:space="0" w:color="auto"/>
        <w:right w:val="none" w:sz="0" w:space="0" w:color="auto"/>
      </w:divBdr>
    </w:div>
    <w:div w:id="1645892026">
      <w:bodyDiv w:val="1"/>
      <w:marLeft w:val="0"/>
      <w:marRight w:val="0"/>
      <w:marTop w:val="0"/>
      <w:marBottom w:val="0"/>
      <w:divBdr>
        <w:top w:val="none" w:sz="0" w:space="0" w:color="auto"/>
        <w:left w:val="none" w:sz="0" w:space="0" w:color="auto"/>
        <w:bottom w:val="none" w:sz="0" w:space="0" w:color="auto"/>
        <w:right w:val="none" w:sz="0" w:space="0" w:color="auto"/>
      </w:divBdr>
    </w:div>
    <w:div w:id="1689260809">
      <w:bodyDiv w:val="1"/>
      <w:marLeft w:val="0"/>
      <w:marRight w:val="0"/>
      <w:marTop w:val="0"/>
      <w:marBottom w:val="0"/>
      <w:divBdr>
        <w:top w:val="none" w:sz="0" w:space="0" w:color="auto"/>
        <w:left w:val="none" w:sz="0" w:space="0" w:color="auto"/>
        <w:bottom w:val="none" w:sz="0" w:space="0" w:color="auto"/>
        <w:right w:val="none" w:sz="0" w:space="0" w:color="auto"/>
      </w:divBdr>
    </w:div>
    <w:div w:id="1697269879">
      <w:bodyDiv w:val="1"/>
      <w:marLeft w:val="0"/>
      <w:marRight w:val="0"/>
      <w:marTop w:val="0"/>
      <w:marBottom w:val="0"/>
      <w:divBdr>
        <w:top w:val="none" w:sz="0" w:space="0" w:color="auto"/>
        <w:left w:val="none" w:sz="0" w:space="0" w:color="auto"/>
        <w:bottom w:val="none" w:sz="0" w:space="0" w:color="auto"/>
        <w:right w:val="none" w:sz="0" w:space="0" w:color="auto"/>
      </w:divBdr>
    </w:div>
    <w:div w:id="1720205079">
      <w:bodyDiv w:val="1"/>
      <w:marLeft w:val="0"/>
      <w:marRight w:val="0"/>
      <w:marTop w:val="0"/>
      <w:marBottom w:val="0"/>
      <w:divBdr>
        <w:top w:val="none" w:sz="0" w:space="0" w:color="auto"/>
        <w:left w:val="none" w:sz="0" w:space="0" w:color="auto"/>
        <w:bottom w:val="none" w:sz="0" w:space="0" w:color="auto"/>
        <w:right w:val="none" w:sz="0" w:space="0" w:color="auto"/>
      </w:divBdr>
    </w:div>
    <w:div w:id="1726565378">
      <w:bodyDiv w:val="1"/>
      <w:marLeft w:val="0"/>
      <w:marRight w:val="0"/>
      <w:marTop w:val="0"/>
      <w:marBottom w:val="0"/>
      <w:divBdr>
        <w:top w:val="none" w:sz="0" w:space="0" w:color="auto"/>
        <w:left w:val="none" w:sz="0" w:space="0" w:color="auto"/>
        <w:bottom w:val="none" w:sz="0" w:space="0" w:color="auto"/>
        <w:right w:val="none" w:sz="0" w:space="0" w:color="auto"/>
      </w:divBdr>
      <w:divsChild>
        <w:div w:id="1694113466">
          <w:marLeft w:val="0"/>
          <w:marRight w:val="0"/>
          <w:marTop w:val="0"/>
          <w:marBottom w:val="0"/>
          <w:divBdr>
            <w:top w:val="none" w:sz="0" w:space="0" w:color="auto"/>
            <w:left w:val="none" w:sz="0" w:space="0" w:color="auto"/>
            <w:bottom w:val="none" w:sz="0" w:space="0" w:color="auto"/>
            <w:right w:val="none" w:sz="0" w:space="0" w:color="auto"/>
          </w:divBdr>
          <w:divsChild>
            <w:div w:id="1048453135">
              <w:marLeft w:val="0"/>
              <w:marRight w:val="0"/>
              <w:marTop w:val="0"/>
              <w:marBottom w:val="0"/>
              <w:divBdr>
                <w:top w:val="none" w:sz="0" w:space="0" w:color="auto"/>
                <w:left w:val="none" w:sz="0" w:space="0" w:color="auto"/>
                <w:bottom w:val="none" w:sz="0" w:space="0" w:color="auto"/>
                <w:right w:val="none" w:sz="0" w:space="0" w:color="auto"/>
              </w:divBdr>
              <w:divsChild>
                <w:div w:id="426655636">
                  <w:marLeft w:val="0"/>
                  <w:marRight w:val="0"/>
                  <w:marTop w:val="0"/>
                  <w:marBottom w:val="0"/>
                  <w:divBdr>
                    <w:top w:val="none" w:sz="0" w:space="0" w:color="auto"/>
                    <w:left w:val="none" w:sz="0" w:space="0" w:color="auto"/>
                    <w:bottom w:val="none" w:sz="0" w:space="0" w:color="auto"/>
                    <w:right w:val="none" w:sz="0" w:space="0" w:color="auto"/>
                  </w:divBdr>
                  <w:divsChild>
                    <w:div w:id="423890228">
                      <w:marLeft w:val="0"/>
                      <w:marRight w:val="0"/>
                      <w:marTop w:val="0"/>
                      <w:marBottom w:val="0"/>
                      <w:divBdr>
                        <w:top w:val="none" w:sz="0" w:space="0" w:color="auto"/>
                        <w:left w:val="none" w:sz="0" w:space="0" w:color="auto"/>
                        <w:bottom w:val="none" w:sz="0" w:space="0" w:color="auto"/>
                        <w:right w:val="none" w:sz="0" w:space="0" w:color="auto"/>
                      </w:divBdr>
                      <w:divsChild>
                        <w:div w:id="1501384436">
                          <w:marLeft w:val="0"/>
                          <w:marRight w:val="0"/>
                          <w:marTop w:val="0"/>
                          <w:marBottom w:val="0"/>
                          <w:divBdr>
                            <w:top w:val="none" w:sz="0" w:space="0" w:color="auto"/>
                            <w:left w:val="none" w:sz="0" w:space="0" w:color="auto"/>
                            <w:bottom w:val="none" w:sz="0" w:space="0" w:color="auto"/>
                            <w:right w:val="none" w:sz="0" w:space="0" w:color="auto"/>
                          </w:divBdr>
                          <w:divsChild>
                            <w:div w:id="1736735395">
                              <w:marLeft w:val="0"/>
                              <w:marRight w:val="0"/>
                              <w:marTop w:val="0"/>
                              <w:marBottom w:val="0"/>
                              <w:divBdr>
                                <w:top w:val="none" w:sz="0" w:space="0" w:color="auto"/>
                                <w:left w:val="none" w:sz="0" w:space="0" w:color="auto"/>
                                <w:bottom w:val="none" w:sz="0" w:space="0" w:color="auto"/>
                                <w:right w:val="none" w:sz="0" w:space="0" w:color="auto"/>
                              </w:divBdr>
                              <w:divsChild>
                                <w:div w:id="1472362901">
                                  <w:marLeft w:val="0"/>
                                  <w:marRight w:val="0"/>
                                  <w:marTop w:val="0"/>
                                  <w:marBottom w:val="0"/>
                                  <w:divBdr>
                                    <w:top w:val="none" w:sz="0" w:space="0" w:color="auto"/>
                                    <w:left w:val="none" w:sz="0" w:space="0" w:color="auto"/>
                                    <w:bottom w:val="none" w:sz="0" w:space="0" w:color="auto"/>
                                    <w:right w:val="none" w:sz="0" w:space="0" w:color="auto"/>
                                  </w:divBdr>
                                  <w:divsChild>
                                    <w:div w:id="104144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4084743">
      <w:bodyDiv w:val="1"/>
      <w:marLeft w:val="0"/>
      <w:marRight w:val="0"/>
      <w:marTop w:val="0"/>
      <w:marBottom w:val="0"/>
      <w:divBdr>
        <w:top w:val="none" w:sz="0" w:space="0" w:color="auto"/>
        <w:left w:val="none" w:sz="0" w:space="0" w:color="auto"/>
        <w:bottom w:val="none" w:sz="0" w:space="0" w:color="auto"/>
        <w:right w:val="none" w:sz="0" w:space="0" w:color="auto"/>
      </w:divBdr>
    </w:div>
    <w:div w:id="1808089753">
      <w:bodyDiv w:val="1"/>
      <w:marLeft w:val="0"/>
      <w:marRight w:val="0"/>
      <w:marTop w:val="0"/>
      <w:marBottom w:val="0"/>
      <w:divBdr>
        <w:top w:val="none" w:sz="0" w:space="0" w:color="auto"/>
        <w:left w:val="none" w:sz="0" w:space="0" w:color="auto"/>
        <w:bottom w:val="none" w:sz="0" w:space="0" w:color="auto"/>
        <w:right w:val="none" w:sz="0" w:space="0" w:color="auto"/>
      </w:divBdr>
    </w:div>
    <w:div w:id="1814641472">
      <w:bodyDiv w:val="1"/>
      <w:marLeft w:val="0"/>
      <w:marRight w:val="0"/>
      <w:marTop w:val="0"/>
      <w:marBottom w:val="0"/>
      <w:divBdr>
        <w:top w:val="none" w:sz="0" w:space="0" w:color="auto"/>
        <w:left w:val="none" w:sz="0" w:space="0" w:color="auto"/>
        <w:bottom w:val="none" w:sz="0" w:space="0" w:color="auto"/>
        <w:right w:val="none" w:sz="0" w:space="0" w:color="auto"/>
      </w:divBdr>
    </w:div>
    <w:div w:id="1827545809">
      <w:bodyDiv w:val="1"/>
      <w:marLeft w:val="0"/>
      <w:marRight w:val="0"/>
      <w:marTop w:val="0"/>
      <w:marBottom w:val="0"/>
      <w:divBdr>
        <w:top w:val="none" w:sz="0" w:space="0" w:color="auto"/>
        <w:left w:val="none" w:sz="0" w:space="0" w:color="auto"/>
        <w:bottom w:val="none" w:sz="0" w:space="0" w:color="auto"/>
        <w:right w:val="none" w:sz="0" w:space="0" w:color="auto"/>
      </w:divBdr>
    </w:div>
    <w:div w:id="1869679043">
      <w:bodyDiv w:val="1"/>
      <w:marLeft w:val="0"/>
      <w:marRight w:val="0"/>
      <w:marTop w:val="0"/>
      <w:marBottom w:val="0"/>
      <w:divBdr>
        <w:top w:val="none" w:sz="0" w:space="0" w:color="auto"/>
        <w:left w:val="none" w:sz="0" w:space="0" w:color="auto"/>
        <w:bottom w:val="none" w:sz="0" w:space="0" w:color="auto"/>
        <w:right w:val="none" w:sz="0" w:space="0" w:color="auto"/>
      </w:divBdr>
    </w:div>
    <w:div w:id="1935361136">
      <w:bodyDiv w:val="1"/>
      <w:marLeft w:val="0"/>
      <w:marRight w:val="0"/>
      <w:marTop w:val="0"/>
      <w:marBottom w:val="0"/>
      <w:divBdr>
        <w:top w:val="none" w:sz="0" w:space="0" w:color="auto"/>
        <w:left w:val="none" w:sz="0" w:space="0" w:color="auto"/>
        <w:bottom w:val="none" w:sz="0" w:space="0" w:color="auto"/>
        <w:right w:val="none" w:sz="0" w:space="0" w:color="auto"/>
      </w:divBdr>
    </w:div>
    <w:div w:id="1946961219">
      <w:bodyDiv w:val="1"/>
      <w:marLeft w:val="0"/>
      <w:marRight w:val="0"/>
      <w:marTop w:val="0"/>
      <w:marBottom w:val="0"/>
      <w:divBdr>
        <w:top w:val="none" w:sz="0" w:space="0" w:color="auto"/>
        <w:left w:val="none" w:sz="0" w:space="0" w:color="auto"/>
        <w:bottom w:val="none" w:sz="0" w:space="0" w:color="auto"/>
        <w:right w:val="none" w:sz="0" w:space="0" w:color="auto"/>
      </w:divBdr>
    </w:div>
    <w:div w:id="1987120412">
      <w:bodyDiv w:val="1"/>
      <w:marLeft w:val="0"/>
      <w:marRight w:val="0"/>
      <w:marTop w:val="0"/>
      <w:marBottom w:val="0"/>
      <w:divBdr>
        <w:top w:val="none" w:sz="0" w:space="0" w:color="auto"/>
        <w:left w:val="none" w:sz="0" w:space="0" w:color="auto"/>
        <w:bottom w:val="none" w:sz="0" w:space="0" w:color="auto"/>
        <w:right w:val="none" w:sz="0" w:space="0" w:color="auto"/>
      </w:divBdr>
    </w:div>
    <w:div w:id="2044213488">
      <w:bodyDiv w:val="1"/>
      <w:marLeft w:val="0"/>
      <w:marRight w:val="0"/>
      <w:marTop w:val="0"/>
      <w:marBottom w:val="0"/>
      <w:divBdr>
        <w:top w:val="none" w:sz="0" w:space="0" w:color="auto"/>
        <w:left w:val="none" w:sz="0" w:space="0" w:color="auto"/>
        <w:bottom w:val="none" w:sz="0" w:space="0" w:color="auto"/>
        <w:right w:val="none" w:sz="0" w:space="0" w:color="auto"/>
      </w:divBdr>
    </w:div>
    <w:div w:id="2053534913">
      <w:bodyDiv w:val="1"/>
      <w:marLeft w:val="0"/>
      <w:marRight w:val="0"/>
      <w:marTop w:val="0"/>
      <w:marBottom w:val="0"/>
      <w:divBdr>
        <w:top w:val="none" w:sz="0" w:space="0" w:color="auto"/>
        <w:left w:val="none" w:sz="0" w:space="0" w:color="auto"/>
        <w:bottom w:val="none" w:sz="0" w:space="0" w:color="auto"/>
        <w:right w:val="none" w:sz="0" w:space="0" w:color="auto"/>
      </w:divBdr>
    </w:div>
    <w:div w:id="2085568641">
      <w:bodyDiv w:val="1"/>
      <w:marLeft w:val="0"/>
      <w:marRight w:val="0"/>
      <w:marTop w:val="0"/>
      <w:marBottom w:val="0"/>
      <w:divBdr>
        <w:top w:val="none" w:sz="0" w:space="0" w:color="auto"/>
        <w:left w:val="none" w:sz="0" w:space="0" w:color="auto"/>
        <w:bottom w:val="none" w:sz="0" w:space="0" w:color="auto"/>
        <w:right w:val="none" w:sz="0" w:space="0" w:color="auto"/>
      </w:divBdr>
    </w:div>
    <w:div w:id="2104376932">
      <w:bodyDiv w:val="1"/>
      <w:marLeft w:val="0"/>
      <w:marRight w:val="0"/>
      <w:marTop w:val="0"/>
      <w:marBottom w:val="0"/>
      <w:divBdr>
        <w:top w:val="none" w:sz="0" w:space="0" w:color="auto"/>
        <w:left w:val="none" w:sz="0" w:space="0" w:color="auto"/>
        <w:bottom w:val="none" w:sz="0" w:space="0" w:color="auto"/>
        <w:right w:val="none" w:sz="0" w:space="0" w:color="auto"/>
      </w:divBdr>
    </w:div>
    <w:div w:id="2125154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F31A5-8F6D-4689-8441-34F79698D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7436</TotalTime>
  <Pages>27</Pages>
  <Words>22697</Words>
  <Characters>129377</Characters>
  <Application>Microsoft Office Word</Application>
  <DocSecurity>0</DocSecurity>
  <Lines>1078</Lines>
  <Paragraphs>303</Paragraphs>
  <ScaleCrop>false</ScaleCrop>
  <Company/>
  <LinksUpToDate>false</LinksUpToDate>
  <CharactersWithSpaces>151771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cheng yan</dc:creator>
  <dc:description>NE.Ref</dc:description>
  <cp:lastModifiedBy>月三木</cp:lastModifiedBy>
  <cp:revision>177</cp:revision>
  <dcterms:created xsi:type="dcterms:W3CDTF">2026-01-18T11:10:00Z</dcterms:created>
  <dcterms:modified xsi:type="dcterms:W3CDTF">2026-08-02T05:14:00Z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E43679D3BA014744808174AB60CF3B41</vt:lpwstr>
  </property>
</Properties>
</file>