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912295" w14:textId="77777777" w:rsidR="0068163B" w:rsidRDefault="00B0612E" w:rsidP="0068163B">
      <w:pPr>
        <w:pStyle w:val="a7"/>
        <w:keepNext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032CE">
        <w:rPr>
          <w:rFonts w:ascii="Times New Roman" w:hAnsi="Times New Roman" w:cs="Times New Roman"/>
          <w:b/>
          <w:sz w:val="24"/>
          <w:szCs w:val="24"/>
        </w:rPr>
        <w:t xml:space="preserve">Additional </w:t>
      </w:r>
      <w:r w:rsidR="0068163B">
        <w:rPr>
          <w:rFonts w:ascii="Times New Roman" w:hAnsi="Times New Roman" w:cs="Times New Roman"/>
          <w:b/>
          <w:sz w:val="24"/>
          <w:szCs w:val="24"/>
        </w:rPr>
        <w:t>F</w:t>
      </w:r>
      <w:r w:rsidRPr="000032CE">
        <w:rPr>
          <w:rFonts w:ascii="Times New Roman" w:hAnsi="Times New Roman" w:cs="Times New Roman"/>
          <w:b/>
          <w:sz w:val="24"/>
          <w:szCs w:val="24"/>
        </w:rPr>
        <w:t>ile</w:t>
      </w:r>
    </w:p>
    <w:p w14:paraId="126E2F1A" w14:textId="122B2A5A" w:rsidR="00B0612E" w:rsidRPr="000032CE" w:rsidRDefault="0068163B" w:rsidP="0068163B">
      <w:pPr>
        <w:pStyle w:val="a7"/>
        <w:keepNext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</w:t>
      </w:r>
      <w:r w:rsidR="0025268F" w:rsidRPr="000032CE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="00B0612E" w:rsidRPr="000032CE">
        <w:rPr>
          <w:rFonts w:ascii="Times New Roman" w:hAnsi="Times New Roman" w:cs="Times New Roman"/>
          <w:b/>
          <w:sz w:val="24"/>
          <w:szCs w:val="24"/>
        </w:rPr>
        <w:instrText xml:space="preserve"> SEQ Additional_file \* ARABIC </w:instrText>
      </w:r>
      <w:r w:rsidR="0025268F" w:rsidRPr="000032CE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="00B0612E" w:rsidRPr="000032CE">
        <w:rPr>
          <w:rFonts w:ascii="Times New Roman" w:hAnsi="Times New Roman" w:cs="Times New Roman"/>
          <w:b/>
          <w:noProof/>
          <w:sz w:val="24"/>
          <w:szCs w:val="24"/>
        </w:rPr>
        <w:t>1</w:t>
      </w:r>
      <w:r w:rsidR="0025268F" w:rsidRPr="000032CE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B0612E" w:rsidRPr="000032CE">
        <w:rPr>
          <w:rFonts w:ascii="Times New Roman" w:hAnsi="Times New Roman" w:cs="Times New Roman"/>
          <w:b/>
          <w:sz w:val="24"/>
          <w:szCs w:val="24"/>
        </w:rPr>
        <w:t>.</w:t>
      </w:r>
      <w:r w:rsidR="00B0612E" w:rsidRPr="000032CE">
        <w:rPr>
          <w:rFonts w:hint="eastAsia"/>
          <w:b/>
        </w:rPr>
        <w:t xml:space="preserve"> </w:t>
      </w:r>
      <w:r w:rsidR="00B0612E" w:rsidRPr="000032CE">
        <w:rPr>
          <w:rFonts w:ascii="Times New Roman" w:hAnsi="Times New Roman" w:cs="Times New Roman"/>
          <w:b/>
          <w:sz w:val="24"/>
          <w:szCs w:val="24"/>
        </w:rPr>
        <w:t>Prognostic models or staging systems in chronic lymphocytic leukemia patients</w:t>
      </w:r>
    </w:p>
    <w:tbl>
      <w:tblPr>
        <w:tblStyle w:val="a8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3"/>
        <w:gridCol w:w="1426"/>
        <w:gridCol w:w="947"/>
        <w:gridCol w:w="2712"/>
        <w:gridCol w:w="1351"/>
      </w:tblGrid>
      <w:tr w:rsidR="00D81FD1" w:rsidRPr="00E76976" w14:paraId="52C92E54" w14:textId="77777777" w:rsidTr="004F6CD8">
        <w:trPr>
          <w:trHeight w:val="144"/>
        </w:trPr>
        <w:tc>
          <w:tcPr>
            <w:tcW w:w="194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811ACBF" w14:textId="77777777" w:rsidR="00D81FD1" w:rsidRPr="00E76976" w:rsidRDefault="00D81FD1" w:rsidP="004F6CD8">
            <w:pPr>
              <w:pStyle w:val="EndNoteBibliography"/>
              <w:keepNext/>
              <w:keepLines/>
              <w:spacing w:line="36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OLE_LINK12"/>
            <w:bookmarkStart w:id="1" w:name="OLE_LINK11"/>
            <w:r w:rsidRPr="00E76976">
              <w:rPr>
                <w:rFonts w:ascii="Times New Roman" w:hAnsi="Times New Roman" w:cs="Times New Roman"/>
                <w:b/>
                <w:sz w:val="24"/>
                <w:szCs w:val="24"/>
              </w:rPr>
              <w:t>Prognostic models or staging systems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1CECFC" w14:textId="77777777" w:rsidR="00D81FD1" w:rsidRPr="00E76976" w:rsidRDefault="00D81FD1" w:rsidP="004F6CD8">
            <w:pPr>
              <w:pStyle w:val="EndNoteBibliography"/>
              <w:keepNext/>
              <w:keepLines/>
              <w:spacing w:line="36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6976">
              <w:rPr>
                <w:rFonts w:ascii="Times New Roman" w:hAnsi="Times New Roman" w:cs="Times New Roman"/>
                <w:b/>
                <w:sz w:val="24"/>
                <w:szCs w:val="24"/>
              </w:rPr>
              <w:t>Year of publication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BC51F7" w14:textId="77777777" w:rsidR="00D81FD1" w:rsidRPr="00E76976" w:rsidRDefault="00D81FD1" w:rsidP="004F6CD8">
            <w:pPr>
              <w:pStyle w:val="EndNoteBibliography"/>
              <w:keepNext/>
              <w:keepLines/>
              <w:spacing w:line="36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6976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A16970" w14:textId="77777777" w:rsidR="00D81FD1" w:rsidRPr="00E76976" w:rsidRDefault="00D81FD1" w:rsidP="004F6CD8">
            <w:pPr>
              <w:pStyle w:val="EndNoteBibliography"/>
              <w:keepNext/>
              <w:keepLines/>
              <w:spacing w:line="36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6976">
              <w:rPr>
                <w:rFonts w:ascii="Times New Roman" w:hAnsi="Times New Roman" w:cs="Times New Roman"/>
                <w:b/>
                <w:sz w:val="24"/>
                <w:szCs w:val="24"/>
              </w:rPr>
              <w:t>Varieties in models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56DF81" w14:textId="77777777" w:rsidR="00D81FD1" w:rsidRPr="00E76976" w:rsidRDefault="00D81FD1" w:rsidP="004F6CD8">
            <w:pPr>
              <w:pStyle w:val="EndNoteBibliography"/>
              <w:keepNext/>
              <w:keepLines/>
              <w:spacing w:line="36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6976">
              <w:rPr>
                <w:rFonts w:ascii="Times New Roman" w:hAnsi="Times New Roman" w:cs="Times New Roman"/>
                <w:b/>
                <w:sz w:val="24"/>
                <w:szCs w:val="24"/>
              </w:rPr>
              <w:t>Risk strategies</w:t>
            </w:r>
          </w:p>
        </w:tc>
      </w:tr>
      <w:tr w:rsidR="00D81FD1" w14:paraId="2D9D4193" w14:textId="77777777" w:rsidTr="004F6CD8">
        <w:trPr>
          <w:trHeight w:val="3052"/>
        </w:trPr>
        <w:tc>
          <w:tcPr>
            <w:tcW w:w="1943" w:type="dxa"/>
            <w:tcBorders>
              <w:top w:val="single" w:sz="4" w:space="0" w:color="auto"/>
            </w:tcBorders>
          </w:tcPr>
          <w:p w14:paraId="0B033DE3" w14:textId="77777777" w:rsidR="00D81FD1" w:rsidRDefault="00D81FD1" w:rsidP="004F6CD8">
            <w:pPr>
              <w:pStyle w:val="EndNoteBibliography"/>
              <w:keepNext/>
              <w:keepLines/>
              <w:spacing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Rai stage</w:t>
            </w:r>
          </w:p>
        </w:tc>
        <w:tc>
          <w:tcPr>
            <w:tcW w:w="1426" w:type="dxa"/>
            <w:tcBorders>
              <w:top w:val="single" w:sz="4" w:space="0" w:color="auto"/>
            </w:tcBorders>
          </w:tcPr>
          <w:p w14:paraId="1669DA20" w14:textId="77777777" w:rsidR="00D81FD1" w:rsidRDefault="00D81FD1" w:rsidP="004F6CD8">
            <w:pPr>
              <w:pStyle w:val="EndNoteBibliography"/>
              <w:keepNext/>
              <w:keepLines/>
              <w:spacing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47" w:type="dxa"/>
            <w:tcBorders>
              <w:top w:val="single" w:sz="4" w:space="0" w:color="auto"/>
            </w:tcBorders>
          </w:tcPr>
          <w:p w14:paraId="75E1BAFD" w14:textId="77777777" w:rsidR="00D81FD1" w:rsidRDefault="00D81FD1" w:rsidP="004F6CD8">
            <w:pPr>
              <w:pStyle w:val="EndNoteBibliography"/>
              <w:keepNext/>
              <w:keepLines/>
              <w:spacing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712" w:type="dxa"/>
            <w:tcBorders>
              <w:top w:val="single" w:sz="4" w:space="0" w:color="auto"/>
            </w:tcBorders>
          </w:tcPr>
          <w:p w14:paraId="6FCF730B" w14:textId="77777777" w:rsidR="003462F9" w:rsidRDefault="00D81FD1" w:rsidP="004F6CD8">
            <w:pPr>
              <w:pStyle w:val="EndNoteBibliography"/>
              <w:keepNext/>
              <w:keepLines/>
              <w:spacing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OLE_LINK15"/>
            <w:bookmarkStart w:id="3" w:name="OLE_LINK16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Lymphocytosis; </w:t>
            </w:r>
          </w:p>
          <w:p w14:paraId="047D6602" w14:textId="77777777" w:rsidR="003462F9" w:rsidRDefault="00D81FD1" w:rsidP="004F6CD8">
            <w:pPr>
              <w:pStyle w:val="EndNoteBibliography"/>
              <w:keepNext/>
              <w:keepLines/>
              <w:spacing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lymphadenopathy;</w:t>
            </w:r>
          </w:p>
          <w:p w14:paraId="59BF1BB0" w14:textId="77777777" w:rsidR="003462F9" w:rsidRDefault="00D81FD1" w:rsidP="004F6CD8">
            <w:pPr>
              <w:pStyle w:val="EndNoteBibliography"/>
              <w:keepNext/>
              <w:keepLines/>
              <w:spacing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hepatomegaly</w:t>
            </w:r>
            <w:r w:rsidR="003462F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and/or splenomegaly; </w:t>
            </w:r>
          </w:p>
          <w:p w14:paraId="13961B49" w14:textId="77777777" w:rsidR="00D81FD1" w:rsidRDefault="00D81FD1" w:rsidP="004F6CD8">
            <w:pPr>
              <w:pStyle w:val="EndNoteBibliography"/>
              <w:keepNext/>
              <w:keepLines/>
              <w:spacing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anemia; thrombocytopenia</w:t>
            </w:r>
            <w:bookmarkEnd w:id="2"/>
            <w:bookmarkEnd w:id="3"/>
          </w:p>
          <w:p w14:paraId="00A18C07" w14:textId="77777777" w:rsidR="003462F9" w:rsidRPr="003462F9" w:rsidRDefault="003462F9" w:rsidP="004F6CD8">
            <w:pPr>
              <w:pStyle w:val="EndNoteBibliography"/>
              <w:keepNext/>
              <w:keepLines/>
              <w:spacing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</w:tcPr>
          <w:p w14:paraId="5085871D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stages (stage0-IV)</w:t>
            </w:r>
          </w:p>
        </w:tc>
      </w:tr>
      <w:tr w:rsidR="00D81FD1" w14:paraId="1FA011E5" w14:textId="77777777" w:rsidTr="004F6CD8">
        <w:trPr>
          <w:trHeight w:val="144"/>
        </w:trPr>
        <w:tc>
          <w:tcPr>
            <w:tcW w:w="1943" w:type="dxa"/>
          </w:tcPr>
          <w:p w14:paraId="04E961C6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Binet stage</w:t>
            </w:r>
          </w:p>
        </w:tc>
        <w:tc>
          <w:tcPr>
            <w:tcW w:w="1426" w:type="dxa"/>
          </w:tcPr>
          <w:p w14:paraId="08589358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47" w:type="dxa"/>
          </w:tcPr>
          <w:p w14:paraId="4919431A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2712" w:type="dxa"/>
          </w:tcPr>
          <w:p w14:paraId="693015C2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OLE_LINK17"/>
            <w:bookmarkStart w:id="5" w:name="OLE_LINK18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Lymph node involvement; </w:t>
            </w:r>
          </w:p>
          <w:p w14:paraId="74BFA118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anemia; </w:t>
            </w:r>
          </w:p>
          <w:p w14:paraId="76940BF4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thrombocytopenia</w:t>
            </w:r>
            <w:bookmarkEnd w:id="4"/>
            <w:bookmarkEnd w:id="5"/>
          </w:p>
          <w:p w14:paraId="289B81C2" w14:textId="77777777" w:rsidR="003462F9" w:rsidRDefault="003462F9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14:paraId="70CDBB87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stages (stage A-C)</w:t>
            </w:r>
          </w:p>
        </w:tc>
      </w:tr>
      <w:tr w:rsidR="00D81FD1" w14:paraId="0BBAAB36" w14:textId="77777777" w:rsidTr="004F6CD8">
        <w:trPr>
          <w:trHeight w:val="144"/>
        </w:trPr>
        <w:tc>
          <w:tcPr>
            <w:tcW w:w="1943" w:type="dxa"/>
          </w:tcPr>
          <w:p w14:paraId="5ADB4EBD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MDACC nomogram</w:t>
            </w:r>
          </w:p>
        </w:tc>
        <w:tc>
          <w:tcPr>
            <w:tcW w:w="1426" w:type="dxa"/>
          </w:tcPr>
          <w:p w14:paraId="2A688C9E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947" w:type="dxa"/>
          </w:tcPr>
          <w:p w14:paraId="07E748B7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1674</w:t>
            </w:r>
          </w:p>
        </w:tc>
        <w:tc>
          <w:tcPr>
            <w:tcW w:w="2712" w:type="dxa"/>
          </w:tcPr>
          <w:p w14:paraId="4EDD5A9D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Age;</w:t>
            </w:r>
            <w:r w:rsidR="003462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CEA137A" w14:textId="77777777" w:rsidR="003462F9" w:rsidRDefault="003462F9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sex; </w:t>
            </w:r>
          </w:p>
          <w:p w14:paraId="5AF9EC03" w14:textId="77777777" w:rsidR="003462F9" w:rsidRDefault="003462F9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Rai stage; </w:t>
            </w:r>
          </w:p>
          <w:p w14:paraId="40E00DE0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β2M; </w:t>
            </w:r>
          </w:p>
          <w:p w14:paraId="6E811B98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absolute lymphocyte count; </w:t>
            </w:r>
          </w:p>
          <w:p w14:paraId="6A0C9286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lymph node involvement</w:t>
            </w:r>
          </w:p>
          <w:p w14:paraId="7F5E05B4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14:paraId="550DC13A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risk groups</w:t>
            </w:r>
          </w:p>
        </w:tc>
      </w:tr>
      <w:tr w:rsidR="00D81FD1" w14:paraId="6C7ECE5C" w14:textId="77777777" w:rsidTr="004F6CD8">
        <w:trPr>
          <w:trHeight w:val="144"/>
        </w:trPr>
        <w:tc>
          <w:tcPr>
            <w:tcW w:w="1943" w:type="dxa"/>
          </w:tcPr>
          <w:p w14:paraId="1346E1A1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Modified MDACC nomogram 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Binet A stage</w:t>
            </w:r>
          </w:p>
          <w:p w14:paraId="214A9B02" w14:textId="77777777" w:rsidR="003462F9" w:rsidRDefault="003462F9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</w:tcPr>
          <w:p w14:paraId="46295413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2010</w:t>
            </w:r>
          </w:p>
        </w:tc>
        <w:tc>
          <w:tcPr>
            <w:tcW w:w="947" w:type="dxa"/>
          </w:tcPr>
          <w:p w14:paraId="3A8B2728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2712" w:type="dxa"/>
          </w:tcPr>
          <w:p w14:paraId="076A0399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Same as the MDACC nomogram</w:t>
            </w:r>
          </w:p>
          <w:p w14:paraId="0918C4CD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429323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14:paraId="13137511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risk groups</w:t>
            </w:r>
          </w:p>
        </w:tc>
      </w:tr>
      <w:tr w:rsidR="00D81FD1" w14:paraId="28830CD4" w14:textId="77777777" w:rsidTr="004F6CD8">
        <w:trPr>
          <w:trHeight w:val="144"/>
        </w:trPr>
        <w:tc>
          <w:tcPr>
            <w:tcW w:w="1943" w:type="dxa"/>
          </w:tcPr>
          <w:p w14:paraId="57BFA0AC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Modified MDACC nomogram</w:t>
            </w:r>
          </w:p>
        </w:tc>
        <w:tc>
          <w:tcPr>
            <w:tcW w:w="1426" w:type="dxa"/>
          </w:tcPr>
          <w:p w14:paraId="6D83CD0F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947" w:type="dxa"/>
          </w:tcPr>
          <w:p w14:paraId="745EABD6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2712" w:type="dxa"/>
          </w:tcPr>
          <w:p w14:paraId="6EF32674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Age; </w:t>
            </w:r>
          </w:p>
          <w:p w14:paraId="011717C5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sex; </w:t>
            </w:r>
          </w:p>
          <w:p w14:paraId="6DF79C22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Binet stage; </w:t>
            </w:r>
          </w:p>
          <w:p w14:paraId="4F2DADB4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β2-M; </w:t>
            </w:r>
          </w:p>
          <w:p w14:paraId="266DA03E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IGHV mutation status;</w:t>
            </w:r>
          </w:p>
          <w:p w14:paraId="56A939CC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del17p</w:t>
            </w:r>
          </w:p>
          <w:p w14:paraId="351B27B1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14:paraId="6DCE904F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risk groups</w:t>
            </w:r>
          </w:p>
        </w:tc>
      </w:tr>
      <w:tr w:rsidR="00D81FD1" w14:paraId="6FBFFE12" w14:textId="77777777" w:rsidTr="004F6CD8">
        <w:trPr>
          <w:trHeight w:val="144"/>
        </w:trPr>
        <w:tc>
          <w:tcPr>
            <w:tcW w:w="1943" w:type="dxa"/>
          </w:tcPr>
          <w:p w14:paraId="468FEAAC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DFCI model</w:t>
            </w:r>
          </w:p>
        </w:tc>
        <w:tc>
          <w:tcPr>
            <w:tcW w:w="1426" w:type="dxa"/>
          </w:tcPr>
          <w:p w14:paraId="1A2A912B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947" w:type="dxa"/>
          </w:tcPr>
          <w:p w14:paraId="6E0FD970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712" w:type="dxa"/>
          </w:tcPr>
          <w:p w14:paraId="71158E14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Remission status; </w:t>
            </w:r>
          </w:p>
          <w:p w14:paraId="62F880C9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LDH; </w:t>
            </w:r>
          </w:p>
          <w:p w14:paraId="72719208" w14:textId="77777777" w:rsidR="003462F9" w:rsidRDefault="003462F9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Comorbidity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D81FD1">
              <w:rPr>
                <w:rFonts w:ascii="Times New Roman" w:hAnsi="Times New Roman" w:cs="Times New Roman"/>
                <w:sz w:val="24"/>
                <w:szCs w:val="24"/>
              </w:rPr>
              <w:t>score;</w:t>
            </w:r>
          </w:p>
          <w:p w14:paraId="09FC3625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lymphocyte count</w:t>
            </w:r>
          </w:p>
          <w:p w14:paraId="2BB5D906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14:paraId="7A537BC4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risk groups</w:t>
            </w:r>
          </w:p>
        </w:tc>
      </w:tr>
      <w:tr w:rsidR="00D81FD1" w14:paraId="1D5C21F4" w14:textId="77777777" w:rsidTr="004F6CD8">
        <w:trPr>
          <w:trHeight w:val="144"/>
        </w:trPr>
        <w:tc>
          <w:tcPr>
            <w:tcW w:w="1943" w:type="dxa"/>
          </w:tcPr>
          <w:p w14:paraId="3382D9B9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GCLLSG model</w:t>
            </w:r>
          </w:p>
        </w:tc>
        <w:tc>
          <w:tcPr>
            <w:tcW w:w="1426" w:type="dxa"/>
          </w:tcPr>
          <w:p w14:paraId="3DE75850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947" w:type="dxa"/>
          </w:tcPr>
          <w:p w14:paraId="6F33C130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</w:tc>
        <w:tc>
          <w:tcPr>
            <w:tcW w:w="2712" w:type="dxa"/>
          </w:tcPr>
          <w:p w14:paraId="2F873D42" w14:textId="77777777" w:rsidR="003462F9" w:rsidRDefault="003462F9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OLE_LINK2"/>
            <w:bookmarkStart w:id="7" w:name="OLE_LINK1"/>
            <w:bookmarkStart w:id="8" w:name="OLE_LINK19"/>
            <w:bookmarkStart w:id="9" w:name="OLE_LINK2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age; </w:t>
            </w:r>
          </w:p>
          <w:p w14:paraId="7245D953" w14:textId="77777777" w:rsidR="003462F9" w:rsidRDefault="003462F9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AF48DF" w14:textId="77777777" w:rsidR="003462F9" w:rsidRDefault="003462F9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ECOG; </w:t>
            </w:r>
          </w:p>
          <w:p w14:paraId="6B8B9FCD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β2-M; </w:t>
            </w:r>
          </w:p>
          <w:p w14:paraId="667E6100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TK; </w:t>
            </w:r>
          </w:p>
          <w:p w14:paraId="195C1BA3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del17p; </w:t>
            </w:r>
          </w:p>
          <w:p w14:paraId="7D9CFF7F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del11q; </w:t>
            </w:r>
          </w:p>
          <w:p w14:paraId="0B02AFB0" w14:textId="77777777" w:rsidR="003462F9" w:rsidRDefault="003462F9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IGHV mutation status</w:t>
            </w:r>
          </w:p>
          <w:bookmarkEnd w:id="6"/>
          <w:bookmarkEnd w:id="7"/>
          <w:bookmarkEnd w:id="8"/>
          <w:bookmarkEnd w:id="9"/>
          <w:p w14:paraId="011AB2DB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14:paraId="784C2CB5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risk groups</w:t>
            </w:r>
          </w:p>
        </w:tc>
      </w:tr>
      <w:tr w:rsidR="00D81FD1" w14:paraId="5039B71F" w14:textId="77777777" w:rsidTr="004F6CD8">
        <w:trPr>
          <w:trHeight w:val="144"/>
        </w:trPr>
        <w:tc>
          <w:tcPr>
            <w:tcW w:w="1943" w:type="dxa"/>
          </w:tcPr>
          <w:p w14:paraId="728F58F1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Modified GCLLSG model</w:t>
            </w:r>
          </w:p>
        </w:tc>
        <w:tc>
          <w:tcPr>
            <w:tcW w:w="1426" w:type="dxa"/>
          </w:tcPr>
          <w:p w14:paraId="00540473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47" w:type="dxa"/>
          </w:tcPr>
          <w:p w14:paraId="323B5CA9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338</w:t>
            </w:r>
          </w:p>
        </w:tc>
        <w:tc>
          <w:tcPr>
            <w:tcW w:w="2712" w:type="dxa"/>
          </w:tcPr>
          <w:p w14:paraId="2A5E91AB" w14:textId="77777777" w:rsidR="003462F9" w:rsidRDefault="003462F9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age; </w:t>
            </w:r>
          </w:p>
          <w:p w14:paraId="09071FEC" w14:textId="77777777" w:rsidR="003462F9" w:rsidRDefault="003462F9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1604931" w14:textId="77777777" w:rsidR="003462F9" w:rsidRDefault="003462F9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ECOG;</w:t>
            </w:r>
          </w:p>
          <w:p w14:paraId="15E4E04E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β2-M; </w:t>
            </w:r>
          </w:p>
          <w:p w14:paraId="087DBB6C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del17p; </w:t>
            </w:r>
          </w:p>
          <w:p w14:paraId="5A8BE2B8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del11q; </w:t>
            </w:r>
          </w:p>
          <w:p w14:paraId="4385876F" w14:textId="77777777" w:rsidR="003462F9" w:rsidRDefault="003462F9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IGHV mutation status</w:t>
            </w:r>
          </w:p>
          <w:p w14:paraId="74A977F3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14:paraId="246BA22F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D81FD1" w14:paraId="52734E36" w14:textId="77777777" w:rsidTr="004F6CD8">
        <w:trPr>
          <w:trHeight w:val="970"/>
        </w:trPr>
        <w:tc>
          <w:tcPr>
            <w:tcW w:w="1943" w:type="dxa"/>
          </w:tcPr>
          <w:p w14:paraId="5132F621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CLL-IPI</w:t>
            </w:r>
          </w:p>
        </w:tc>
        <w:tc>
          <w:tcPr>
            <w:tcW w:w="1426" w:type="dxa"/>
          </w:tcPr>
          <w:p w14:paraId="2B192FF9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47" w:type="dxa"/>
          </w:tcPr>
          <w:p w14:paraId="00523116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3472</w:t>
            </w:r>
          </w:p>
        </w:tc>
        <w:tc>
          <w:tcPr>
            <w:tcW w:w="2712" w:type="dxa"/>
          </w:tcPr>
          <w:p w14:paraId="6C31D35C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OLE_LINK21"/>
            <w:bookmarkStart w:id="11" w:name="OLE_LINK22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Age; </w:t>
            </w:r>
          </w:p>
          <w:p w14:paraId="4E865D5E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clinical stage; </w:t>
            </w:r>
          </w:p>
          <w:p w14:paraId="13B8CB6C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β2-M; </w:t>
            </w:r>
          </w:p>
          <w:p w14:paraId="3360B3C5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del17p/TP53 status;</w:t>
            </w:r>
          </w:p>
          <w:p w14:paraId="1FDD55A0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IGHV mutation status</w:t>
            </w:r>
          </w:p>
          <w:bookmarkEnd w:id="10"/>
          <w:bookmarkEnd w:id="11"/>
          <w:p w14:paraId="092A926D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14:paraId="41401506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risk groups</w:t>
            </w:r>
          </w:p>
        </w:tc>
      </w:tr>
      <w:tr w:rsidR="00D81FD1" w14:paraId="03651B35" w14:textId="77777777" w:rsidTr="004F6CD8">
        <w:trPr>
          <w:trHeight w:val="144"/>
        </w:trPr>
        <w:tc>
          <w:tcPr>
            <w:tcW w:w="1943" w:type="dxa"/>
          </w:tcPr>
          <w:p w14:paraId="2C8C4EF3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prognostic model comprising only 2 biomarkers</w:t>
            </w:r>
          </w:p>
        </w:tc>
        <w:tc>
          <w:tcPr>
            <w:tcW w:w="1426" w:type="dxa"/>
          </w:tcPr>
          <w:p w14:paraId="1DBD983F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47" w:type="dxa"/>
          </w:tcPr>
          <w:p w14:paraId="0D8665CF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</w:t>
            </w:r>
          </w:p>
        </w:tc>
        <w:tc>
          <w:tcPr>
            <w:tcW w:w="2712" w:type="dxa"/>
          </w:tcPr>
          <w:p w14:paraId="77FC5D29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IGHV mutation status;</w:t>
            </w:r>
          </w:p>
          <w:p w14:paraId="278ED91E" w14:textId="77777777" w:rsidR="00D81FD1" w:rsidRDefault="003462F9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FISH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D81FD1">
              <w:rPr>
                <w:rFonts w:ascii="Times New Roman" w:hAnsi="Times New Roman" w:cs="Times New Roman"/>
                <w:sz w:val="24"/>
                <w:szCs w:val="24"/>
              </w:rPr>
              <w:t>cytogenetics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D81FD1">
              <w:rPr>
                <w:rFonts w:ascii="Times New Roman" w:hAnsi="Times New Roman" w:cs="Times New Roman"/>
                <w:sz w:val="24"/>
                <w:szCs w:val="24"/>
              </w:rPr>
              <w:t>(del17p and/or del11q)</w:t>
            </w:r>
          </w:p>
          <w:p w14:paraId="2E2C2B0B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14:paraId="6F7C01FC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risk groups</w:t>
            </w:r>
          </w:p>
        </w:tc>
      </w:tr>
      <w:tr w:rsidR="00D81FD1" w14:paraId="0C31D38E" w14:textId="77777777" w:rsidTr="004F6CD8">
        <w:trPr>
          <w:trHeight w:val="144"/>
        </w:trPr>
        <w:tc>
          <w:tcPr>
            <w:tcW w:w="1943" w:type="dxa"/>
          </w:tcPr>
          <w:p w14:paraId="58D18111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Modified CLL-IPI in R/R CLL</w:t>
            </w:r>
          </w:p>
        </w:tc>
        <w:tc>
          <w:tcPr>
            <w:tcW w:w="1426" w:type="dxa"/>
          </w:tcPr>
          <w:p w14:paraId="78514795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47" w:type="dxa"/>
          </w:tcPr>
          <w:p w14:paraId="61341A3C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897</w:t>
            </w:r>
          </w:p>
        </w:tc>
        <w:tc>
          <w:tcPr>
            <w:tcW w:w="2712" w:type="dxa"/>
          </w:tcPr>
          <w:p w14:paraId="26DF5A6C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Age; </w:t>
            </w:r>
          </w:p>
          <w:p w14:paraId="619CA6EA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clinical stage; </w:t>
            </w:r>
          </w:p>
          <w:p w14:paraId="51BC5C5D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β2-M; </w:t>
            </w:r>
          </w:p>
          <w:p w14:paraId="42303134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del17p/TP53 status;</w:t>
            </w:r>
          </w:p>
          <w:p w14:paraId="4DDC746D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IGHV mutation status</w:t>
            </w:r>
          </w:p>
          <w:p w14:paraId="1D6B5FF4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14:paraId="3B4CCBC3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risk groups</w:t>
            </w:r>
          </w:p>
        </w:tc>
      </w:tr>
      <w:tr w:rsidR="00D81FD1" w14:paraId="60D3EA18" w14:textId="77777777" w:rsidTr="004F6CD8">
        <w:trPr>
          <w:trHeight w:val="144"/>
        </w:trPr>
        <w:tc>
          <w:tcPr>
            <w:tcW w:w="1943" w:type="dxa"/>
          </w:tcPr>
          <w:p w14:paraId="6E8DAEA6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prognostic score for R/R patients</w:t>
            </w:r>
          </w:p>
        </w:tc>
        <w:tc>
          <w:tcPr>
            <w:tcW w:w="1426" w:type="dxa"/>
          </w:tcPr>
          <w:p w14:paraId="4C71FBC2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47" w:type="dxa"/>
          </w:tcPr>
          <w:p w14:paraId="4BD41938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2475</w:t>
            </w:r>
          </w:p>
        </w:tc>
        <w:tc>
          <w:tcPr>
            <w:tcW w:w="2712" w:type="dxa"/>
          </w:tcPr>
          <w:p w14:paraId="22D847B9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β2-M; </w:t>
            </w:r>
          </w:p>
          <w:p w14:paraId="5E443788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LDH; </w:t>
            </w:r>
          </w:p>
          <w:p w14:paraId="7A134680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hemoglobin; </w:t>
            </w:r>
          </w:p>
          <w:p w14:paraId="5084A47F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time from initiation of last therapy</w:t>
            </w:r>
          </w:p>
          <w:p w14:paraId="0BA769B1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14:paraId="308E5EB4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risk groups</w:t>
            </w:r>
          </w:p>
        </w:tc>
      </w:tr>
      <w:tr w:rsidR="00D81FD1" w14:paraId="11F70243" w14:textId="77777777" w:rsidTr="004F6CD8">
        <w:trPr>
          <w:trHeight w:val="1954"/>
        </w:trPr>
        <w:tc>
          <w:tcPr>
            <w:tcW w:w="1943" w:type="dxa"/>
          </w:tcPr>
          <w:p w14:paraId="3CC8783B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prognostic score based on heavy chain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immunoparesis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summated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free light chains</w:t>
            </w:r>
          </w:p>
        </w:tc>
        <w:tc>
          <w:tcPr>
            <w:tcW w:w="1426" w:type="dxa"/>
          </w:tcPr>
          <w:p w14:paraId="71B93D48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947" w:type="dxa"/>
          </w:tcPr>
          <w:p w14:paraId="6A70E8CB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712" w:type="dxa"/>
          </w:tcPr>
          <w:p w14:paraId="089F947B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Heavy chain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immuoparesis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6D0FF943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summated free light chains</w:t>
            </w:r>
          </w:p>
        </w:tc>
        <w:tc>
          <w:tcPr>
            <w:tcW w:w="1351" w:type="dxa"/>
          </w:tcPr>
          <w:p w14:paraId="18DA8397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risk groups</w:t>
            </w:r>
          </w:p>
        </w:tc>
      </w:tr>
      <w:tr w:rsidR="00D81FD1" w14:paraId="54801CCE" w14:textId="77777777" w:rsidTr="004F6CD8">
        <w:trPr>
          <w:trHeight w:val="728"/>
        </w:trPr>
        <w:tc>
          <w:tcPr>
            <w:tcW w:w="1943" w:type="dxa"/>
          </w:tcPr>
          <w:p w14:paraId="4C1E85FA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CLL-LIPI</w:t>
            </w:r>
          </w:p>
        </w:tc>
        <w:tc>
          <w:tcPr>
            <w:tcW w:w="1426" w:type="dxa"/>
          </w:tcPr>
          <w:p w14:paraId="4A06A628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47" w:type="dxa"/>
          </w:tcPr>
          <w:p w14:paraId="7C211A4E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471</w:t>
            </w:r>
          </w:p>
        </w:tc>
        <w:tc>
          <w:tcPr>
            <w:tcW w:w="2712" w:type="dxa"/>
          </w:tcPr>
          <w:p w14:paraId="1CFB1102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Age; </w:t>
            </w:r>
          </w:p>
          <w:p w14:paraId="66C83824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Rai stage; </w:t>
            </w:r>
          </w:p>
          <w:p w14:paraId="2A1EA2AF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β2-M; </w:t>
            </w:r>
          </w:p>
          <w:p w14:paraId="7453D2BC" w14:textId="77777777" w:rsidR="003462F9" w:rsidRDefault="003462F9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LDT</w:t>
            </w:r>
          </w:p>
          <w:p w14:paraId="4EC87B38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del17p; </w:t>
            </w:r>
          </w:p>
          <w:p w14:paraId="7C2BF62C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14:paraId="3D8FE63A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risk groups</w:t>
            </w:r>
          </w:p>
        </w:tc>
      </w:tr>
      <w:tr w:rsidR="00D81FD1" w14:paraId="41F063C4" w14:textId="77777777" w:rsidTr="004F6CD8">
        <w:trPr>
          <w:trHeight w:val="710"/>
        </w:trPr>
        <w:tc>
          <w:tcPr>
            <w:tcW w:w="1943" w:type="dxa"/>
          </w:tcPr>
          <w:p w14:paraId="51DDED97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CLL1-PM</w:t>
            </w:r>
          </w:p>
        </w:tc>
        <w:tc>
          <w:tcPr>
            <w:tcW w:w="1426" w:type="dxa"/>
          </w:tcPr>
          <w:p w14:paraId="49F0A321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47" w:type="dxa"/>
          </w:tcPr>
          <w:p w14:paraId="2FAF0AB2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539</w:t>
            </w:r>
          </w:p>
        </w:tc>
        <w:tc>
          <w:tcPr>
            <w:tcW w:w="2712" w:type="dxa"/>
          </w:tcPr>
          <w:p w14:paraId="693A231B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Age; </w:t>
            </w:r>
          </w:p>
          <w:p w14:paraId="7661B7D8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β2-M; </w:t>
            </w:r>
          </w:p>
          <w:p w14:paraId="1DD6CF09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LDT; </w:t>
            </w:r>
          </w:p>
          <w:p w14:paraId="54D13F98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IGHV mutations; </w:t>
            </w:r>
          </w:p>
          <w:p w14:paraId="7A819450" w14:textId="77777777" w:rsidR="003462F9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del17p; </w:t>
            </w:r>
          </w:p>
          <w:p w14:paraId="5823C90E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del11q</w:t>
            </w:r>
          </w:p>
        </w:tc>
        <w:tc>
          <w:tcPr>
            <w:tcW w:w="1351" w:type="dxa"/>
          </w:tcPr>
          <w:p w14:paraId="6FE511FF" w14:textId="77777777" w:rsidR="00D81FD1" w:rsidRDefault="00D81FD1" w:rsidP="004F6CD8">
            <w:pPr>
              <w:pStyle w:val="EndNoteBibliography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risk groups</w:t>
            </w:r>
          </w:p>
        </w:tc>
      </w:tr>
      <w:bookmarkEnd w:id="0"/>
      <w:bookmarkEnd w:id="1"/>
    </w:tbl>
    <w:p w14:paraId="3E30210F" w14:textId="77777777" w:rsidR="00DA2569" w:rsidRDefault="00DA2569" w:rsidP="003462F9"/>
    <w:sectPr w:rsidR="00DA2569" w:rsidSect="00DA25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06B638" w14:textId="77777777" w:rsidR="003E4F86" w:rsidRDefault="003E4F86" w:rsidP="00D81FD1">
      <w:r>
        <w:separator/>
      </w:r>
    </w:p>
  </w:endnote>
  <w:endnote w:type="continuationSeparator" w:id="0">
    <w:p w14:paraId="32A4923C" w14:textId="77777777" w:rsidR="003E4F86" w:rsidRDefault="003E4F86" w:rsidP="00D81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24B878" w14:textId="77777777" w:rsidR="003E4F86" w:rsidRDefault="003E4F86" w:rsidP="00D81FD1">
      <w:r>
        <w:separator/>
      </w:r>
    </w:p>
  </w:footnote>
  <w:footnote w:type="continuationSeparator" w:id="0">
    <w:p w14:paraId="017CDEFE" w14:textId="77777777" w:rsidR="003E4F86" w:rsidRDefault="003E4F86" w:rsidP="00D81F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G2MDQxAkIDS2NDIyUdpeDU4uLM/DyQAvNaACCQ3rssAAAA"/>
  </w:docVars>
  <w:rsids>
    <w:rsidRoot w:val="00D81FD1"/>
    <w:rsid w:val="000032CE"/>
    <w:rsid w:val="000104BA"/>
    <w:rsid w:val="000E095C"/>
    <w:rsid w:val="001110BB"/>
    <w:rsid w:val="001561F8"/>
    <w:rsid w:val="002236FC"/>
    <w:rsid w:val="0025268F"/>
    <w:rsid w:val="002B7CC5"/>
    <w:rsid w:val="003462F9"/>
    <w:rsid w:val="003E4F86"/>
    <w:rsid w:val="004442C3"/>
    <w:rsid w:val="004551AC"/>
    <w:rsid w:val="004F6CD8"/>
    <w:rsid w:val="00516774"/>
    <w:rsid w:val="00665EE4"/>
    <w:rsid w:val="0068163B"/>
    <w:rsid w:val="00952071"/>
    <w:rsid w:val="00B0612E"/>
    <w:rsid w:val="00B33B1F"/>
    <w:rsid w:val="00B5012D"/>
    <w:rsid w:val="00C20BAA"/>
    <w:rsid w:val="00D609F8"/>
    <w:rsid w:val="00D61476"/>
    <w:rsid w:val="00D81FD1"/>
    <w:rsid w:val="00DA2569"/>
    <w:rsid w:val="00DC13F1"/>
    <w:rsid w:val="00E76976"/>
    <w:rsid w:val="00EB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D4C861"/>
  <w15:docId w15:val="{7CA4B356-7593-4D8B-A27D-ABF1DC696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F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81F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D81FD1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D81F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D81FD1"/>
    <w:rPr>
      <w:sz w:val="18"/>
      <w:szCs w:val="18"/>
    </w:rPr>
  </w:style>
  <w:style w:type="paragraph" w:styleId="a7">
    <w:name w:val="caption"/>
    <w:basedOn w:val="a"/>
    <w:next w:val="a"/>
    <w:uiPriority w:val="35"/>
    <w:unhideWhenUsed/>
    <w:qFormat/>
    <w:rsid w:val="00D81FD1"/>
    <w:rPr>
      <w:rFonts w:asciiTheme="majorHAnsi" w:eastAsia="黑体" w:hAnsiTheme="majorHAnsi" w:cstheme="majorBidi"/>
      <w:sz w:val="20"/>
      <w:szCs w:val="20"/>
    </w:rPr>
  </w:style>
  <w:style w:type="table" w:styleId="a8">
    <w:name w:val="Table Grid"/>
    <w:basedOn w:val="a1"/>
    <w:uiPriority w:val="59"/>
    <w:qFormat/>
    <w:rsid w:val="00D81FD1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a"/>
    <w:link w:val="EndNoteBibliographyChar"/>
    <w:rsid w:val="00D81FD1"/>
    <w:rPr>
      <w:rFonts w:ascii="Calibri" w:hAnsi="Calibri"/>
      <w:sz w:val="20"/>
    </w:rPr>
  </w:style>
  <w:style w:type="character" w:customStyle="1" w:styleId="EndNoteBibliographyChar">
    <w:name w:val="EndNote Bibliography Char"/>
    <w:basedOn w:val="a0"/>
    <w:link w:val="EndNoteBibliography"/>
    <w:qFormat/>
    <w:rsid w:val="00D81FD1"/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8D7F40-7DE8-4B08-B366-8A1FEA6C5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4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YA ZHANG</cp:lastModifiedBy>
  <cp:revision>10</cp:revision>
  <dcterms:created xsi:type="dcterms:W3CDTF">2020-05-19T17:03:00Z</dcterms:created>
  <dcterms:modified xsi:type="dcterms:W3CDTF">2020-06-13T11:45:00Z</dcterms:modified>
</cp:coreProperties>
</file>