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10A6" w:rsidRDefault="001C3613" w:rsidP="005A011E">
      <w:pPr>
        <w:spacing w:line="360" w:lineRule="auto"/>
        <w:rPr>
          <w:rFonts w:ascii="Cambria" w:hAnsi="Cambria" w:hint="eastAsia"/>
          <w:b/>
          <w:bCs/>
          <w:sz w:val="24"/>
          <w:szCs w:val="24"/>
        </w:rPr>
      </w:pPr>
      <w:r w:rsidRPr="001C3613">
        <w:rPr>
          <w:rFonts w:ascii="Cambria" w:hAnsi="Cambria"/>
          <w:b/>
          <w:bCs/>
          <w:noProof/>
          <w:sz w:val="24"/>
          <w:szCs w:val="24"/>
        </w:rPr>
        <w:drawing>
          <wp:inline distT="0" distB="0" distL="0" distR="0">
            <wp:extent cx="5238750" cy="2995249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33" t="10917" r="9524" b="7213"/>
                    <a:stretch/>
                  </pic:blipFill>
                  <pic:spPr bwMode="auto">
                    <a:xfrm>
                      <a:off x="0" y="0"/>
                      <a:ext cx="5244329" cy="2998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473B7" w:rsidRPr="00CF640F" w:rsidRDefault="001C3613" w:rsidP="00CF640F">
      <w:pPr>
        <w:spacing w:line="360" w:lineRule="auto"/>
        <w:rPr>
          <w:rFonts w:ascii="Cambria" w:hAnsi="Cambria" w:hint="eastAsia"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 xml:space="preserve">Additional file 1: </w:t>
      </w:r>
      <w:r w:rsidR="005A011E" w:rsidRPr="00691B10">
        <w:rPr>
          <w:rFonts w:ascii="Cambria" w:hAnsi="Cambria" w:hint="eastAsia"/>
          <w:b/>
          <w:bCs/>
          <w:sz w:val="24"/>
          <w:szCs w:val="24"/>
        </w:rPr>
        <w:t>F</w:t>
      </w:r>
      <w:r w:rsidR="005A011E" w:rsidRPr="00691B10">
        <w:rPr>
          <w:rFonts w:ascii="Cambria" w:hAnsi="Cambria"/>
          <w:b/>
          <w:bCs/>
          <w:sz w:val="24"/>
          <w:szCs w:val="24"/>
        </w:rPr>
        <w:t>ig</w:t>
      </w:r>
      <w:r w:rsidR="001B52EB">
        <w:rPr>
          <w:rFonts w:ascii="Cambria" w:hAnsi="Cambria"/>
          <w:b/>
          <w:bCs/>
          <w:sz w:val="24"/>
          <w:szCs w:val="24"/>
        </w:rPr>
        <w:t>ure</w:t>
      </w:r>
      <w:r w:rsidR="005A011E" w:rsidRPr="00691B10">
        <w:rPr>
          <w:rFonts w:ascii="Cambria" w:hAnsi="Cambria"/>
          <w:b/>
          <w:bCs/>
          <w:sz w:val="24"/>
          <w:szCs w:val="24"/>
        </w:rPr>
        <w:t xml:space="preserve"> S1</w:t>
      </w:r>
      <w:r>
        <w:rPr>
          <w:rFonts w:ascii="Cambria" w:hAnsi="Cambria"/>
          <w:b/>
          <w:bCs/>
          <w:sz w:val="24"/>
          <w:szCs w:val="24"/>
        </w:rPr>
        <w:t>.</w:t>
      </w:r>
      <w:r w:rsidR="005A011E" w:rsidRPr="00691B10">
        <w:rPr>
          <w:rFonts w:ascii="Cambria" w:hAnsi="Cambria"/>
          <w:b/>
          <w:bCs/>
          <w:sz w:val="24"/>
          <w:szCs w:val="24"/>
        </w:rPr>
        <w:t xml:space="preserve"> </w:t>
      </w:r>
      <w:r w:rsidR="005A011E" w:rsidRPr="00691B10">
        <w:rPr>
          <w:rFonts w:ascii="Cambria" w:hAnsi="Cambria"/>
          <w:sz w:val="24"/>
          <w:szCs w:val="24"/>
        </w:rPr>
        <w:t xml:space="preserve">Design and characterization of the PD-L1 CAR. </w:t>
      </w:r>
      <w:r w:rsidR="005A011E" w:rsidRPr="00691B10">
        <w:rPr>
          <w:rFonts w:ascii="Cambria" w:hAnsi="Cambria"/>
          <w:b/>
          <w:bCs/>
          <w:sz w:val="24"/>
          <w:szCs w:val="24"/>
        </w:rPr>
        <w:t xml:space="preserve">a </w:t>
      </w:r>
      <w:proofErr w:type="gramStart"/>
      <w:r w:rsidR="005A011E" w:rsidRPr="00691B10">
        <w:rPr>
          <w:rFonts w:ascii="Cambria" w:hAnsi="Cambria"/>
          <w:sz w:val="24"/>
          <w:szCs w:val="24"/>
        </w:rPr>
        <w:t>The</w:t>
      </w:r>
      <w:proofErr w:type="gramEnd"/>
      <w:r w:rsidR="005A011E" w:rsidRPr="00691B10">
        <w:rPr>
          <w:rFonts w:ascii="Cambria" w:hAnsi="Cambria"/>
          <w:sz w:val="24"/>
          <w:szCs w:val="24"/>
        </w:rPr>
        <w:t xml:space="preserve"> PD-L1 CAR consists of an extracellular humanized PD-L1-binding </w:t>
      </w:r>
      <w:proofErr w:type="spellStart"/>
      <w:r w:rsidR="005A011E" w:rsidRPr="00691B10">
        <w:rPr>
          <w:rFonts w:ascii="Cambria" w:hAnsi="Cambria"/>
          <w:sz w:val="24"/>
          <w:szCs w:val="24"/>
        </w:rPr>
        <w:t>scFv</w:t>
      </w:r>
      <w:proofErr w:type="spellEnd"/>
      <w:r w:rsidR="005A011E" w:rsidRPr="00691B10">
        <w:rPr>
          <w:rFonts w:ascii="Cambria" w:hAnsi="Cambria"/>
          <w:sz w:val="24"/>
          <w:szCs w:val="24"/>
        </w:rPr>
        <w:t xml:space="preserve"> and an intracellular human CD28, 4-1BB (also known as CD137), and CD3ζ signaling domain. SP, signal peptide; Flag, DYKDDDDK epitope; HTM, hinger and transmembrane domain. </w:t>
      </w:r>
      <w:r w:rsidR="005A011E" w:rsidRPr="00691B10">
        <w:rPr>
          <w:rFonts w:ascii="Cambria" w:hAnsi="Cambria"/>
          <w:b/>
          <w:bCs/>
          <w:sz w:val="24"/>
          <w:szCs w:val="24"/>
        </w:rPr>
        <w:t>b</w:t>
      </w:r>
      <w:r w:rsidR="005A011E" w:rsidRPr="00691B10">
        <w:rPr>
          <w:rFonts w:ascii="Cambria" w:hAnsi="Cambria"/>
          <w:sz w:val="24"/>
          <w:szCs w:val="24"/>
        </w:rPr>
        <w:t xml:space="preserve"> </w:t>
      </w:r>
      <w:proofErr w:type="gramStart"/>
      <w:r w:rsidR="005A011E" w:rsidRPr="00691B10">
        <w:rPr>
          <w:rFonts w:ascii="Cambria" w:hAnsi="Cambria"/>
          <w:sz w:val="24"/>
          <w:szCs w:val="24"/>
        </w:rPr>
        <w:t>The</w:t>
      </w:r>
      <w:proofErr w:type="gramEnd"/>
      <w:r w:rsidR="005A011E" w:rsidRPr="00691B10">
        <w:rPr>
          <w:rFonts w:ascii="Cambria" w:hAnsi="Cambria"/>
          <w:sz w:val="24"/>
          <w:szCs w:val="24"/>
        </w:rPr>
        <w:t xml:space="preserve"> generation of PD-L1-expressing tumor cells. Wild-type K562 and A549 tumor cells were transduced with </w:t>
      </w:r>
      <w:proofErr w:type="spellStart"/>
      <w:r w:rsidR="005A011E" w:rsidRPr="00691B10">
        <w:rPr>
          <w:rFonts w:ascii="Cambria" w:hAnsi="Cambria"/>
          <w:sz w:val="24"/>
          <w:szCs w:val="24"/>
        </w:rPr>
        <w:t>pseudotyped</w:t>
      </w:r>
      <w:proofErr w:type="spellEnd"/>
      <w:r w:rsidR="005A011E" w:rsidRPr="00691B10">
        <w:rPr>
          <w:rFonts w:ascii="Cambria" w:hAnsi="Cambria"/>
          <w:sz w:val="24"/>
          <w:szCs w:val="24"/>
        </w:rPr>
        <w:t xml:space="preserve"> lentivirus encoding both PD-L1 and puromycin. PD-L1-expressing tumor cells were </w:t>
      </w:r>
      <w:r w:rsidR="005A011E" w:rsidRPr="00691B10">
        <w:rPr>
          <w:rFonts w:ascii="Cambria" w:eastAsia="宋体" w:hAnsi="Cambria" w:cs="Times New Roman"/>
          <w:sz w:val="24"/>
          <w:szCs w:val="24"/>
        </w:rPr>
        <w:t>first</w:t>
      </w:r>
      <w:r w:rsidR="005A011E" w:rsidRPr="00691B10">
        <w:rPr>
          <w:rFonts w:ascii="Cambria" w:hAnsi="Cambria"/>
          <w:sz w:val="24"/>
          <w:szCs w:val="24"/>
        </w:rPr>
        <w:t xml:space="preserve"> selected and enriched by adding puromycin to </w:t>
      </w:r>
      <w:r w:rsidR="005A011E">
        <w:rPr>
          <w:rFonts w:ascii="Cambria" w:hAnsi="Cambria"/>
          <w:sz w:val="24"/>
          <w:szCs w:val="24"/>
        </w:rPr>
        <w:t xml:space="preserve">the </w:t>
      </w:r>
      <w:r w:rsidR="005A011E" w:rsidRPr="00691B10">
        <w:rPr>
          <w:rFonts w:ascii="Cambria" w:hAnsi="Cambria"/>
          <w:sz w:val="24"/>
          <w:szCs w:val="24"/>
        </w:rPr>
        <w:t>culture medium and further sorted by</w:t>
      </w:r>
      <w:r w:rsidR="005A011E">
        <w:rPr>
          <w:rFonts w:ascii="Cambria" w:hAnsi="Cambria"/>
          <w:sz w:val="24"/>
          <w:szCs w:val="24"/>
        </w:rPr>
        <w:t xml:space="preserve"> a</w:t>
      </w:r>
      <w:r w:rsidR="005A011E" w:rsidRPr="00691B10">
        <w:rPr>
          <w:rFonts w:ascii="Cambria" w:hAnsi="Cambria"/>
          <w:sz w:val="24"/>
          <w:szCs w:val="24"/>
        </w:rPr>
        <w:t xml:space="preserve"> BD </w:t>
      </w:r>
      <w:proofErr w:type="spellStart"/>
      <w:r w:rsidR="005A011E" w:rsidRPr="00691B10">
        <w:rPr>
          <w:rFonts w:ascii="Cambria" w:hAnsi="Cambria"/>
          <w:sz w:val="24"/>
          <w:szCs w:val="24"/>
        </w:rPr>
        <w:t>FACSAria</w:t>
      </w:r>
      <w:proofErr w:type="spellEnd"/>
      <w:r w:rsidR="005A011E" w:rsidRPr="00691B10">
        <w:rPr>
          <w:rFonts w:ascii="Cambria" w:hAnsi="Cambria"/>
          <w:sz w:val="24"/>
          <w:szCs w:val="24"/>
        </w:rPr>
        <w:t xml:space="preserve">. </w:t>
      </w:r>
      <w:r w:rsidR="005A011E" w:rsidRPr="00691B10">
        <w:rPr>
          <w:rFonts w:ascii="Cambria" w:hAnsi="Cambria"/>
          <w:b/>
          <w:bCs/>
          <w:sz w:val="24"/>
          <w:szCs w:val="24"/>
        </w:rPr>
        <w:t>c</w:t>
      </w:r>
      <w:r w:rsidR="005A011E" w:rsidRPr="00691B10">
        <w:rPr>
          <w:rFonts w:ascii="Cambria" w:hAnsi="Cambria"/>
          <w:sz w:val="24"/>
          <w:szCs w:val="24"/>
        </w:rPr>
        <w:t xml:space="preserve"> </w:t>
      </w:r>
      <w:proofErr w:type="gramStart"/>
      <w:r w:rsidR="005A011E" w:rsidRPr="00691B10">
        <w:rPr>
          <w:rFonts w:ascii="Cambria" w:hAnsi="Cambria"/>
          <w:sz w:val="24"/>
          <w:szCs w:val="24"/>
        </w:rPr>
        <w:t>The</w:t>
      </w:r>
      <w:proofErr w:type="gramEnd"/>
      <w:r w:rsidR="005A011E" w:rsidRPr="00691B10">
        <w:rPr>
          <w:rFonts w:ascii="Cambria" w:hAnsi="Cambria"/>
          <w:sz w:val="24"/>
          <w:szCs w:val="24"/>
        </w:rPr>
        <w:t xml:space="preserve"> expression of PD-L1 CAR </w:t>
      </w:r>
      <w:r w:rsidR="005A011E" w:rsidRPr="00691B10">
        <w:rPr>
          <w:rFonts w:ascii="Cambria" w:eastAsia="宋体" w:hAnsi="Cambria" w:cs="Times New Roman"/>
          <w:sz w:val="24"/>
          <w:szCs w:val="24"/>
        </w:rPr>
        <w:t>was</w:t>
      </w:r>
      <w:r w:rsidR="005A011E" w:rsidRPr="00691B10">
        <w:rPr>
          <w:rFonts w:ascii="Cambria" w:hAnsi="Cambria"/>
          <w:sz w:val="24"/>
          <w:szCs w:val="24"/>
        </w:rPr>
        <w:t xml:space="preserve"> determined by FACS using </w:t>
      </w:r>
      <w:r w:rsidR="005A011E">
        <w:rPr>
          <w:rFonts w:ascii="Cambria" w:hAnsi="Cambria"/>
          <w:sz w:val="24"/>
          <w:szCs w:val="24"/>
        </w:rPr>
        <w:t xml:space="preserve">a </w:t>
      </w:r>
      <w:r w:rsidR="005A011E" w:rsidRPr="00691B10">
        <w:rPr>
          <w:rFonts w:ascii="Cambria" w:hAnsi="Cambria"/>
          <w:sz w:val="24"/>
          <w:szCs w:val="24"/>
        </w:rPr>
        <w:t xml:space="preserve">PE-conjugated anti-DYKDDDDK antibody for </w:t>
      </w:r>
      <w:proofErr w:type="spellStart"/>
      <w:r w:rsidR="005A011E" w:rsidRPr="00691B10">
        <w:rPr>
          <w:rFonts w:ascii="Cambria" w:hAnsi="Cambria"/>
          <w:sz w:val="24"/>
          <w:szCs w:val="24"/>
        </w:rPr>
        <w:t>untransduced</w:t>
      </w:r>
      <w:proofErr w:type="spellEnd"/>
      <w:r w:rsidR="005A011E" w:rsidRPr="00691B10">
        <w:rPr>
          <w:rFonts w:ascii="Cambria" w:hAnsi="Cambria"/>
          <w:sz w:val="24"/>
          <w:szCs w:val="24"/>
        </w:rPr>
        <w:t xml:space="preserve"> </w:t>
      </w:r>
      <w:proofErr w:type="spellStart"/>
      <w:r w:rsidR="005A011E" w:rsidRPr="00691B10">
        <w:rPr>
          <w:rFonts w:ascii="Cambria" w:hAnsi="Cambria"/>
          <w:sz w:val="24"/>
          <w:szCs w:val="24"/>
        </w:rPr>
        <w:t>Jurkat</w:t>
      </w:r>
      <w:proofErr w:type="spellEnd"/>
      <w:r w:rsidR="005A011E" w:rsidRPr="00691B10">
        <w:rPr>
          <w:rFonts w:ascii="Cambria" w:hAnsi="Cambria"/>
          <w:sz w:val="24"/>
          <w:szCs w:val="24"/>
        </w:rPr>
        <w:t xml:space="preserve"> T cells and engineered </w:t>
      </w:r>
      <w:proofErr w:type="spellStart"/>
      <w:r w:rsidR="005A011E" w:rsidRPr="00691B10">
        <w:rPr>
          <w:rFonts w:ascii="Cambria" w:hAnsi="Cambria"/>
          <w:sz w:val="24"/>
          <w:szCs w:val="24"/>
        </w:rPr>
        <w:t>Jurkat</w:t>
      </w:r>
      <w:proofErr w:type="spellEnd"/>
      <w:r w:rsidR="005A011E" w:rsidRPr="00691B10">
        <w:rPr>
          <w:rFonts w:ascii="Cambria" w:hAnsi="Cambria"/>
          <w:sz w:val="24"/>
          <w:szCs w:val="24"/>
        </w:rPr>
        <w:t xml:space="preserve"> T cells. </w:t>
      </w:r>
      <w:r w:rsidR="005A011E" w:rsidRPr="00691B10">
        <w:rPr>
          <w:rFonts w:ascii="Cambria" w:hAnsi="Cambria"/>
          <w:b/>
          <w:bCs/>
          <w:sz w:val="24"/>
          <w:szCs w:val="24"/>
        </w:rPr>
        <w:t xml:space="preserve">d </w:t>
      </w:r>
      <w:r w:rsidR="005A011E" w:rsidRPr="00691B10">
        <w:rPr>
          <w:rFonts w:ascii="Cambria" w:hAnsi="Cambria"/>
          <w:sz w:val="24"/>
          <w:szCs w:val="24"/>
        </w:rPr>
        <w:t xml:space="preserve">CFSE-labeled </w:t>
      </w:r>
      <w:proofErr w:type="spellStart"/>
      <w:r w:rsidR="005A011E" w:rsidRPr="00691B10">
        <w:rPr>
          <w:rFonts w:ascii="Cambria" w:hAnsi="Cambria"/>
          <w:sz w:val="24"/>
          <w:szCs w:val="24"/>
        </w:rPr>
        <w:t>untransduced</w:t>
      </w:r>
      <w:proofErr w:type="spellEnd"/>
      <w:r w:rsidR="005A011E" w:rsidRPr="00691B10">
        <w:rPr>
          <w:rFonts w:ascii="Cambria" w:hAnsi="Cambria"/>
          <w:sz w:val="24"/>
          <w:szCs w:val="24"/>
        </w:rPr>
        <w:t xml:space="preserve"> or PD-L1 CAR-expressing </w:t>
      </w:r>
      <w:proofErr w:type="spellStart"/>
      <w:r w:rsidR="005A011E" w:rsidRPr="00691B10">
        <w:rPr>
          <w:rFonts w:ascii="Cambria" w:hAnsi="Cambria"/>
          <w:sz w:val="24"/>
          <w:szCs w:val="24"/>
        </w:rPr>
        <w:t>Jurkat</w:t>
      </w:r>
      <w:proofErr w:type="spellEnd"/>
      <w:r w:rsidR="005A011E" w:rsidRPr="00691B10">
        <w:rPr>
          <w:rFonts w:ascii="Cambria" w:hAnsi="Cambria"/>
          <w:sz w:val="24"/>
          <w:szCs w:val="24"/>
        </w:rPr>
        <w:t xml:space="preserve"> T cells were cocultured with PD-L1-positive/negative-K562 </w:t>
      </w:r>
      <w:r w:rsidR="005A011E" w:rsidRPr="00691B10">
        <w:rPr>
          <w:rFonts w:ascii="Cambria" w:eastAsia="宋体" w:hAnsi="Cambria" w:cs="Times New Roman"/>
          <w:sz w:val="24"/>
          <w:szCs w:val="24"/>
        </w:rPr>
        <w:t>tumor</w:t>
      </w:r>
      <w:r w:rsidR="005A011E" w:rsidRPr="00691B10">
        <w:rPr>
          <w:rFonts w:ascii="Cambria" w:hAnsi="Cambria"/>
          <w:sz w:val="24"/>
          <w:szCs w:val="24"/>
        </w:rPr>
        <w:t xml:space="preserve"> cells labeled with </w:t>
      </w:r>
      <w:proofErr w:type="spellStart"/>
      <w:r w:rsidR="005A011E" w:rsidRPr="00691B10">
        <w:rPr>
          <w:rFonts w:ascii="Cambria" w:hAnsi="Cambria"/>
          <w:sz w:val="24"/>
          <w:szCs w:val="24"/>
        </w:rPr>
        <w:t>eFluor</w:t>
      </w:r>
      <w:proofErr w:type="spellEnd"/>
      <w:r w:rsidR="005A011E" w:rsidRPr="00691B10">
        <w:rPr>
          <w:rFonts w:ascii="Cambria" w:hAnsi="Cambria"/>
          <w:sz w:val="24"/>
          <w:szCs w:val="24"/>
        </w:rPr>
        <w:t xml:space="preserve"> 670 at RT for 1 h. </w:t>
      </w:r>
      <w:r w:rsidR="005A011E">
        <w:rPr>
          <w:rFonts w:ascii="Cambria" w:hAnsi="Cambria"/>
          <w:sz w:val="24"/>
          <w:szCs w:val="24"/>
        </w:rPr>
        <w:t>The p</w:t>
      </w:r>
      <w:r w:rsidR="005A011E" w:rsidRPr="00691B10">
        <w:rPr>
          <w:rFonts w:ascii="Cambria" w:hAnsi="Cambria"/>
          <w:sz w:val="24"/>
          <w:szCs w:val="24"/>
        </w:rPr>
        <w:t xml:space="preserve">ercentage of cell aggregates </w:t>
      </w:r>
      <w:r w:rsidR="005A011E">
        <w:rPr>
          <w:rFonts w:ascii="Cambria" w:hAnsi="Cambria"/>
          <w:sz w:val="24"/>
          <w:szCs w:val="24"/>
        </w:rPr>
        <w:t>is</w:t>
      </w:r>
      <w:r w:rsidR="005A011E" w:rsidRPr="00691B10">
        <w:rPr>
          <w:rFonts w:ascii="Cambria" w:hAnsi="Cambria"/>
          <w:sz w:val="24"/>
          <w:szCs w:val="24"/>
        </w:rPr>
        <w:t xml:space="preserve"> quantified in the upper right quadrant of each 2D flow cytometry dot plot. </w:t>
      </w:r>
      <w:r w:rsidR="005A011E" w:rsidRPr="00691B10">
        <w:rPr>
          <w:rFonts w:ascii="Cambria" w:hAnsi="Cambria"/>
          <w:b/>
          <w:bCs/>
          <w:sz w:val="24"/>
          <w:szCs w:val="24"/>
        </w:rPr>
        <w:t>e</w:t>
      </w:r>
      <w:r w:rsidR="005A011E" w:rsidRPr="00691B10">
        <w:rPr>
          <w:rFonts w:ascii="Cambria" w:hAnsi="Cambria" w:cs="Times New Roman"/>
          <w:sz w:val="24"/>
          <w:szCs w:val="24"/>
        </w:rPr>
        <w:t xml:space="preserve"> </w:t>
      </w:r>
      <w:proofErr w:type="gramStart"/>
      <w:r w:rsidR="005A011E" w:rsidRPr="00691B10">
        <w:rPr>
          <w:rFonts w:ascii="Cambria" w:hAnsi="Cambria" w:cs="Times New Roman"/>
          <w:sz w:val="24"/>
          <w:szCs w:val="24"/>
        </w:rPr>
        <w:t>The</w:t>
      </w:r>
      <w:proofErr w:type="gramEnd"/>
      <w:r w:rsidR="005A011E" w:rsidRPr="00691B10">
        <w:rPr>
          <w:rFonts w:ascii="Cambria" w:hAnsi="Cambria" w:cs="Times New Roman"/>
          <w:sz w:val="24"/>
          <w:szCs w:val="24"/>
        </w:rPr>
        <w:t xml:space="preserve"> levels of IL-2 produced by </w:t>
      </w:r>
      <w:proofErr w:type="spellStart"/>
      <w:r w:rsidR="005A011E" w:rsidRPr="00691B10">
        <w:rPr>
          <w:rFonts w:ascii="Cambria" w:hAnsi="Cambria" w:cs="Times New Roman"/>
          <w:sz w:val="24"/>
          <w:szCs w:val="24"/>
        </w:rPr>
        <w:t>untransduced</w:t>
      </w:r>
      <w:proofErr w:type="spellEnd"/>
      <w:r w:rsidR="005A011E" w:rsidRPr="00691B10">
        <w:rPr>
          <w:rFonts w:ascii="Cambria" w:hAnsi="Cambria" w:cs="Times New Roman"/>
          <w:sz w:val="24"/>
          <w:szCs w:val="24"/>
        </w:rPr>
        <w:t xml:space="preserve"> or PD-L1 CAR-engineered </w:t>
      </w:r>
      <w:proofErr w:type="spellStart"/>
      <w:r w:rsidR="005A011E" w:rsidRPr="00691B10">
        <w:rPr>
          <w:rFonts w:ascii="Cambria" w:hAnsi="Cambria" w:cs="Times New Roman"/>
          <w:sz w:val="24"/>
          <w:szCs w:val="24"/>
        </w:rPr>
        <w:t>Jurkat</w:t>
      </w:r>
      <w:proofErr w:type="spellEnd"/>
      <w:r w:rsidR="005A011E" w:rsidRPr="00691B10">
        <w:rPr>
          <w:rFonts w:ascii="Cambria" w:hAnsi="Cambria" w:cs="Times New Roman"/>
          <w:sz w:val="24"/>
          <w:szCs w:val="24"/>
        </w:rPr>
        <w:t xml:space="preserve"> T cells were measured by ELISA after 24 h incubation at</w:t>
      </w:r>
      <w:r w:rsidR="005A011E" w:rsidRPr="00691B10">
        <w:rPr>
          <w:rFonts w:ascii="Cambria" w:eastAsia="宋体" w:hAnsi="Cambria" w:cs="Times New Roman"/>
          <w:sz w:val="24"/>
          <w:szCs w:val="24"/>
        </w:rPr>
        <w:t xml:space="preserve"> an</w:t>
      </w:r>
      <w:r w:rsidR="005A011E" w:rsidRPr="00691B10">
        <w:rPr>
          <w:rFonts w:ascii="Cambria" w:hAnsi="Cambria" w:cs="Times New Roman"/>
          <w:sz w:val="24"/>
          <w:szCs w:val="24"/>
        </w:rPr>
        <w:t xml:space="preserve"> E:T ratio of 1:1 (K562) or 3:1 (A549). The results are reported as </w:t>
      </w:r>
      <w:r w:rsidR="005A011E" w:rsidRPr="00691B10">
        <w:rPr>
          <w:rFonts w:ascii="Cambria" w:eastAsia="宋体" w:hAnsi="Cambria" w:cs="Times New Roman"/>
          <w:sz w:val="24"/>
          <w:szCs w:val="24"/>
        </w:rPr>
        <w:t xml:space="preserve">the </w:t>
      </w:r>
      <w:r w:rsidR="005A011E" w:rsidRPr="00691B10">
        <w:rPr>
          <w:rFonts w:ascii="Cambria" w:hAnsi="Cambria" w:cs="Times New Roman"/>
          <w:sz w:val="24"/>
          <w:szCs w:val="24"/>
        </w:rPr>
        <w:t>mean ±</w:t>
      </w:r>
      <w:r w:rsidR="005A011E" w:rsidRPr="00691B10">
        <w:rPr>
          <w:rFonts w:ascii="宋体" w:hAnsi="宋体"/>
          <w:sz w:val="24"/>
          <w:szCs w:val="24"/>
        </w:rPr>
        <w:t xml:space="preserve"> </w:t>
      </w:r>
      <w:r w:rsidR="005A011E" w:rsidRPr="00691B10">
        <w:rPr>
          <w:rFonts w:ascii="Cambria" w:hAnsi="Cambria" w:hint="eastAsia"/>
          <w:sz w:val="24"/>
          <w:szCs w:val="24"/>
        </w:rPr>
        <w:t>S</w:t>
      </w:r>
      <w:r w:rsidR="005A011E" w:rsidRPr="00691B10">
        <w:rPr>
          <w:rFonts w:ascii="Cambria" w:hAnsi="Cambria"/>
          <w:sz w:val="24"/>
          <w:szCs w:val="24"/>
        </w:rPr>
        <w:t xml:space="preserve">EM for three independent experiments, * </w:t>
      </w:r>
      <w:r w:rsidR="005A011E" w:rsidRPr="00691B10">
        <w:rPr>
          <w:rFonts w:ascii="Cambria" w:hAnsi="Cambria"/>
          <w:i/>
          <w:iCs/>
          <w:sz w:val="24"/>
          <w:szCs w:val="24"/>
        </w:rPr>
        <w:t xml:space="preserve">P </w:t>
      </w:r>
      <w:r w:rsidR="005A011E" w:rsidRPr="00691B10">
        <w:rPr>
          <w:rFonts w:ascii="Cambria" w:hAnsi="Cambria"/>
          <w:sz w:val="24"/>
          <w:szCs w:val="24"/>
        </w:rPr>
        <w:t xml:space="preserve">&lt; 0.05 with respect to </w:t>
      </w:r>
      <w:r w:rsidR="005A011E" w:rsidRPr="00691B10">
        <w:rPr>
          <w:rFonts w:ascii="Cambria" w:eastAsia="宋体" w:hAnsi="Cambria" w:cs="Times New Roman"/>
          <w:sz w:val="24"/>
          <w:szCs w:val="24"/>
        </w:rPr>
        <w:t>coculture</w:t>
      </w:r>
      <w:r w:rsidR="005A011E" w:rsidRPr="00691B10">
        <w:rPr>
          <w:rFonts w:ascii="Cambria" w:hAnsi="Cambria"/>
          <w:sz w:val="24"/>
          <w:szCs w:val="24"/>
        </w:rPr>
        <w:t xml:space="preserve"> with PD-L1-negative K562 or A549 cells, analyzed using Student’s t-test.</w:t>
      </w:r>
      <w:bookmarkStart w:id="0" w:name="_GoBack"/>
      <w:bookmarkEnd w:id="0"/>
    </w:p>
    <w:sectPr w:rsidR="00B473B7" w:rsidRPr="00CF64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2C1B" w:rsidRDefault="00AB2C1B" w:rsidP="001B52EB">
      <w:r>
        <w:separator/>
      </w:r>
    </w:p>
  </w:endnote>
  <w:endnote w:type="continuationSeparator" w:id="0">
    <w:p w:rsidR="00AB2C1B" w:rsidRDefault="00AB2C1B" w:rsidP="001B5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2C1B" w:rsidRDefault="00AB2C1B" w:rsidP="001B52EB">
      <w:r>
        <w:separator/>
      </w:r>
    </w:p>
  </w:footnote>
  <w:footnote w:type="continuationSeparator" w:id="0">
    <w:p w:rsidR="00AB2C1B" w:rsidRDefault="00AB2C1B" w:rsidP="001B52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11E"/>
    <w:rsid w:val="001B52EB"/>
    <w:rsid w:val="001C3613"/>
    <w:rsid w:val="00276A5A"/>
    <w:rsid w:val="005A011E"/>
    <w:rsid w:val="00A6696C"/>
    <w:rsid w:val="00AB2C1B"/>
    <w:rsid w:val="00AD10A6"/>
    <w:rsid w:val="00B473B7"/>
    <w:rsid w:val="00CF640F"/>
    <w:rsid w:val="00F31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4EB85C"/>
  <w15:chartTrackingRefBased/>
  <w15:docId w15:val="{BFD6D16B-9F34-4BDC-ADD4-3743FF01D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Courier New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011E"/>
    <w:pPr>
      <w:widowControl w:val="0"/>
      <w:jc w:val="both"/>
    </w:pPr>
    <w:rPr>
      <w:rFonts w:asciiTheme="minorHAnsi" w:eastAsiaTheme="minorEastAsia" w:hAnsiTheme="minorHAnsi"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52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B52EB"/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B52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B52EB"/>
    <w:rPr>
      <w:rFonts w:asciiTheme="minorHAnsi" w:eastAsiaTheme="minorEastAsia" w:hAnsiTheme="minorHAnsi" w:cstheme="min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213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</cp:revision>
  <dcterms:created xsi:type="dcterms:W3CDTF">2020-07-02T11:45:00Z</dcterms:created>
  <dcterms:modified xsi:type="dcterms:W3CDTF">2020-07-07T09:23:00Z</dcterms:modified>
</cp:coreProperties>
</file>