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010" w:rsidRDefault="00F25010" w:rsidP="0087725C">
      <w:pPr>
        <w:spacing w:line="360" w:lineRule="auto"/>
        <w:rPr>
          <w:rFonts w:ascii="Cambria" w:hAnsi="Cambria"/>
          <w:b/>
          <w:bCs/>
          <w:sz w:val="24"/>
          <w:szCs w:val="24"/>
        </w:rPr>
      </w:pPr>
      <w:r w:rsidRPr="00F25010">
        <w:rPr>
          <w:rFonts w:ascii="Cambria" w:hAnsi="Cambria"/>
          <w:b/>
          <w:bCs/>
          <w:noProof/>
          <w:sz w:val="24"/>
          <w:szCs w:val="24"/>
        </w:rPr>
        <w:drawing>
          <wp:inline distT="0" distB="0" distL="0" distR="0">
            <wp:extent cx="5124450" cy="362224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8" r="9162" b="4003"/>
                    <a:stretch/>
                  </pic:blipFill>
                  <pic:spPr bwMode="auto">
                    <a:xfrm>
                      <a:off x="0" y="0"/>
                      <a:ext cx="5125425" cy="362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B7" w:rsidRPr="0087725C" w:rsidRDefault="00F25010" w:rsidP="0087725C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Additional file 2: </w:t>
      </w:r>
      <w:r w:rsidR="005A011E" w:rsidRPr="00691B10">
        <w:rPr>
          <w:rFonts w:ascii="Cambria" w:hAnsi="Cambria"/>
          <w:b/>
          <w:bCs/>
          <w:sz w:val="24"/>
          <w:szCs w:val="24"/>
        </w:rPr>
        <w:t>Fig</w:t>
      </w:r>
      <w:r w:rsidR="0087725C">
        <w:rPr>
          <w:rFonts w:ascii="Cambria" w:hAnsi="Cambria"/>
          <w:b/>
          <w:bCs/>
          <w:sz w:val="24"/>
          <w:szCs w:val="24"/>
        </w:rPr>
        <w:t xml:space="preserve">ure </w:t>
      </w:r>
      <w:r w:rsidR="005A011E" w:rsidRPr="00691B10">
        <w:rPr>
          <w:rFonts w:ascii="Cambria" w:hAnsi="Cambria"/>
          <w:b/>
          <w:bCs/>
          <w:sz w:val="24"/>
          <w:szCs w:val="24"/>
        </w:rPr>
        <w:t>S2</w:t>
      </w:r>
      <w:r>
        <w:rPr>
          <w:rFonts w:ascii="Cambria" w:hAnsi="Cambria"/>
          <w:b/>
          <w:bCs/>
          <w:sz w:val="24"/>
          <w:szCs w:val="24"/>
        </w:rPr>
        <w:t>.</w:t>
      </w:r>
      <w:bookmarkStart w:id="0" w:name="_GoBack"/>
      <w:bookmarkEnd w:id="0"/>
      <w:r w:rsidR="005A011E" w:rsidRPr="00691B10">
        <w:rPr>
          <w:rFonts w:ascii="Cambria" w:hAnsi="Cambria" w:cs="Times New Roman"/>
          <w:sz w:val="24"/>
          <w:szCs w:val="24"/>
        </w:rPr>
        <w:t xml:space="preserve"> The differential expression of CD19, HER2 and PD-L1 on tumor cells.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 A total of </w:t>
      </w:r>
      <w:r w:rsidR="005A011E" w:rsidRPr="00691B10">
        <w:rPr>
          <w:rFonts w:ascii="Cambria" w:hAnsi="Cambria" w:cs="Times New Roman"/>
          <w:sz w:val="24"/>
          <w:szCs w:val="24"/>
        </w:rPr>
        <w:t>5×10</w:t>
      </w:r>
      <w:r w:rsidR="005A011E" w:rsidRPr="00691B10">
        <w:rPr>
          <w:rFonts w:ascii="Cambria" w:hAnsi="Cambria" w:cs="Times New Roman"/>
          <w:sz w:val="24"/>
          <w:szCs w:val="24"/>
          <w:vertAlign w:val="superscript"/>
        </w:rPr>
        <w:t xml:space="preserve">5 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tumor cells were harvested and washed twice with FACS buffer.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Then,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tumor cells were stained with 2 μg/mL trastuzumab previously prepared in our lab</w:t>
      </w:r>
      <w:r w:rsidR="005A011E">
        <w:rPr>
          <w:rFonts w:ascii="Cambria" w:hAnsi="Cambria" w:cs="Times New Roman"/>
          <w:sz w:val="24"/>
          <w:szCs w:val="24"/>
        </w:rPr>
        <w:t>oratory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at </w:t>
      </w:r>
      <w:r w:rsidR="005A011E" w:rsidRPr="00691B10">
        <w:rPr>
          <w:rFonts w:ascii="Cambria Math" w:eastAsia="FangSong" w:hAnsi="Cambria Math" w:cs="宋体"/>
          <w:sz w:val="24"/>
          <w:szCs w:val="24"/>
        </w:rPr>
        <w:t>4°C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for 30 min, washed 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twice </w:t>
      </w:r>
      <w:r w:rsidR="005A011E" w:rsidRPr="00691B10">
        <w:rPr>
          <w:rFonts w:ascii="Cambria" w:hAnsi="Cambria" w:cs="Times New Roman"/>
          <w:sz w:val="24"/>
          <w:szCs w:val="24"/>
        </w:rPr>
        <w:t>with FACS buffer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, 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further stained with 0.5 μL </w:t>
      </w:r>
      <w:r w:rsidR="005A011E">
        <w:rPr>
          <w:rFonts w:ascii="Cambria" w:hAnsi="Cambria" w:cs="Times New Roman"/>
          <w:sz w:val="24"/>
          <w:szCs w:val="24"/>
        </w:rPr>
        <w:t xml:space="preserve">of 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PE-conjugated anti-human IgG Fc at </w:t>
      </w:r>
      <w:r w:rsidR="005A011E" w:rsidRPr="00691B10">
        <w:rPr>
          <w:rFonts w:ascii="Cambria Math" w:eastAsia="FangSong" w:hAnsi="Cambria Math" w:cs="宋体"/>
          <w:sz w:val="24"/>
          <w:szCs w:val="24"/>
        </w:rPr>
        <w:t>4°C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for 30 min, washed 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twice 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with FACS buffer, and resuspended in FACS buffer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to detect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HER2.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Tumor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cells stained with PE-conjugated anti-human IgG Fc served as 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a </w:t>
      </w:r>
      <w:r w:rsidR="005A011E" w:rsidRPr="00691B10">
        <w:rPr>
          <w:rFonts w:ascii="Cambria" w:hAnsi="Cambria" w:cs="Times New Roman"/>
          <w:sz w:val="24"/>
          <w:szCs w:val="24"/>
        </w:rPr>
        <w:t>blank control. Similarly, 5×10</w:t>
      </w:r>
      <w:r w:rsidR="005A011E" w:rsidRPr="00691B10">
        <w:rPr>
          <w:rFonts w:ascii="Cambria" w:hAnsi="Cambria" w:cs="Times New Roman"/>
          <w:sz w:val="24"/>
          <w:szCs w:val="24"/>
          <w:vertAlign w:val="superscript"/>
        </w:rPr>
        <w:t>5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tumor cells were harvested and washed twice with FACS buffer, stained with 0.5 μL of APC/Cy7-conjugated mouse anti-human CD19 or APC-conjugated mouse anti-human PD-L1 at </w:t>
      </w:r>
      <w:r w:rsidR="005A011E" w:rsidRPr="00691B10">
        <w:rPr>
          <w:rFonts w:ascii="Cambria Math" w:eastAsia="FangSong" w:hAnsi="Cambria Math" w:cs="宋体"/>
          <w:sz w:val="24"/>
          <w:szCs w:val="24"/>
        </w:rPr>
        <w:t>4°C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for 30 min, washed twice with FACS buffer, and then resuspended in FACS buffer for assessment. The unstained tumor cells served as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 a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blank control.</w:t>
      </w:r>
    </w:p>
    <w:sectPr w:rsidR="00B473B7" w:rsidRPr="00877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6D1" w:rsidRDefault="00A666D1" w:rsidP="0087725C">
      <w:r>
        <w:separator/>
      </w:r>
    </w:p>
  </w:endnote>
  <w:endnote w:type="continuationSeparator" w:id="0">
    <w:p w:rsidR="00A666D1" w:rsidRDefault="00A666D1" w:rsidP="0087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6D1" w:rsidRDefault="00A666D1" w:rsidP="0087725C">
      <w:r>
        <w:separator/>
      </w:r>
    </w:p>
  </w:footnote>
  <w:footnote w:type="continuationSeparator" w:id="0">
    <w:p w:rsidR="00A666D1" w:rsidRDefault="00A666D1" w:rsidP="00877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1E"/>
    <w:rsid w:val="005A011E"/>
    <w:rsid w:val="0087725C"/>
    <w:rsid w:val="00A666D1"/>
    <w:rsid w:val="00A6696C"/>
    <w:rsid w:val="00B473B7"/>
    <w:rsid w:val="00BB42CE"/>
    <w:rsid w:val="00F25010"/>
    <w:rsid w:val="00F3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93CB2"/>
  <w15:chartTrackingRefBased/>
  <w15:docId w15:val="{BFD6D16B-9F34-4BDC-ADD4-3743FF01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Courier New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11E"/>
    <w:pPr>
      <w:widowControl w:val="0"/>
      <w:jc w:val="both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725C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7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725C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2020-07-02T11:45:00Z</dcterms:created>
  <dcterms:modified xsi:type="dcterms:W3CDTF">2020-07-07T09:26:00Z</dcterms:modified>
</cp:coreProperties>
</file>