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EC1" w:rsidRDefault="00A43EC1" w:rsidP="00EE5035">
      <w:pPr>
        <w:spacing w:line="360" w:lineRule="auto"/>
        <w:rPr>
          <w:rFonts w:ascii="Cambria" w:hAnsi="Cambria"/>
          <w:b/>
          <w:bCs/>
          <w:sz w:val="24"/>
          <w:szCs w:val="24"/>
        </w:rPr>
      </w:pPr>
      <w:r w:rsidRPr="00A43EC1">
        <w:rPr>
          <w:rFonts w:ascii="Cambria" w:hAnsi="Cambria"/>
          <w:b/>
          <w:bCs/>
          <w:noProof/>
          <w:sz w:val="24"/>
          <w:szCs w:val="24"/>
        </w:rPr>
        <w:drawing>
          <wp:inline distT="0" distB="0" distL="0" distR="0">
            <wp:extent cx="5168106" cy="3238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5" t="8668" r="17108" b="14276"/>
                    <a:stretch/>
                  </pic:blipFill>
                  <pic:spPr bwMode="auto">
                    <a:xfrm>
                      <a:off x="0" y="0"/>
                      <a:ext cx="5168635" cy="323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B7" w:rsidRPr="00EE5035" w:rsidRDefault="00A43EC1" w:rsidP="00EE5035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Additional file 3: </w:t>
      </w:r>
      <w:r w:rsidR="005A011E" w:rsidRPr="00691B10">
        <w:rPr>
          <w:rFonts w:ascii="Cambria" w:hAnsi="Cambria"/>
          <w:b/>
          <w:bCs/>
          <w:sz w:val="24"/>
          <w:szCs w:val="24"/>
        </w:rPr>
        <w:t>Fig</w:t>
      </w:r>
      <w:r w:rsidR="00EE5035">
        <w:rPr>
          <w:rFonts w:ascii="Cambria" w:hAnsi="Cambria"/>
          <w:b/>
          <w:bCs/>
          <w:sz w:val="24"/>
          <w:szCs w:val="24"/>
        </w:rPr>
        <w:t>ure</w:t>
      </w:r>
      <w:r w:rsidR="005A011E" w:rsidRPr="00691B10">
        <w:rPr>
          <w:rFonts w:ascii="Cambria" w:hAnsi="Cambria"/>
          <w:b/>
          <w:bCs/>
          <w:sz w:val="24"/>
          <w:szCs w:val="24"/>
        </w:rPr>
        <w:t xml:space="preserve"> S3</w:t>
      </w:r>
      <w:r>
        <w:rPr>
          <w:rFonts w:ascii="Cambria" w:hAnsi="Cambria"/>
          <w:b/>
          <w:bCs/>
          <w:sz w:val="24"/>
          <w:szCs w:val="24"/>
        </w:rPr>
        <w:t>.</w:t>
      </w:r>
      <w:bookmarkStart w:id="0" w:name="_GoBack"/>
      <w:bookmarkEnd w:id="0"/>
      <w:r w:rsidR="005A011E" w:rsidRPr="00691B10">
        <w:rPr>
          <w:rFonts w:ascii="Cambria" w:hAnsi="Cambria"/>
          <w:sz w:val="24"/>
          <w:szCs w:val="24"/>
        </w:rPr>
        <w:t xml:space="preserve"> The surface expression of </w:t>
      </w:r>
      <w:r w:rsidR="005A011E">
        <w:rPr>
          <w:rFonts w:ascii="Cambria" w:hAnsi="Cambria"/>
          <w:sz w:val="24"/>
          <w:szCs w:val="24"/>
        </w:rPr>
        <w:t xml:space="preserve">the </w:t>
      </w:r>
      <w:r w:rsidR="005A011E" w:rsidRPr="00691B10">
        <w:rPr>
          <w:rFonts w:ascii="Cambria" w:hAnsi="Cambria"/>
          <w:sz w:val="24"/>
          <w:szCs w:val="24"/>
        </w:rPr>
        <w:t xml:space="preserve">HER2 CAR and PD-L1 CCR on T cells. </w:t>
      </w:r>
      <w:r w:rsidR="005A011E" w:rsidRPr="00691B10">
        <w:rPr>
          <w:rFonts w:ascii="Cambria" w:hAnsi="Cambria"/>
          <w:b/>
          <w:bCs/>
          <w:sz w:val="24"/>
          <w:szCs w:val="24"/>
        </w:rPr>
        <w:t>a</w:t>
      </w:r>
      <w:r w:rsidR="005A011E" w:rsidRPr="00691B10">
        <w:rPr>
          <w:rFonts w:ascii="Cambria" w:hAnsi="Cambria"/>
          <w:sz w:val="24"/>
          <w:szCs w:val="24"/>
        </w:rPr>
        <w:t xml:space="preserve"> Schematic representation of </w:t>
      </w:r>
      <w:r w:rsidR="005A011E">
        <w:rPr>
          <w:rFonts w:ascii="Cambria" w:hAnsi="Cambria"/>
          <w:sz w:val="24"/>
          <w:szCs w:val="24"/>
        </w:rPr>
        <w:t xml:space="preserve">the </w:t>
      </w:r>
      <w:r w:rsidR="005A011E" w:rsidRPr="00691B10">
        <w:rPr>
          <w:rFonts w:ascii="Cambria" w:hAnsi="Cambria"/>
          <w:sz w:val="24"/>
          <w:szCs w:val="24"/>
        </w:rPr>
        <w:t xml:space="preserve">HER2 CAR and PD-L1 CCR constructs. The HER2 CAR (HER2-z) was generated by using the first generation of </w:t>
      </w:r>
      <w:r w:rsidR="005A011E">
        <w:rPr>
          <w:rFonts w:ascii="Cambria" w:hAnsi="Cambria"/>
          <w:sz w:val="24"/>
          <w:szCs w:val="24"/>
        </w:rPr>
        <w:t xml:space="preserve">the </w:t>
      </w:r>
      <w:r w:rsidR="005A011E" w:rsidRPr="00691B10">
        <w:rPr>
          <w:rFonts w:ascii="Cambria" w:hAnsi="Cambria"/>
          <w:sz w:val="24"/>
          <w:szCs w:val="24"/>
        </w:rPr>
        <w:t xml:space="preserve">CAR that fuses </w:t>
      </w:r>
      <w:r w:rsidR="005A011E">
        <w:rPr>
          <w:rFonts w:ascii="Cambria" w:hAnsi="Cambria"/>
          <w:sz w:val="24"/>
          <w:szCs w:val="24"/>
        </w:rPr>
        <w:t xml:space="preserve">the </w:t>
      </w:r>
      <w:r w:rsidR="005A011E" w:rsidRPr="00691B10">
        <w:rPr>
          <w:rFonts w:ascii="Cambria" w:hAnsi="Cambria"/>
          <w:sz w:val="24"/>
          <w:szCs w:val="24"/>
        </w:rPr>
        <w:t xml:space="preserve">HER2-specific scFv to the human CD8 hinger and transmembrane domain, followed by 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the </w:t>
      </w:r>
      <w:r w:rsidR="005A011E" w:rsidRPr="00691B10">
        <w:rPr>
          <w:rFonts w:ascii="Cambria" w:hAnsi="Cambria"/>
          <w:sz w:val="24"/>
          <w:szCs w:val="24"/>
        </w:rPr>
        <w:t xml:space="preserve">CD3ζ </w:t>
      </w:r>
      <w:r w:rsidR="005A011E" w:rsidRPr="00691B10">
        <w:rPr>
          <w:rFonts w:ascii="Cambria" w:hAnsi="Cambria" w:hint="eastAsia"/>
          <w:sz w:val="24"/>
          <w:szCs w:val="24"/>
        </w:rPr>
        <w:t>c</w:t>
      </w:r>
      <w:r w:rsidR="005A011E" w:rsidRPr="00691B10">
        <w:rPr>
          <w:rFonts w:ascii="Cambria" w:hAnsi="Cambria"/>
          <w:sz w:val="24"/>
          <w:szCs w:val="24"/>
        </w:rPr>
        <w:t xml:space="preserve">ytosolic signaling domain. HER2-z-PD-L1-28 was generated by linking HER2-z to the PD-L1 CCR, which was generated by fusing a humanized PD-L1-binding scFv to </w:t>
      </w:r>
      <w:r w:rsidR="005A011E">
        <w:rPr>
          <w:rFonts w:ascii="Cambria" w:hAnsi="Cambria"/>
          <w:sz w:val="24"/>
          <w:szCs w:val="24"/>
        </w:rPr>
        <w:t xml:space="preserve">the </w:t>
      </w:r>
      <w:r w:rsidR="005A011E" w:rsidRPr="00691B10">
        <w:rPr>
          <w:rFonts w:ascii="Cambria" w:hAnsi="Cambria"/>
          <w:sz w:val="24"/>
          <w:szCs w:val="24"/>
        </w:rPr>
        <w:t xml:space="preserve">hinger, transmembrane and intracellular signaling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domains</w:t>
      </w:r>
      <w:r w:rsidR="005A011E" w:rsidRPr="00691B10">
        <w:rPr>
          <w:rFonts w:ascii="Cambria" w:hAnsi="Cambria"/>
          <w:sz w:val="24"/>
          <w:szCs w:val="24"/>
        </w:rPr>
        <w:t xml:space="preserve"> of human CD28, </w:t>
      </w:r>
      <w:r w:rsidR="005A011E">
        <w:rPr>
          <w:rFonts w:ascii="Cambria" w:hAnsi="Cambria"/>
          <w:sz w:val="24"/>
          <w:szCs w:val="24"/>
        </w:rPr>
        <w:t xml:space="preserve">followed </w:t>
      </w:r>
      <w:r w:rsidR="005A011E" w:rsidRPr="00691B10">
        <w:rPr>
          <w:rFonts w:ascii="Cambria" w:hAnsi="Cambria"/>
          <w:sz w:val="24"/>
          <w:szCs w:val="24"/>
        </w:rPr>
        <w:t xml:space="preserve">by the self-cleaving T2A peptide sequence. </w:t>
      </w:r>
      <w:r w:rsidR="005A011E" w:rsidRPr="00691B10">
        <w:rPr>
          <w:rFonts w:ascii="Cambria" w:hAnsi="Cambria"/>
          <w:b/>
          <w:bCs/>
          <w:sz w:val="24"/>
          <w:szCs w:val="24"/>
        </w:rPr>
        <w:t>b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 A total of </w:t>
      </w:r>
      <w:r w:rsidR="005A011E" w:rsidRPr="00691B10">
        <w:rPr>
          <w:rFonts w:ascii="Cambria" w:hAnsi="Cambria" w:cs="Times New Roman"/>
          <w:sz w:val="24"/>
          <w:szCs w:val="24"/>
        </w:rPr>
        <w:t>5×10</w:t>
      </w:r>
      <w:r w:rsidR="005A011E" w:rsidRPr="00691B10">
        <w:rPr>
          <w:rFonts w:ascii="Cambria" w:hAnsi="Cambria" w:cs="Times New Roman"/>
          <w:sz w:val="24"/>
          <w:szCs w:val="24"/>
          <w:vertAlign w:val="superscript"/>
        </w:rPr>
        <w:t>5</w:t>
      </w:r>
      <w:r w:rsidR="005A011E" w:rsidRPr="00691B10">
        <w:rPr>
          <w:rFonts w:ascii="Cambria" w:hAnsi="Cambria"/>
          <w:sz w:val="24"/>
          <w:szCs w:val="24"/>
        </w:rPr>
        <w:t xml:space="preserve"> T cells were harvested and washed twice with FACS buffer,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 </w:t>
      </w:r>
      <w:r w:rsidR="005A011E" w:rsidRPr="00691B10">
        <w:rPr>
          <w:rFonts w:ascii="Cambria" w:hAnsi="Cambria"/>
          <w:sz w:val="24"/>
          <w:szCs w:val="24"/>
        </w:rPr>
        <w:t>stained with 0.5 μL of Alexa Fluor 647</w:t>
      </w:r>
      <w:r w:rsidR="005A011E" w:rsidRPr="00691B10">
        <w:rPr>
          <w:rFonts w:ascii="Cambria" w:hAnsi="Cambria" w:hint="eastAsia"/>
          <w:sz w:val="24"/>
          <w:szCs w:val="24"/>
        </w:rPr>
        <w:t>-</w:t>
      </w:r>
      <w:r w:rsidR="005A011E" w:rsidRPr="00691B10">
        <w:rPr>
          <w:rFonts w:ascii="Cambria" w:hAnsi="Cambria"/>
          <w:sz w:val="24"/>
          <w:szCs w:val="24"/>
        </w:rPr>
        <w:t xml:space="preserve">conjugated </w:t>
      </w:r>
      <w:r w:rsidR="005A011E" w:rsidRPr="00691B10">
        <w:rPr>
          <w:rFonts w:ascii="Cambria" w:hAnsi="Cambria" w:hint="eastAsia"/>
          <w:sz w:val="24"/>
          <w:szCs w:val="24"/>
        </w:rPr>
        <w:t>anti-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Myc tag and 0.5 μL of PE-conjugated anti-DYKDDDDK at </w:t>
      </w:r>
      <w:r w:rsidR="005A011E" w:rsidRPr="00691B10">
        <w:rPr>
          <w:rFonts w:ascii="Cambria Math" w:eastAsia="FangSong" w:hAnsi="Cambria Math" w:cs="宋体"/>
          <w:sz w:val="24"/>
          <w:szCs w:val="24"/>
        </w:rPr>
        <w:t>4°C</w:t>
      </w:r>
      <w:r w:rsidR="005A011E" w:rsidRPr="00691B10">
        <w:rPr>
          <w:rFonts w:ascii="Cambria" w:hAnsi="Cambria"/>
          <w:sz w:val="24"/>
          <w:szCs w:val="24"/>
        </w:rPr>
        <w:t xml:space="preserve"> for 30 min, washed twice with FACS buffer, and resuspended in FACS buffer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to detect</w:t>
      </w:r>
      <w:r w:rsidR="005A011E" w:rsidRPr="00691B10">
        <w:rPr>
          <w:rFonts w:ascii="Cambria" w:hAnsi="Cambria"/>
          <w:sz w:val="24"/>
          <w:szCs w:val="24"/>
        </w:rPr>
        <w:t xml:space="preserve"> </w:t>
      </w:r>
      <w:r w:rsidR="005A011E">
        <w:rPr>
          <w:rFonts w:ascii="Cambria" w:hAnsi="Cambria"/>
          <w:sz w:val="24"/>
          <w:szCs w:val="24"/>
        </w:rPr>
        <w:t xml:space="preserve">the </w:t>
      </w:r>
      <w:r w:rsidR="005A011E" w:rsidRPr="00691B10">
        <w:rPr>
          <w:rFonts w:ascii="Cambria" w:hAnsi="Cambria"/>
          <w:sz w:val="24"/>
          <w:szCs w:val="24"/>
        </w:rPr>
        <w:t>HER2 CAR and PD-L1 CCR</w:t>
      </w:r>
      <w:r w:rsidR="005A011E" w:rsidRPr="00691B10">
        <w:rPr>
          <w:rFonts w:ascii="Cambria" w:eastAsia="宋体" w:hAnsi="Cambria" w:cs="Times New Roman"/>
          <w:sz w:val="24"/>
          <w:szCs w:val="24"/>
        </w:rPr>
        <w:t>. The percentage</w:t>
      </w:r>
      <w:r w:rsidR="005A011E" w:rsidRPr="00691B10">
        <w:rPr>
          <w:rFonts w:ascii="Cambria" w:hAnsi="Cambria"/>
          <w:sz w:val="24"/>
          <w:szCs w:val="24"/>
        </w:rPr>
        <w:t xml:space="preserve"> of positive cells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was</w:t>
      </w:r>
      <w:r w:rsidR="005A011E" w:rsidRPr="00691B10">
        <w:rPr>
          <w:rFonts w:ascii="Cambria" w:hAnsi="Cambria"/>
          <w:sz w:val="24"/>
          <w:szCs w:val="24"/>
        </w:rPr>
        <w:t xml:space="preserve"> quantified in the upper right quadrant of each 2D flow cytometry contour diagram.</w:t>
      </w:r>
    </w:p>
    <w:sectPr w:rsidR="00B473B7" w:rsidRPr="00EE5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164" w:rsidRDefault="000D7164" w:rsidP="00EE5035">
      <w:r>
        <w:separator/>
      </w:r>
    </w:p>
  </w:endnote>
  <w:endnote w:type="continuationSeparator" w:id="0">
    <w:p w:rsidR="000D7164" w:rsidRDefault="000D7164" w:rsidP="00EE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164" w:rsidRDefault="000D7164" w:rsidP="00EE5035">
      <w:r>
        <w:separator/>
      </w:r>
    </w:p>
  </w:footnote>
  <w:footnote w:type="continuationSeparator" w:id="0">
    <w:p w:rsidR="000D7164" w:rsidRDefault="000D7164" w:rsidP="00EE5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1E"/>
    <w:rsid w:val="000D7164"/>
    <w:rsid w:val="005A011E"/>
    <w:rsid w:val="00A43EC1"/>
    <w:rsid w:val="00A6696C"/>
    <w:rsid w:val="00A756FB"/>
    <w:rsid w:val="00B473B7"/>
    <w:rsid w:val="00EE5035"/>
    <w:rsid w:val="00F3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0A403"/>
  <w15:chartTrackingRefBased/>
  <w15:docId w15:val="{BFD6D16B-9F34-4BDC-ADD4-3743FF01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Courier New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11E"/>
    <w:pPr>
      <w:widowControl w:val="0"/>
      <w:jc w:val="both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5035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5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5035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2020-07-02T11:45:00Z</dcterms:created>
  <dcterms:modified xsi:type="dcterms:W3CDTF">2020-07-07T09:28:00Z</dcterms:modified>
</cp:coreProperties>
</file>