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E0" w:rsidRDefault="00A711E0" w:rsidP="00A711E0">
      <w:pPr>
        <w:spacing w:line="36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A711E0">
        <w:rPr>
          <w:rFonts w:ascii="Cambria" w:hAnsi="Cambria"/>
          <w:b/>
          <w:bCs/>
          <w:noProof/>
          <w:sz w:val="24"/>
          <w:szCs w:val="24"/>
        </w:rPr>
        <w:drawing>
          <wp:inline distT="0" distB="0" distL="0" distR="0">
            <wp:extent cx="4158532" cy="298141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69" t="14997" r="23989" b="16437"/>
                    <a:stretch/>
                  </pic:blipFill>
                  <pic:spPr bwMode="auto">
                    <a:xfrm>
                      <a:off x="0" y="0"/>
                      <a:ext cx="4165083" cy="298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011E" w:rsidRPr="00691B10" w:rsidRDefault="00A711E0" w:rsidP="005A011E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Additional file 5: </w:t>
      </w:r>
      <w:r w:rsidR="005A011E" w:rsidRPr="00691B10">
        <w:rPr>
          <w:rFonts w:ascii="Cambria" w:hAnsi="Cambria"/>
          <w:b/>
          <w:bCs/>
          <w:sz w:val="24"/>
          <w:szCs w:val="24"/>
        </w:rPr>
        <w:t>Fig</w:t>
      </w:r>
      <w:r w:rsidR="00B9670B">
        <w:rPr>
          <w:rFonts w:ascii="Cambria" w:hAnsi="Cambria"/>
          <w:b/>
          <w:bCs/>
          <w:sz w:val="24"/>
          <w:szCs w:val="24"/>
        </w:rPr>
        <w:t>ure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 S5</w:t>
      </w:r>
      <w:r>
        <w:rPr>
          <w:rFonts w:ascii="Cambria" w:hAnsi="Cambria"/>
          <w:b/>
          <w:bCs/>
          <w:sz w:val="24"/>
          <w:szCs w:val="24"/>
        </w:rPr>
        <w:t>.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 </w:t>
      </w:r>
      <w:r w:rsidR="005A011E" w:rsidRPr="00691B10">
        <w:rPr>
          <w:rFonts w:ascii="Cambria" w:hAnsi="Cambria"/>
          <w:sz w:val="24"/>
          <w:szCs w:val="24"/>
        </w:rPr>
        <w:t xml:space="preserve">Therapeutic efficacy of PD-L1 CCR-engineered CD19 CAR-T cells </w:t>
      </w:r>
      <w:r w:rsidR="005A011E" w:rsidRPr="00691B10">
        <w:rPr>
          <w:rFonts w:ascii="Cambria" w:hAnsi="Cambria"/>
          <w:i/>
          <w:iCs/>
          <w:sz w:val="24"/>
          <w:szCs w:val="24"/>
        </w:rPr>
        <w:t>in vivo</w:t>
      </w:r>
      <w:r w:rsidR="005A011E" w:rsidRPr="00691B10">
        <w:rPr>
          <w:rFonts w:ascii="Cambria" w:hAnsi="Cambria"/>
          <w:sz w:val="24"/>
          <w:szCs w:val="24"/>
        </w:rPr>
        <w:t>.</w:t>
      </w:r>
      <w:r w:rsidR="005A011E" w:rsidRPr="00691B10">
        <w:rPr>
          <w:rFonts w:ascii="Cambria" w:hAnsi="Cambria"/>
          <w:b/>
          <w:bCs/>
          <w:sz w:val="24"/>
          <w:szCs w:val="24"/>
        </w:rPr>
        <w:t xml:space="preserve"> a</w:t>
      </w:r>
      <w:r w:rsidR="005A011E" w:rsidRPr="00691B10">
        <w:rPr>
          <w:rFonts w:ascii="Cambria" w:hAnsi="Cambria"/>
          <w:sz w:val="24"/>
          <w:szCs w:val="24"/>
        </w:rPr>
        <w:t xml:space="preserve"> Schematic diagram of the </w:t>
      </w:r>
      <w:r w:rsidR="005A011E" w:rsidRPr="00691B10">
        <w:rPr>
          <w:rFonts w:ascii="Cambria" w:eastAsia="宋体" w:hAnsi="Cambria" w:cs="Times New Roman"/>
          <w:sz w:val="24"/>
          <w:szCs w:val="24"/>
        </w:rPr>
        <w:t>mouse</w:t>
      </w:r>
      <w:r w:rsidR="005A011E" w:rsidRPr="00691B10">
        <w:rPr>
          <w:rFonts w:ascii="Cambria" w:hAnsi="Cambria"/>
          <w:sz w:val="24"/>
          <w:szCs w:val="24"/>
        </w:rPr>
        <w:t xml:space="preserve"> treatment strategy. 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A total of </w:t>
      </w:r>
      <w:r w:rsidR="005A011E" w:rsidRPr="00691B10">
        <w:rPr>
          <w:rFonts w:ascii="Cambria" w:hAnsi="Cambria"/>
          <w:sz w:val="24"/>
          <w:szCs w:val="24"/>
        </w:rPr>
        <w:t>5</w:t>
      </w:r>
      <w:r w:rsidR="005A011E" w:rsidRPr="00691B10">
        <w:rPr>
          <w:rFonts w:ascii="Cambria Math" w:hAnsi="Cambria Math"/>
          <w:sz w:val="24"/>
          <w:szCs w:val="24"/>
        </w:rPr>
        <w:t>×</w:t>
      </w:r>
      <w:r w:rsidR="005A011E" w:rsidRPr="00691B10">
        <w:rPr>
          <w:rFonts w:ascii="Cambria" w:hAnsi="Cambria" w:hint="eastAsia"/>
          <w:sz w:val="24"/>
          <w:szCs w:val="24"/>
        </w:rPr>
        <w:t>1</w:t>
      </w:r>
      <w:r w:rsidR="005A011E" w:rsidRPr="00691B10">
        <w:rPr>
          <w:rFonts w:ascii="Cambria" w:hAnsi="Cambria"/>
          <w:sz w:val="24"/>
          <w:szCs w:val="24"/>
        </w:rPr>
        <w:t>0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6</w:t>
      </w:r>
      <w:r w:rsidR="005A011E" w:rsidRPr="00691B10">
        <w:rPr>
          <w:rFonts w:ascii="Cambria" w:hAnsi="Cambria"/>
          <w:sz w:val="24"/>
          <w:szCs w:val="24"/>
        </w:rPr>
        <w:t xml:space="preserve"> CD19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+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and</w:t>
      </w:r>
      <w:r w:rsidR="005A011E" w:rsidRPr="00691B10">
        <w:rPr>
          <w:rFonts w:ascii="Cambria" w:hAnsi="Cambria"/>
          <w:sz w:val="24"/>
          <w:szCs w:val="24"/>
        </w:rPr>
        <w:t xml:space="preserve"> 5</w:t>
      </w:r>
      <w:r w:rsidR="005A011E" w:rsidRPr="00691B10">
        <w:rPr>
          <w:rFonts w:ascii="Cambria Math" w:hAnsi="Cambria Math"/>
          <w:sz w:val="24"/>
          <w:szCs w:val="24"/>
        </w:rPr>
        <w:t>×</w:t>
      </w:r>
      <w:r w:rsidR="005A011E" w:rsidRPr="00691B10">
        <w:rPr>
          <w:rFonts w:ascii="Cambria" w:hAnsi="Cambria" w:hint="eastAsia"/>
          <w:sz w:val="24"/>
          <w:szCs w:val="24"/>
        </w:rPr>
        <w:t>1</w:t>
      </w:r>
      <w:r w:rsidR="005A011E" w:rsidRPr="00691B10">
        <w:rPr>
          <w:rFonts w:ascii="Cambria" w:hAnsi="Cambria"/>
          <w:sz w:val="24"/>
          <w:szCs w:val="24"/>
        </w:rPr>
        <w:t>0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 xml:space="preserve">6 </w:t>
      </w:r>
      <w:r w:rsidR="005A011E" w:rsidRPr="00691B10">
        <w:rPr>
          <w:rFonts w:ascii="Cambria" w:hAnsi="Cambria"/>
          <w:sz w:val="24"/>
          <w:szCs w:val="24"/>
        </w:rPr>
        <w:t>CD19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+</w:t>
      </w:r>
      <w:r w:rsidR="005A011E" w:rsidRPr="00691B10">
        <w:rPr>
          <w:rFonts w:ascii="Cambria" w:hAnsi="Cambria"/>
          <w:sz w:val="24"/>
          <w:szCs w:val="24"/>
        </w:rPr>
        <w:t>PD-L1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+</w:t>
      </w:r>
      <w:r w:rsidR="005A011E" w:rsidRPr="00691B10">
        <w:rPr>
          <w:rFonts w:ascii="Cambria" w:hAnsi="Cambria"/>
          <w:sz w:val="24"/>
          <w:szCs w:val="24"/>
        </w:rPr>
        <w:t xml:space="preserve"> A549 tumor cells were injected subcutaneously into the same right flank of B-NDG mice.</w:t>
      </w:r>
      <w:r w:rsidR="005A011E" w:rsidRPr="00691B10">
        <w:rPr>
          <w:rFonts w:ascii="Cambria" w:eastAsia="宋体" w:hAnsi="Cambria" w:cs="Times New Roman"/>
          <w:sz w:val="24"/>
          <w:szCs w:val="24"/>
        </w:rPr>
        <w:t xml:space="preserve"> A total of </w:t>
      </w:r>
      <w:r w:rsidR="005A011E" w:rsidRPr="00691B10">
        <w:rPr>
          <w:rFonts w:ascii="Cambria" w:hAnsi="Cambria"/>
          <w:sz w:val="24"/>
          <w:szCs w:val="24"/>
        </w:rPr>
        <w:t>2</w:t>
      </w:r>
      <w:r w:rsidR="005A011E" w:rsidRPr="00691B10">
        <w:rPr>
          <w:rFonts w:ascii="Cambria Math" w:hAnsi="Cambria Math"/>
          <w:sz w:val="24"/>
          <w:szCs w:val="24"/>
        </w:rPr>
        <w:t>×</w:t>
      </w:r>
      <w:r w:rsidR="005A011E" w:rsidRPr="00691B10">
        <w:rPr>
          <w:rFonts w:ascii="Cambria" w:hAnsi="Cambria" w:hint="eastAsia"/>
          <w:sz w:val="24"/>
          <w:szCs w:val="24"/>
        </w:rPr>
        <w:t>1</w:t>
      </w:r>
      <w:r w:rsidR="005A011E" w:rsidRPr="00691B10">
        <w:rPr>
          <w:rFonts w:ascii="Cambria" w:hAnsi="Cambria"/>
          <w:sz w:val="24"/>
          <w:szCs w:val="24"/>
        </w:rPr>
        <w:t>0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 xml:space="preserve">6 </w:t>
      </w:r>
      <w:r w:rsidR="005A011E" w:rsidRPr="00691B10">
        <w:rPr>
          <w:rFonts w:ascii="Cambria" w:hAnsi="Cambria"/>
          <w:sz w:val="24"/>
          <w:szCs w:val="24"/>
        </w:rPr>
        <w:t>CD4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+</w:t>
      </w:r>
      <w:r w:rsidR="005A011E" w:rsidRPr="00691B10">
        <w:rPr>
          <w:rFonts w:ascii="Cambria" w:hAnsi="Cambria"/>
          <w:sz w:val="24"/>
          <w:szCs w:val="24"/>
        </w:rPr>
        <w:t xml:space="preserve"> and 2</w:t>
      </w:r>
      <w:r w:rsidR="005A011E" w:rsidRPr="00691B10">
        <w:rPr>
          <w:rFonts w:ascii="Cambria Math" w:hAnsi="Cambria Math"/>
          <w:sz w:val="24"/>
          <w:szCs w:val="24"/>
        </w:rPr>
        <w:t>×</w:t>
      </w:r>
      <w:r w:rsidR="005A011E" w:rsidRPr="00691B10">
        <w:rPr>
          <w:rFonts w:ascii="Cambria" w:hAnsi="Cambria" w:hint="eastAsia"/>
          <w:sz w:val="24"/>
          <w:szCs w:val="24"/>
        </w:rPr>
        <w:t>1</w:t>
      </w:r>
      <w:r w:rsidR="005A011E" w:rsidRPr="00691B10">
        <w:rPr>
          <w:rFonts w:ascii="Cambria" w:hAnsi="Cambria"/>
          <w:sz w:val="24"/>
          <w:szCs w:val="24"/>
        </w:rPr>
        <w:t>0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 xml:space="preserve">6 </w:t>
      </w:r>
      <w:r w:rsidR="005A011E" w:rsidRPr="00691B10">
        <w:rPr>
          <w:rFonts w:ascii="Cambria" w:hAnsi="Cambria"/>
          <w:sz w:val="24"/>
          <w:szCs w:val="24"/>
        </w:rPr>
        <w:t>CD8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+</w:t>
      </w:r>
      <w:r w:rsidR="005A011E" w:rsidRPr="00691B10">
        <w:rPr>
          <w:rFonts w:ascii="Cambria" w:hAnsi="Cambria"/>
          <w:sz w:val="24"/>
          <w:szCs w:val="24"/>
        </w:rPr>
        <w:t xml:space="preserve"> T cells expressing CD19-z or CD19-z-PD-L1-28 were injected intravenously into these tumor-bearing mice. Tumor volume was monitored over </w:t>
      </w:r>
      <w:r w:rsidR="00DA37F2">
        <w:rPr>
          <w:rFonts w:ascii="Cambria" w:hAnsi="Cambria"/>
          <w:sz w:val="24"/>
          <w:szCs w:val="24"/>
        </w:rPr>
        <w:t>2</w:t>
      </w:r>
      <w:r w:rsidR="005A011E" w:rsidRPr="00691B10">
        <w:rPr>
          <w:rFonts w:ascii="Cambria" w:hAnsi="Cambria"/>
          <w:sz w:val="24"/>
          <w:szCs w:val="24"/>
        </w:rPr>
        <w:t>5 days after intravenous injection of engineered T cells or untransduced</w:t>
      </w:r>
      <w:bookmarkStart w:id="0" w:name="_GoBack"/>
      <w:bookmarkEnd w:id="0"/>
      <w:r w:rsidR="005A011E" w:rsidRPr="00691B10">
        <w:rPr>
          <w:rFonts w:ascii="Cambria" w:hAnsi="Cambria"/>
          <w:sz w:val="24"/>
          <w:szCs w:val="24"/>
        </w:rPr>
        <w:t xml:space="preserve"> T cells (control T cells). </w:t>
      </w:r>
      <w:r w:rsidR="005A011E" w:rsidRPr="00691B10">
        <w:rPr>
          <w:rFonts w:ascii="Cambria" w:hAnsi="Cambria"/>
          <w:b/>
          <w:bCs/>
          <w:sz w:val="24"/>
          <w:szCs w:val="24"/>
        </w:rPr>
        <w:t>b-c</w:t>
      </w:r>
      <w:r w:rsidR="005A011E" w:rsidRPr="00691B10">
        <w:rPr>
          <w:rFonts w:ascii="Cambria" w:hAnsi="Cambria"/>
          <w:sz w:val="24"/>
          <w:szCs w:val="24"/>
        </w:rPr>
        <w:t xml:space="preserve"> Graphs presenting CD19</w:t>
      </w:r>
      <w:r w:rsidR="005A011E" w:rsidRPr="00691B10">
        <w:rPr>
          <w:rFonts w:ascii="Cambria" w:hAnsi="Cambria" w:hint="eastAsia"/>
          <w:sz w:val="24"/>
          <w:szCs w:val="24"/>
          <w:vertAlign w:val="superscript"/>
        </w:rPr>
        <w:t>+</w:t>
      </w:r>
      <w:r w:rsidR="005A011E" w:rsidRPr="00691B10">
        <w:rPr>
          <w:rFonts w:ascii="Cambria" w:hAnsi="Cambria"/>
          <w:sz w:val="24"/>
          <w:szCs w:val="24"/>
        </w:rPr>
        <w:t xml:space="preserve"> (</w:t>
      </w:r>
      <w:r w:rsidR="005A011E" w:rsidRPr="00691B10">
        <w:rPr>
          <w:rFonts w:ascii="Cambria" w:hAnsi="Cambria"/>
          <w:b/>
          <w:bCs/>
          <w:sz w:val="24"/>
          <w:szCs w:val="24"/>
        </w:rPr>
        <w:t>b</w:t>
      </w:r>
      <w:r w:rsidR="005A011E" w:rsidRPr="00691B10">
        <w:rPr>
          <w:rFonts w:ascii="Cambria" w:hAnsi="Cambria"/>
          <w:sz w:val="24"/>
          <w:szCs w:val="24"/>
        </w:rPr>
        <w:t>) and CD19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>+</w:t>
      </w:r>
      <w:r w:rsidR="005A011E" w:rsidRPr="00691B10">
        <w:rPr>
          <w:rFonts w:ascii="Cambria" w:hAnsi="Cambria"/>
          <w:sz w:val="24"/>
          <w:szCs w:val="24"/>
        </w:rPr>
        <w:t>PD-L1</w:t>
      </w:r>
      <w:r w:rsidR="005A011E" w:rsidRPr="00691B10">
        <w:rPr>
          <w:rFonts w:ascii="Cambria" w:hAnsi="Cambria"/>
          <w:sz w:val="24"/>
          <w:szCs w:val="24"/>
          <w:vertAlign w:val="superscript"/>
        </w:rPr>
        <w:t xml:space="preserve">+ </w:t>
      </w:r>
      <w:r w:rsidR="005A011E" w:rsidRPr="00691B10">
        <w:rPr>
          <w:rFonts w:ascii="Cambria" w:hAnsi="Cambria" w:hint="eastAsia"/>
          <w:sz w:val="24"/>
          <w:szCs w:val="24"/>
        </w:rPr>
        <w:t>(</w:t>
      </w:r>
      <w:r w:rsidR="005A011E" w:rsidRPr="00691B10">
        <w:rPr>
          <w:rFonts w:ascii="Cambria" w:hAnsi="Cambria"/>
          <w:b/>
          <w:bCs/>
          <w:sz w:val="24"/>
          <w:szCs w:val="24"/>
        </w:rPr>
        <w:t>c</w:t>
      </w:r>
      <w:r w:rsidR="005A011E" w:rsidRPr="00691B10">
        <w:rPr>
          <w:rFonts w:ascii="Cambria" w:hAnsi="Cambria"/>
          <w:sz w:val="24"/>
          <w:szCs w:val="24"/>
        </w:rPr>
        <w:t>) tumor volumes for mice treated with PBS, untransduced T cells, CD19-z</w:t>
      </w:r>
      <w:r w:rsidR="005A011E">
        <w:rPr>
          <w:rFonts w:ascii="Cambria" w:hAnsi="Cambria"/>
          <w:sz w:val="24"/>
          <w:szCs w:val="24"/>
        </w:rPr>
        <w:t>-expressing T cells</w:t>
      </w:r>
      <w:r w:rsidR="005A011E" w:rsidRPr="00691B10">
        <w:rPr>
          <w:rFonts w:ascii="Cambria" w:hAnsi="Cambria"/>
          <w:sz w:val="24"/>
          <w:szCs w:val="24"/>
        </w:rPr>
        <w:t xml:space="preserve"> and CD19-z-PD-L1-28-engineered T cells</w:t>
      </w:r>
      <w:r w:rsidR="005A011E" w:rsidRPr="00691B10">
        <w:rPr>
          <w:rFonts w:ascii="Cambria" w:eastAsia="宋体" w:hAnsi="Cambria" w:cs="Times New Roman"/>
          <w:sz w:val="24"/>
          <w:szCs w:val="24"/>
        </w:rPr>
        <w:t>.</w:t>
      </w:r>
    </w:p>
    <w:p w:rsidR="00B473B7" w:rsidRPr="005A011E" w:rsidRDefault="00B473B7"/>
    <w:sectPr w:rsidR="00B473B7" w:rsidRPr="005A0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084" w:rsidRDefault="00533084" w:rsidP="00B9670B">
      <w:r>
        <w:separator/>
      </w:r>
    </w:p>
  </w:endnote>
  <w:endnote w:type="continuationSeparator" w:id="0">
    <w:p w:rsidR="00533084" w:rsidRDefault="00533084" w:rsidP="00B96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084" w:rsidRDefault="00533084" w:rsidP="00B9670B">
      <w:r>
        <w:separator/>
      </w:r>
    </w:p>
  </w:footnote>
  <w:footnote w:type="continuationSeparator" w:id="0">
    <w:p w:rsidR="00533084" w:rsidRDefault="00533084" w:rsidP="00B967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1E"/>
    <w:rsid w:val="00533084"/>
    <w:rsid w:val="005A011E"/>
    <w:rsid w:val="0098277E"/>
    <w:rsid w:val="00A6696C"/>
    <w:rsid w:val="00A711E0"/>
    <w:rsid w:val="00B473B7"/>
    <w:rsid w:val="00B9670B"/>
    <w:rsid w:val="00C1147B"/>
    <w:rsid w:val="00DA37F2"/>
    <w:rsid w:val="00EB6D18"/>
    <w:rsid w:val="00F15257"/>
    <w:rsid w:val="00F312F0"/>
    <w:rsid w:val="00F6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D6D16B-9F34-4BDC-ADD4-3743FF01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Courier New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1E"/>
    <w:pPr>
      <w:widowControl w:val="0"/>
      <w:jc w:val="both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670B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6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670B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2020-07-02T11:45:00Z</dcterms:created>
  <dcterms:modified xsi:type="dcterms:W3CDTF">2020-07-07T09:46:00Z</dcterms:modified>
</cp:coreProperties>
</file>