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EDBDEE" w14:textId="662213D8" w:rsidR="00857AD9" w:rsidRDefault="00857AD9" w:rsidP="00C2524E">
      <w:pPr>
        <w:spacing w:line="480" w:lineRule="auto"/>
        <w:jc w:val="center"/>
        <w:rPr>
          <w:rFonts w:ascii="Arial" w:hAnsi="Arial" w:cs="Arial"/>
          <w:b/>
        </w:rPr>
      </w:pPr>
      <w:r w:rsidRPr="00AC65E0">
        <w:rPr>
          <w:rFonts w:ascii="Arial" w:hAnsi="Arial" w:cs="Arial"/>
          <w:b/>
        </w:rPr>
        <w:t>SUPPLEMENTA</w:t>
      </w:r>
      <w:r w:rsidR="00204050">
        <w:rPr>
          <w:rFonts w:ascii="Arial" w:hAnsi="Arial" w:cs="Arial"/>
          <w:b/>
        </w:rPr>
        <w:t>RY INFORMATION</w:t>
      </w:r>
    </w:p>
    <w:p w14:paraId="6019326C" w14:textId="77777777" w:rsidR="00C2524E" w:rsidRDefault="00C2524E" w:rsidP="00C2524E">
      <w:pPr>
        <w:spacing w:line="480" w:lineRule="auto"/>
        <w:rPr>
          <w:rFonts w:ascii="Arial" w:hAnsi="Arial" w:cs="Arial"/>
          <w:b/>
        </w:rPr>
      </w:pPr>
    </w:p>
    <w:p w14:paraId="2E9BFC60" w14:textId="5CEFB9C9" w:rsidR="00857AD9" w:rsidRPr="00AC65E0" w:rsidRDefault="00857AD9" w:rsidP="00857AD9">
      <w:pPr>
        <w:spacing w:line="480" w:lineRule="auto"/>
        <w:jc w:val="both"/>
        <w:rPr>
          <w:rFonts w:ascii="Arial" w:hAnsi="Arial" w:cs="Arial"/>
          <w:b/>
        </w:rPr>
      </w:pPr>
      <w:r>
        <w:rPr>
          <w:rFonts w:ascii="Arial" w:hAnsi="Arial" w:cs="Arial"/>
          <w:b/>
        </w:rPr>
        <w:t>SUPPLEMENTA</w:t>
      </w:r>
      <w:r w:rsidR="00204050">
        <w:rPr>
          <w:rFonts w:ascii="Arial" w:hAnsi="Arial" w:cs="Arial"/>
          <w:b/>
        </w:rPr>
        <w:t>RY</w:t>
      </w:r>
      <w:r>
        <w:rPr>
          <w:rFonts w:ascii="Arial" w:hAnsi="Arial" w:cs="Arial"/>
          <w:b/>
        </w:rPr>
        <w:t xml:space="preserve"> METHODS</w:t>
      </w:r>
    </w:p>
    <w:p w14:paraId="312DA918" w14:textId="77777777" w:rsidR="00857AD9" w:rsidRPr="00AC65E0" w:rsidRDefault="00857AD9" w:rsidP="00857AD9">
      <w:pPr>
        <w:spacing w:line="480" w:lineRule="auto"/>
        <w:jc w:val="both"/>
        <w:rPr>
          <w:rFonts w:ascii="Arial" w:hAnsi="Arial" w:cs="Arial"/>
          <w:b/>
        </w:rPr>
      </w:pPr>
      <w:r w:rsidRPr="00AC65E0">
        <w:rPr>
          <w:rFonts w:ascii="Arial" w:hAnsi="Arial" w:cs="Arial"/>
          <w:b/>
        </w:rPr>
        <w:t>P</w:t>
      </w:r>
      <w:r>
        <w:rPr>
          <w:rFonts w:ascii="Arial" w:hAnsi="Arial" w:cs="Arial"/>
          <w:b/>
        </w:rPr>
        <w:t>rimary</w:t>
      </w:r>
      <w:r w:rsidRPr="00AC65E0">
        <w:rPr>
          <w:rFonts w:ascii="Arial" w:hAnsi="Arial" w:cs="Arial"/>
          <w:b/>
        </w:rPr>
        <w:t xml:space="preserve"> samples</w:t>
      </w:r>
    </w:p>
    <w:p w14:paraId="3FBCDCBA" w14:textId="3BE0C8EE" w:rsidR="00857AD9" w:rsidRDefault="00857AD9" w:rsidP="00857AD9">
      <w:pPr>
        <w:spacing w:line="480" w:lineRule="auto"/>
        <w:jc w:val="both"/>
        <w:rPr>
          <w:rFonts w:ascii="Arial" w:hAnsi="Arial" w:cs="Arial"/>
        </w:rPr>
      </w:pPr>
      <w:r w:rsidRPr="00AC65E0">
        <w:rPr>
          <w:rFonts w:ascii="Arial" w:hAnsi="Arial" w:cs="Arial"/>
        </w:rPr>
        <w:t>PBMCs were isolated from whole blood by Ficoll-Paque Plus (GE Healthcare</w:t>
      </w:r>
      <w:r w:rsidR="00204050">
        <w:rPr>
          <w:rFonts w:ascii="Arial" w:hAnsi="Arial" w:cs="Arial"/>
        </w:rPr>
        <w:t>, Chicago, IL, USA</w:t>
      </w:r>
      <w:r w:rsidRPr="00AC65E0">
        <w:rPr>
          <w:rFonts w:ascii="Arial" w:hAnsi="Arial" w:cs="Arial"/>
        </w:rPr>
        <w:t>) density gradient and cryopreserved in R</w:t>
      </w:r>
      <w:r w:rsidR="005544CA">
        <w:rPr>
          <w:rFonts w:ascii="Arial" w:hAnsi="Arial" w:cs="Arial"/>
        </w:rPr>
        <w:t>PMI-1640 medium (Biowest</w:t>
      </w:r>
      <w:r w:rsidR="00204050">
        <w:rPr>
          <w:rFonts w:ascii="Arial" w:hAnsi="Arial" w:cs="Arial"/>
        </w:rPr>
        <w:t xml:space="preserve">, </w:t>
      </w:r>
      <w:r w:rsidR="0004429F">
        <w:rPr>
          <w:rFonts w:ascii="Arial" w:hAnsi="Arial" w:cs="Arial"/>
        </w:rPr>
        <w:t>Nuaillé, France</w:t>
      </w:r>
      <w:r w:rsidR="005544CA">
        <w:rPr>
          <w:rFonts w:ascii="Arial" w:hAnsi="Arial" w:cs="Arial"/>
        </w:rPr>
        <w:t>) with 1</w:t>
      </w:r>
      <w:r w:rsidRPr="00AC65E0">
        <w:rPr>
          <w:rFonts w:ascii="Arial" w:hAnsi="Arial" w:cs="Arial"/>
        </w:rPr>
        <w:t>0% dimeth</w:t>
      </w:r>
      <w:r w:rsidR="005544CA">
        <w:rPr>
          <w:rFonts w:ascii="Arial" w:hAnsi="Arial" w:cs="Arial"/>
        </w:rPr>
        <w:t>yl sulfoxide (DMSO, Sigma</w:t>
      </w:r>
      <w:r w:rsidR="0004429F">
        <w:rPr>
          <w:rFonts w:ascii="Arial" w:hAnsi="Arial" w:cs="Arial"/>
        </w:rPr>
        <w:t>-Aldrich, St. Louis, MO, USA</w:t>
      </w:r>
      <w:r w:rsidR="005544CA">
        <w:rPr>
          <w:rFonts w:ascii="Arial" w:hAnsi="Arial" w:cs="Arial"/>
        </w:rPr>
        <w:t>) and 1</w:t>
      </w:r>
      <w:r w:rsidRPr="00AC65E0">
        <w:rPr>
          <w:rFonts w:ascii="Arial" w:hAnsi="Arial" w:cs="Arial"/>
        </w:rPr>
        <w:t>0% heat-inactivated fetal bovine serum (FBS, Gibco</w:t>
      </w:r>
      <w:r w:rsidR="0004429F" w:rsidRPr="000372C5">
        <w:rPr>
          <w:rFonts w:ascii="Arial" w:hAnsi="Arial" w:cs="Arial"/>
          <w:vertAlign w:val="superscript"/>
        </w:rPr>
        <w:t>TM</w:t>
      </w:r>
      <w:r w:rsidR="0004429F">
        <w:rPr>
          <w:rFonts w:ascii="Arial" w:hAnsi="Arial" w:cs="Arial"/>
        </w:rPr>
        <w:t xml:space="preserve">, </w:t>
      </w:r>
      <w:r w:rsidR="000372C5">
        <w:rPr>
          <w:rFonts w:ascii="Arial" w:hAnsi="Arial" w:cs="Arial"/>
        </w:rPr>
        <w:t xml:space="preserve">ThermoFisher Scientific, </w:t>
      </w:r>
      <w:r w:rsidR="0004429F">
        <w:rPr>
          <w:rFonts w:ascii="Arial" w:hAnsi="Arial" w:cs="Arial"/>
        </w:rPr>
        <w:t>Waltham, MA, USA</w:t>
      </w:r>
      <w:r w:rsidRPr="00AC65E0">
        <w:rPr>
          <w:rFonts w:ascii="Arial" w:hAnsi="Arial" w:cs="Arial"/>
        </w:rPr>
        <w:t>).</w:t>
      </w:r>
      <w:r w:rsidR="001C2E42">
        <w:rPr>
          <w:rFonts w:ascii="Arial" w:hAnsi="Arial" w:cs="Arial"/>
        </w:rPr>
        <w:t xml:space="preserve"> </w:t>
      </w:r>
      <w:r w:rsidR="001C2E42" w:rsidRPr="00044527">
        <w:rPr>
          <w:rFonts w:ascii="Arial" w:hAnsi="Arial" w:cs="Arial"/>
        </w:rPr>
        <w:t>Simultaneously, granulocytes were isolated by sedimentation with 2%</w:t>
      </w:r>
      <w:r w:rsidR="001C2E42">
        <w:rPr>
          <w:rFonts w:ascii="Arial" w:hAnsi="Arial" w:cs="Arial"/>
        </w:rPr>
        <w:t xml:space="preserve"> </w:t>
      </w:r>
      <w:r w:rsidR="001C2E42" w:rsidRPr="00044527">
        <w:rPr>
          <w:rFonts w:ascii="Arial" w:hAnsi="Arial" w:cs="Arial"/>
        </w:rPr>
        <w:t>dextran (Sigma</w:t>
      </w:r>
      <w:r w:rsidR="0004429F">
        <w:rPr>
          <w:rFonts w:ascii="Arial" w:hAnsi="Arial" w:cs="Arial"/>
        </w:rPr>
        <w:t>-Aldrich</w:t>
      </w:r>
      <w:r w:rsidR="001C2E42" w:rsidRPr="00044527">
        <w:rPr>
          <w:rFonts w:ascii="Arial" w:hAnsi="Arial" w:cs="Arial"/>
        </w:rPr>
        <w:t>)</w:t>
      </w:r>
      <w:r w:rsidR="001C2E42">
        <w:rPr>
          <w:rFonts w:ascii="Arial" w:hAnsi="Arial" w:cs="Arial"/>
        </w:rPr>
        <w:t>.</w:t>
      </w:r>
    </w:p>
    <w:p w14:paraId="4B6CB1B2" w14:textId="77777777" w:rsidR="00857AD9" w:rsidRPr="00B9105D" w:rsidRDefault="00857AD9" w:rsidP="00857AD9">
      <w:pPr>
        <w:spacing w:line="480" w:lineRule="auto"/>
        <w:jc w:val="both"/>
        <w:rPr>
          <w:rFonts w:ascii="Arial" w:eastAsia="Calibri" w:hAnsi="Arial" w:cs="Arial"/>
          <w:b/>
        </w:rPr>
      </w:pPr>
      <w:r>
        <w:rPr>
          <w:rFonts w:ascii="Arial" w:eastAsia="Calibri" w:hAnsi="Arial" w:cs="Arial"/>
          <w:b/>
        </w:rPr>
        <w:t>Isolation of B and T lymphocytes</w:t>
      </w:r>
    </w:p>
    <w:p w14:paraId="23E9E99C" w14:textId="261D67A5" w:rsidR="00857AD9" w:rsidRDefault="00857AD9" w:rsidP="00857AD9">
      <w:pPr>
        <w:spacing w:line="480" w:lineRule="auto"/>
        <w:jc w:val="both"/>
        <w:rPr>
          <w:rFonts w:ascii="Arial" w:eastAsia="Calibri" w:hAnsi="Arial" w:cs="Arial"/>
        </w:rPr>
      </w:pPr>
      <w:r w:rsidRPr="00B9105D">
        <w:rPr>
          <w:rFonts w:ascii="Arial" w:eastAsia="Calibri" w:hAnsi="Arial" w:cs="Arial"/>
        </w:rPr>
        <w:t xml:space="preserve">B-CLL and T-CLL cells were </w:t>
      </w:r>
      <w:r>
        <w:rPr>
          <w:rFonts w:ascii="Arial" w:eastAsia="Calibri" w:hAnsi="Arial" w:cs="Arial"/>
        </w:rPr>
        <w:t xml:space="preserve">immunomagnetically isolated </w:t>
      </w:r>
      <w:r w:rsidRPr="00B9105D">
        <w:rPr>
          <w:rFonts w:ascii="Arial" w:eastAsia="Calibri" w:hAnsi="Arial" w:cs="Arial"/>
        </w:rPr>
        <w:t>using the EasySep</w:t>
      </w:r>
      <w:r w:rsidRPr="00B9105D">
        <w:rPr>
          <w:rFonts w:ascii="Arial" w:eastAsia="Calibri" w:hAnsi="Arial" w:cs="Arial"/>
          <w:vertAlign w:val="superscript"/>
        </w:rPr>
        <w:t>TM</w:t>
      </w:r>
      <w:r w:rsidRPr="00B9105D">
        <w:rPr>
          <w:rFonts w:ascii="Arial" w:eastAsia="Calibri" w:hAnsi="Arial" w:cs="Arial"/>
        </w:rPr>
        <w:t xml:space="preserve"> Human B cell Enrichment Kit without CD43 Depletion and the EasySep</w:t>
      </w:r>
      <w:r w:rsidRPr="00B9105D">
        <w:rPr>
          <w:rFonts w:ascii="Arial" w:eastAsia="Calibri" w:hAnsi="Arial" w:cs="Arial"/>
          <w:vertAlign w:val="superscript"/>
        </w:rPr>
        <w:t>TM</w:t>
      </w:r>
      <w:r w:rsidRPr="00B9105D">
        <w:rPr>
          <w:rFonts w:ascii="Arial" w:eastAsia="Calibri" w:hAnsi="Arial" w:cs="Arial"/>
        </w:rPr>
        <w:t xml:space="preserve"> Human T cell Isolation Kit (StemCell</w:t>
      </w:r>
      <w:r w:rsidR="0004429F">
        <w:rPr>
          <w:rFonts w:ascii="Arial" w:eastAsia="Calibri" w:hAnsi="Arial" w:cs="Arial"/>
        </w:rPr>
        <w:t>, Vancouver, Canada</w:t>
      </w:r>
      <w:r w:rsidRPr="00B9105D">
        <w:rPr>
          <w:rFonts w:ascii="Arial" w:eastAsia="Calibri" w:hAnsi="Arial" w:cs="Arial"/>
        </w:rPr>
        <w:t>)</w:t>
      </w:r>
      <w:r w:rsidR="00B41DDA">
        <w:rPr>
          <w:rFonts w:ascii="Arial" w:eastAsia="Calibri" w:hAnsi="Arial" w:cs="Arial"/>
        </w:rPr>
        <w:t xml:space="preserve"> respectively</w:t>
      </w:r>
      <w:r w:rsidRPr="00B9105D">
        <w:rPr>
          <w:rFonts w:ascii="Arial" w:eastAsia="Calibri" w:hAnsi="Arial" w:cs="Arial"/>
        </w:rPr>
        <w:t>. The purity of isolated cells was &gt;9</w:t>
      </w:r>
      <w:r>
        <w:rPr>
          <w:rFonts w:ascii="Arial" w:eastAsia="Calibri" w:hAnsi="Arial" w:cs="Arial"/>
        </w:rPr>
        <w:t>0</w:t>
      </w:r>
      <w:r w:rsidRPr="00B9105D">
        <w:rPr>
          <w:rFonts w:ascii="Arial" w:eastAsia="Calibri" w:hAnsi="Arial" w:cs="Arial"/>
        </w:rPr>
        <w:t>% CD19</w:t>
      </w:r>
      <w:r w:rsidRPr="00B9105D">
        <w:rPr>
          <w:rFonts w:ascii="Arial" w:eastAsia="Calibri" w:hAnsi="Arial" w:cs="Arial"/>
          <w:vertAlign w:val="superscript"/>
        </w:rPr>
        <w:t>+</w:t>
      </w:r>
      <w:r>
        <w:rPr>
          <w:rFonts w:ascii="Arial" w:eastAsia="Calibri" w:hAnsi="Arial" w:cs="Arial"/>
        </w:rPr>
        <w:t>CD5</w:t>
      </w:r>
      <w:r w:rsidRPr="00E21251">
        <w:rPr>
          <w:rFonts w:ascii="Arial" w:eastAsia="Calibri" w:hAnsi="Arial" w:cs="Arial"/>
          <w:vertAlign w:val="superscript"/>
        </w:rPr>
        <w:t>+</w:t>
      </w:r>
      <w:r w:rsidRPr="00B9105D">
        <w:rPr>
          <w:rFonts w:ascii="Arial" w:eastAsia="Calibri" w:hAnsi="Arial" w:cs="Arial"/>
        </w:rPr>
        <w:t xml:space="preserve"> and &gt;85% CD3</w:t>
      </w:r>
      <w:r w:rsidRPr="00B9105D">
        <w:rPr>
          <w:rFonts w:ascii="Arial" w:eastAsia="Calibri" w:hAnsi="Arial" w:cs="Arial"/>
          <w:vertAlign w:val="superscript"/>
        </w:rPr>
        <w:t>+</w:t>
      </w:r>
      <w:r>
        <w:rPr>
          <w:rFonts w:ascii="Arial" w:eastAsia="Calibri" w:hAnsi="Arial" w:cs="Arial"/>
        </w:rPr>
        <w:t xml:space="preserve"> </w:t>
      </w:r>
      <w:r w:rsidRPr="00B9105D">
        <w:rPr>
          <w:rFonts w:ascii="Arial" w:eastAsia="Calibri" w:hAnsi="Arial" w:cs="Arial"/>
        </w:rPr>
        <w:t>as assessed by flow cytometry.</w:t>
      </w:r>
    </w:p>
    <w:p w14:paraId="59FB7887" w14:textId="6B7ADDAB" w:rsidR="001C2E42" w:rsidRPr="00B167A8" w:rsidRDefault="001C2E42" w:rsidP="001C2E42">
      <w:pPr>
        <w:spacing w:line="480" w:lineRule="auto"/>
        <w:jc w:val="both"/>
        <w:rPr>
          <w:rFonts w:ascii="Arial" w:hAnsi="Arial" w:cs="Arial"/>
          <w:b/>
        </w:rPr>
      </w:pPr>
      <w:r w:rsidRPr="00B167A8">
        <w:rPr>
          <w:rFonts w:ascii="Arial" w:hAnsi="Arial" w:cs="Arial"/>
          <w:b/>
        </w:rPr>
        <w:t>DNA and RNA preparation</w:t>
      </w:r>
      <w:r w:rsidR="007B607B">
        <w:rPr>
          <w:rFonts w:ascii="Arial" w:hAnsi="Arial" w:cs="Arial"/>
          <w:b/>
        </w:rPr>
        <w:t xml:space="preserve"> for WES and RNA-Seq</w:t>
      </w:r>
    </w:p>
    <w:p w14:paraId="1222BEB9" w14:textId="10F88131" w:rsidR="001C2E42" w:rsidRPr="00AC65E0" w:rsidRDefault="00B41DDA" w:rsidP="00857AD9">
      <w:pPr>
        <w:spacing w:line="480" w:lineRule="auto"/>
        <w:jc w:val="both"/>
        <w:rPr>
          <w:rFonts w:ascii="Arial" w:hAnsi="Arial" w:cs="Arial"/>
        </w:rPr>
      </w:pPr>
      <w:r>
        <w:rPr>
          <w:rFonts w:ascii="Arial" w:hAnsi="Arial" w:cs="Arial"/>
        </w:rPr>
        <w:t xml:space="preserve">Genomic </w:t>
      </w:r>
      <w:r w:rsidR="00863581">
        <w:rPr>
          <w:rFonts w:ascii="Arial" w:hAnsi="Arial" w:cs="Arial"/>
        </w:rPr>
        <w:t>DNA was extracted from isolated</w:t>
      </w:r>
      <w:r w:rsidR="00E4038D">
        <w:rPr>
          <w:rFonts w:ascii="Arial" w:hAnsi="Arial" w:cs="Arial"/>
        </w:rPr>
        <w:t xml:space="preserve"> B-CLL cells and T cells</w:t>
      </w:r>
      <w:r w:rsidR="001C2E42">
        <w:rPr>
          <w:rFonts w:ascii="Arial" w:hAnsi="Arial" w:cs="Arial"/>
        </w:rPr>
        <w:t xml:space="preserve"> or granulocytes </w:t>
      </w:r>
      <w:r>
        <w:rPr>
          <w:rFonts w:ascii="Arial" w:hAnsi="Arial" w:cs="Arial"/>
        </w:rPr>
        <w:t xml:space="preserve">as </w:t>
      </w:r>
      <w:r w:rsidR="001C2E42">
        <w:rPr>
          <w:rFonts w:ascii="Arial" w:hAnsi="Arial" w:cs="Arial"/>
        </w:rPr>
        <w:t>germline controls</w:t>
      </w:r>
      <w:r w:rsidR="001C2E42" w:rsidRPr="00755174">
        <w:rPr>
          <w:rFonts w:ascii="Arial" w:hAnsi="Arial" w:cs="Arial"/>
        </w:rPr>
        <w:t xml:space="preserve"> </w:t>
      </w:r>
      <w:r w:rsidR="001C2E42" w:rsidRPr="00B167A8">
        <w:rPr>
          <w:rFonts w:ascii="Arial" w:hAnsi="Arial" w:cs="Arial"/>
        </w:rPr>
        <w:t>using the AllPrep DNA/RNA (Qiagen</w:t>
      </w:r>
      <w:r w:rsidR="0004429F">
        <w:rPr>
          <w:rFonts w:ascii="Arial" w:hAnsi="Arial" w:cs="Arial"/>
        </w:rPr>
        <w:t>, Hilden, Germany</w:t>
      </w:r>
      <w:r w:rsidR="001C2E42" w:rsidRPr="00B167A8">
        <w:rPr>
          <w:rFonts w:ascii="Arial" w:hAnsi="Arial" w:cs="Arial"/>
        </w:rPr>
        <w:t>)</w:t>
      </w:r>
      <w:r>
        <w:rPr>
          <w:rFonts w:ascii="Arial" w:hAnsi="Arial" w:cs="Arial"/>
        </w:rPr>
        <w:t xml:space="preserve"> Kit</w:t>
      </w:r>
      <w:r w:rsidR="001C2E42">
        <w:rPr>
          <w:rFonts w:ascii="Arial" w:hAnsi="Arial" w:cs="Arial"/>
        </w:rPr>
        <w:t xml:space="preserve">. </w:t>
      </w:r>
      <w:r w:rsidR="001C2E42" w:rsidRPr="00B167A8">
        <w:rPr>
          <w:rFonts w:ascii="Arial" w:hAnsi="Arial" w:cs="Arial"/>
        </w:rPr>
        <w:t>RNA w</w:t>
      </w:r>
      <w:r w:rsidR="001C2E42">
        <w:rPr>
          <w:rFonts w:ascii="Arial" w:hAnsi="Arial" w:cs="Arial"/>
        </w:rPr>
        <w:t>as also</w:t>
      </w:r>
      <w:r w:rsidR="001C2E42" w:rsidRPr="00B167A8">
        <w:rPr>
          <w:rFonts w:ascii="Arial" w:hAnsi="Arial" w:cs="Arial"/>
        </w:rPr>
        <w:t xml:space="preserve"> extracted from </w:t>
      </w:r>
      <w:r w:rsidR="00863581">
        <w:rPr>
          <w:rFonts w:ascii="Arial" w:hAnsi="Arial" w:cs="Arial"/>
        </w:rPr>
        <w:t>isolated</w:t>
      </w:r>
      <w:r w:rsidR="001C2E42">
        <w:rPr>
          <w:rFonts w:ascii="Arial" w:hAnsi="Arial" w:cs="Arial"/>
        </w:rPr>
        <w:t xml:space="preserve"> </w:t>
      </w:r>
      <w:r w:rsidR="001C2E42" w:rsidRPr="00B167A8">
        <w:rPr>
          <w:rFonts w:ascii="Arial" w:hAnsi="Arial" w:cs="Arial"/>
        </w:rPr>
        <w:t>T-CLL cells.</w:t>
      </w:r>
      <w:r w:rsidR="001C2E42">
        <w:rPr>
          <w:rFonts w:ascii="Arial" w:hAnsi="Arial" w:cs="Arial"/>
        </w:rPr>
        <w:t xml:space="preserve"> </w:t>
      </w:r>
    </w:p>
    <w:p w14:paraId="5FB3C762" w14:textId="1FF2D319" w:rsidR="00857AD9" w:rsidRDefault="00857AD9" w:rsidP="00857AD9">
      <w:pPr>
        <w:spacing w:line="480" w:lineRule="auto"/>
        <w:jc w:val="both"/>
        <w:rPr>
          <w:rFonts w:ascii="Arial" w:hAnsi="Arial" w:cs="Arial"/>
          <w:b/>
        </w:rPr>
      </w:pPr>
      <w:r w:rsidRPr="00AC65E0">
        <w:rPr>
          <w:rFonts w:ascii="Arial" w:hAnsi="Arial" w:cs="Arial"/>
          <w:b/>
        </w:rPr>
        <w:t>WES and data processing</w:t>
      </w:r>
    </w:p>
    <w:p w14:paraId="0EF4DFE8" w14:textId="23F86ACA" w:rsidR="00857AD9" w:rsidRDefault="00857AD9" w:rsidP="00857AD9">
      <w:pPr>
        <w:spacing w:line="480" w:lineRule="auto"/>
        <w:jc w:val="both"/>
        <w:rPr>
          <w:rFonts w:ascii="Arial" w:hAnsi="Arial" w:cs="Arial"/>
        </w:rPr>
      </w:pPr>
      <w:r w:rsidRPr="00AC65E0">
        <w:rPr>
          <w:rFonts w:ascii="Arial" w:hAnsi="Arial" w:cs="Arial"/>
          <w:i/>
        </w:rPr>
        <w:t xml:space="preserve">Sample preparation and sequencing: </w:t>
      </w:r>
      <w:r w:rsidR="00045BE0" w:rsidRPr="00B167A8">
        <w:rPr>
          <w:rFonts w:ascii="Arial" w:hAnsi="Arial" w:cs="Arial"/>
        </w:rPr>
        <w:t xml:space="preserve">200ng of </w:t>
      </w:r>
      <w:r w:rsidR="00045BE0">
        <w:rPr>
          <w:rFonts w:ascii="Arial" w:hAnsi="Arial" w:cs="Arial"/>
        </w:rPr>
        <w:t>tumor</w:t>
      </w:r>
      <w:r w:rsidR="00045BE0" w:rsidRPr="00B167A8">
        <w:rPr>
          <w:rFonts w:ascii="Arial" w:hAnsi="Arial" w:cs="Arial"/>
        </w:rPr>
        <w:t xml:space="preserve"> </w:t>
      </w:r>
      <w:r w:rsidR="00045BE0">
        <w:rPr>
          <w:rFonts w:ascii="Arial" w:hAnsi="Arial" w:cs="Arial"/>
        </w:rPr>
        <w:t xml:space="preserve">or germline </w:t>
      </w:r>
      <w:r w:rsidR="00226C70">
        <w:rPr>
          <w:rFonts w:ascii="Arial" w:hAnsi="Arial" w:cs="Arial"/>
        </w:rPr>
        <w:t xml:space="preserve">(T cells or granulocytes) </w:t>
      </w:r>
      <w:r w:rsidR="00045BE0">
        <w:rPr>
          <w:rFonts w:ascii="Arial" w:hAnsi="Arial" w:cs="Arial"/>
        </w:rPr>
        <w:t xml:space="preserve">DNA </w:t>
      </w:r>
      <w:r w:rsidR="00045BE0" w:rsidRPr="00B167A8">
        <w:rPr>
          <w:rFonts w:ascii="Arial" w:hAnsi="Arial" w:cs="Arial"/>
        </w:rPr>
        <w:t xml:space="preserve">were used </w:t>
      </w:r>
      <w:r w:rsidR="00045BE0">
        <w:rPr>
          <w:rFonts w:ascii="Arial" w:hAnsi="Arial" w:cs="Arial"/>
        </w:rPr>
        <w:t xml:space="preserve">for </w:t>
      </w:r>
      <w:r w:rsidR="00045BE0" w:rsidRPr="00B167A8">
        <w:rPr>
          <w:rFonts w:ascii="Arial" w:hAnsi="Arial" w:cs="Arial"/>
        </w:rPr>
        <w:t>SureSe</w:t>
      </w:r>
      <w:r w:rsidR="00045BE0">
        <w:rPr>
          <w:rFonts w:ascii="Arial" w:hAnsi="Arial" w:cs="Arial"/>
        </w:rPr>
        <w:t xml:space="preserve">lect Human All Exon V5 (Agilent </w:t>
      </w:r>
      <w:r w:rsidR="00045BE0" w:rsidRPr="00B167A8">
        <w:rPr>
          <w:rFonts w:ascii="Arial" w:hAnsi="Arial" w:cs="Arial"/>
        </w:rPr>
        <w:t>Technologies</w:t>
      </w:r>
      <w:r w:rsidR="0004429F">
        <w:rPr>
          <w:rFonts w:ascii="Arial" w:hAnsi="Arial" w:cs="Arial"/>
        </w:rPr>
        <w:t>, Santa Clara, CA, USA</w:t>
      </w:r>
      <w:r w:rsidR="00045BE0" w:rsidRPr="00B167A8">
        <w:rPr>
          <w:rFonts w:ascii="Arial" w:hAnsi="Arial" w:cs="Arial"/>
        </w:rPr>
        <w:t xml:space="preserve">) whole exome capture-based </w:t>
      </w:r>
      <w:r w:rsidR="00045BE0">
        <w:rPr>
          <w:rFonts w:ascii="Arial" w:hAnsi="Arial" w:cs="Arial"/>
        </w:rPr>
        <w:t xml:space="preserve">library preparation. </w:t>
      </w:r>
      <w:r w:rsidR="00A73BAE">
        <w:rPr>
          <w:rFonts w:ascii="Arial" w:hAnsi="Arial" w:cs="Arial"/>
        </w:rPr>
        <w:t>G</w:t>
      </w:r>
      <w:r w:rsidRPr="00AC65E0">
        <w:rPr>
          <w:rFonts w:ascii="Arial" w:hAnsi="Arial" w:cs="Arial"/>
        </w:rPr>
        <w:t>enomic DNA was sheared on a Covaris E210 and purified/size selected with AMPure XP beads (Beckman Coulter</w:t>
      </w:r>
      <w:r w:rsidR="00D62285">
        <w:rPr>
          <w:rFonts w:ascii="Arial" w:hAnsi="Arial" w:cs="Arial"/>
        </w:rPr>
        <w:t>, Brea, CA, USA</w:t>
      </w:r>
      <w:r w:rsidRPr="00AC65E0">
        <w:rPr>
          <w:rFonts w:ascii="Arial" w:hAnsi="Arial" w:cs="Arial"/>
        </w:rPr>
        <w:t xml:space="preserve">). The sheared DNA was end-repaired, 3´ adenylated </w:t>
      </w:r>
      <w:r w:rsidRPr="00AC65E0">
        <w:rPr>
          <w:rFonts w:ascii="Arial" w:hAnsi="Arial" w:cs="Arial"/>
        </w:rPr>
        <w:lastRenderedPageBreak/>
        <w:t>and ligated to NGS sequencing adapters. The adapter-modified DNA was amplified pre-capture through 10 PCR cycles. The PCR product was quality controlled on the Agilent 2100 Bioanalyzer 7500 chip (Agilent Technologies) to confirm size range (200 to 350bp) and quantity and hybridized for 24h at 65°C. The hybridization mix was washed and the eluate was post-capture PCR amplified (12 cycles) in order to add the index tags. The final library size and concentration were</w:t>
      </w:r>
      <w:r>
        <w:rPr>
          <w:rFonts w:ascii="Arial" w:hAnsi="Arial" w:cs="Arial"/>
        </w:rPr>
        <w:t xml:space="preserve"> </w:t>
      </w:r>
      <w:r w:rsidRPr="00AC65E0">
        <w:rPr>
          <w:rFonts w:ascii="Arial" w:hAnsi="Arial" w:cs="Arial"/>
        </w:rPr>
        <w:t>determined on Agilent 2100 Bioanalyzer 7500 chip. Libraries were sequenced on HiSeq2500 (Illumina</w:t>
      </w:r>
      <w:r w:rsidR="00D62285">
        <w:rPr>
          <w:rFonts w:ascii="Arial" w:hAnsi="Arial" w:cs="Arial"/>
        </w:rPr>
        <w:t>, San Diego, CA, USA</w:t>
      </w:r>
      <w:r w:rsidRPr="00AC65E0">
        <w:rPr>
          <w:rFonts w:ascii="Arial" w:hAnsi="Arial" w:cs="Arial"/>
        </w:rPr>
        <w:t>) using TruSeq SBS Kit v4 (Illumina), following the manufacturer's instructions.</w:t>
      </w:r>
      <w:r w:rsidR="00045BE0" w:rsidRPr="00045BE0">
        <w:rPr>
          <w:rFonts w:ascii="Arial" w:hAnsi="Arial" w:cs="Arial"/>
        </w:rPr>
        <w:t xml:space="preserve"> </w:t>
      </w:r>
      <w:r w:rsidR="00045BE0" w:rsidRPr="00B167A8">
        <w:rPr>
          <w:rFonts w:ascii="Arial" w:hAnsi="Arial" w:cs="Arial"/>
        </w:rPr>
        <w:t>Each sample was sequenced multiple time</w:t>
      </w:r>
      <w:r w:rsidR="00045BE0">
        <w:rPr>
          <w:rFonts w:ascii="Arial" w:hAnsi="Arial" w:cs="Arial"/>
        </w:rPr>
        <w:t>s to achieve 110x mean depth of coverage</w:t>
      </w:r>
      <w:r w:rsidR="00045BE0" w:rsidRPr="00B167A8">
        <w:rPr>
          <w:rFonts w:ascii="Arial" w:hAnsi="Arial" w:cs="Arial"/>
        </w:rPr>
        <w:t>.</w:t>
      </w:r>
    </w:p>
    <w:p w14:paraId="6212D6F0" w14:textId="58B92ED3" w:rsidR="00E4038D" w:rsidRPr="00F25B97" w:rsidRDefault="00857AD9" w:rsidP="00857AD9">
      <w:pPr>
        <w:spacing w:line="480" w:lineRule="auto"/>
        <w:jc w:val="both"/>
        <w:rPr>
          <w:rFonts w:ascii="Arial" w:hAnsi="Arial" w:cs="Arial"/>
        </w:rPr>
      </w:pPr>
      <w:r w:rsidRPr="005F058C">
        <w:rPr>
          <w:rFonts w:ascii="Arial" w:hAnsi="Arial" w:cs="Arial"/>
          <w:i/>
        </w:rPr>
        <w:t>Data analysis:</w:t>
      </w:r>
      <w:r>
        <w:rPr>
          <w:rFonts w:ascii="Arial" w:hAnsi="Arial" w:cs="Arial"/>
        </w:rPr>
        <w:t xml:space="preserve"> </w:t>
      </w:r>
      <w:r w:rsidRPr="005F058C">
        <w:rPr>
          <w:rFonts w:ascii="Arial" w:hAnsi="Arial" w:cs="Arial"/>
        </w:rPr>
        <w:t>raw FASTQ files were evaluated using quality control checks from FastQC (https://www.bioinformatics.babraham.ac.uk/projects/fastqc/) and Trimmomatic</w:t>
      </w:r>
      <w:r w:rsidR="00AF6F02">
        <w:rPr>
          <w:rFonts w:ascii="Arial" w:hAnsi="Arial" w:cs="Arial"/>
        </w:rPr>
        <w:t xml:space="preserve"> </w:t>
      </w:r>
      <w:r>
        <w:rPr>
          <w:rFonts w:ascii="Arial" w:hAnsi="Arial" w:cs="Arial"/>
        </w:rPr>
        <w:fldChar w:fldCharType="begin"/>
      </w:r>
      <w:r w:rsidR="003803CA">
        <w:rPr>
          <w:rFonts w:ascii="Arial" w:hAnsi="Arial" w:cs="Arial"/>
        </w:rPr>
        <w:instrText xml:space="preserve"> ADDIN ZOTERO_ITEM CSL_CITATION {"citationID":"z2IlF8aK","properties":{"formattedCitation":"(1)","plainCitation":"(1)","noteIndex":0},"citationItems":[{"id":264,"uris":["http://zotero.org/users/local/4b5Ga8Uq/items/3XX76G2E"],"uri":["http://zotero.org/users/local/4b5Ga8Uq/items/3XX76G2E"],"itemData":{"id":264,"type":"article-journal","title":"Trimmomatic: a flexible trimmer for Illumina sequence data","container-title":"Bioinformatics (Oxford, England)","page":"2114-2120","volume":"30","issue":"15","source":"PubMed","abstract":"MOTIVATION: Although many next-generation sequencing (NGS) read preprocessing tools already existed, we could not find any tool or combination of tools that met our requirements in terms of flexibility, correct handling of paired-end data and high performance. We have developed Trimmomatic as a more flexible and efficient preprocessing tool, which could correctly handle paired-end data.\nRESULTS: The value of NGS read preprocessing is demonstrated for both reference-based and reference-free tasks. Trimmomatic is shown to produce output that is at least competitive with, and in many cases superior to, that produced by other tools, in all scenarios tested.\nAVAILABILITY AND IMPLEMENTATION: Trimmomatic is licensed under GPL V3. It is cross-platform (Java 1.5+ required) and available at http://www.usadellab.org/cms/index.php?page=trimmomatic\nCONTACT: usadel@bio1.rwth-aachen.de\nSUPPLEMENTARY INFORMATION: Supplementary data are available at Bioinformatics online.","DOI":"10.1093/bioinformatics/btu170","ISSN":"1367-4811","note":"PMID: 24695404\nPMCID: PMC4103590","title-short":"Trimmomatic","journalAbbreviation":"Bioinformatics","language":"eng","author":[{"family":"Bolger","given":"Anthony M."},{"family":"Lohse","given":"Marc"},{"family":"Usadel","given":"Bjoern"}],"issued":{"date-parts":[["2014",8,1]]}}}],"schema":"https://github.com/citation-style-language/schema/raw/master/csl-citation.json"} </w:instrText>
      </w:r>
      <w:r>
        <w:rPr>
          <w:rFonts w:ascii="Arial" w:hAnsi="Arial" w:cs="Arial"/>
        </w:rPr>
        <w:fldChar w:fldCharType="separate"/>
      </w:r>
      <w:r w:rsidR="003803CA" w:rsidRPr="003803CA">
        <w:rPr>
          <w:rFonts w:ascii="Arial" w:hAnsi="Arial" w:cs="Arial"/>
        </w:rPr>
        <w:t>(1)</w:t>
      </w:r>
      <w:r>
        <w:rPr>
          <w:rFonts w:ascii="Arial" w:hAnsi="Arial" w:cs="Arial"/>
        </w:rPr>
        <w:fldChar w:fldCharType="end"/>
      </w:r>
      <w:r w:rsidRPr="005F058C">
        <w:rPr>
          <w:rFonts w:ascii="Arial" w:hAnsi="Arial" w:cs="Arial"/>
        </w:rPr>
        <w:t xml:space="preserve"> was employed to remove low quality bases, adapters and other technical sequences. Then, alignment to the human reference genome (GRCh37/hg19) was done using BWA-mem</w:t>
      </w:r>
      <w:r w:rsidR="00AF6F02">
        <w:rPr>
          <w:rFonts w:ascii="Arial" w:hAnsi="Arial" w:cs="Arial"/>
        </w:rPr>
        <w:t xml:space="preserve"> </w:t>
      </w:r>
      <w:r>
        <w:rPr>
          <w:rFonts w:ascii="Arial" w:hAnsi="Arial" w:cs="Arial"/>
        </w:rPr>
        <w:fldChar w:fldCharType="begin"/>
      </w:r>
      <w:r w:rsidR="003803CA">
        <w:rPr>
          <w:rFonts w:ascii="Arial" w:hAnsi="Arial" w:cs="Arial"/>
        </w:rPr>
        <w:instrText xml:space="preserve"> ADDIN ZOTERO_ITEM CSL_CITATION {"citationID":"NSZYqcH2","properties":{"formattedCitation":"(2)","plainCitation":"(2)","noteIndex":0},"citationItems":[{"id":267,"uris":["http://zotero.org/users/local/4b5Ga8Uq/items/LBK63XC2"],"uri":["http://zotero.org/users/local/4b5Ga8Uq/items/LBK63XC2"],"itemData":{"id":267,"type":"article-journal","title":"Fast and accurate long-read alignment with Burrows-Wheeler transform","container-title":"Bioinformatics (Oxford, England)","page":"589-595","volume":"26","issue":"5","source":"PubMed","abstract":"MOTIVATION: Many programs for aligning short sequencing reads to a reference genome have been developed in the last 2 years. Most of them are very efficient for short reads but inefficient or not applicable for reads &gt;200 bp because the algorithms are heavily and specifically tuned for short queries with low sequencing error rate. However, some sequencing platforms already produce longer reads and others are expected to become available soon. For longer reads, hashing-based software such as BLAT and SSAHA2 remain the only choices. Nonetheless, these methods are substantially slower than short-read aligners in terms of aligned bases per unit time.\nRESULTS: We designed and implemented a new algorithm, Burrows-Wheeler Aligner's Smith-Waterman Alignment (BWA-SW), to align long sequences up to 1 Mb against a large sequence database (e.g. the human genome) with a few gigabytes of memory. The algorithm is as accurate as SSAHA2, more accurate than BLAT, and is several to tens of times faster than both.\nAVAILABILITY: http://bio-bwa.sourceforge.net","DOI":"10.1093/bioinformatics/btp698","ISSN":"1367-4811","note":"PMID: 20080505\nPMCID: PMC2828108","journalAbbreviation":"Bioinformatics","language":"eng","author":[{"family":"Li","given":"Heng"},{"family":"Durbin","given":"Richard"}],"issued":{"date-parts":[["2010",3,1]]}}}],"schema":"https://github.com/citation-style-language/schema/raw/master/csl-citation.json"} </w:instrText>
      </w:r>
      <w:r>
        <w:rPr>
          <w:rFonts w:ascii="Arial" w:hAnsi="Arial" w:cs="Arial"/>
        </w:rPr>
        <w:fldChar w:fldCharType="separate"/>
      </w:r>
      <w:r w:rsidR="003803CA" w:rsidRPr="003803CA">
        <w:rPr>
          <w:rFonts w:ascii="Arial" w:hAnsi="Arial" w:cs="Arial"/>
        </w:rPr>
        <w:t>(2)</w:t>
      </w:r>
      <w:r>
        <w:rPr>
          <w:rFonts w:ascii="Arial" w:hAnsi="Arial" w:cs="Arial"/>
        </w:rPr>
        <w:fldChar w:fldCharType="end"/>
      </w:r>
      <w:r w:rsidR="00D62285">
        <w:rPr>
          <w:rFonts w:ascii="Arial" w:hAnsi="Arial" w:cs="Arial"/>
        </w:rPr>
        <w:t>,</w:t>
      </w:r>
      <w:r w:rsidRPr="005F058C">
        <w:rPr>
          <w:rFonts w:ascii="Arial" w:hAnsi="Arial" w:cs="Arial"/>
        </w:rPr>
        <w:t xml:space="preserve"> generating sorted BAM files with SAMtools</w:t>
      </w:r>
      <w:r w:rsidR="00AF6F02">
        <w:rPr>
          <w:rFonts w:ascii="Arial" w:hAnsi="Arial" w:cs="Arial"/>
        </w:rPr>
        <w:t xml:space="preserve"> </w:t>
      </w:r>
      <w:r>
        <w:rPr>
          <w:rFonts w:ascii="Arial" w:hAnsi="Arial" w:cs="Arial"/>
        </w:rPr>
        <w:fldChar w:fldCharType="begin"/>
      </w:r>
      <w:r w:rsidR="003803CA">
        <w:rPr>
          <w:rFonts w:ascii="Arial" w:hAnsi="Arial" w:cs="Arial"/>
        </w:rPr>
        <w:instrText xml:space="preserve"> ADDIN ZOTERO_ITEM CSL_CITATION {"citationID":"K9dk0YuP","properties":{"formattedCitation":"(3)","plainCitation":"(3)","noteIndex":0},"citationItems":[{"id":270,"uris":["http://zotero.org/users/local/4b5Ga8Uq/items/PHU27AHA"],"uri":["http://zotero.org/users/local/4b5Ga8Uq/items/PHU27AHA"],"itemData":{"id":270,"type":"article-journal","title":"The Sequence Alignment/Map format and SAMtools","container-title":"Bioinformatics (Oxford, England)","page":"2078-2079","volume":"25","issue":"16","source":"PubMed","abstract":"SUMMARY: The Sequence Alignment/Map (SAM) format is a generic alignment format for storing read alignments against reference sequences, supporting short and long reads (up to 128 Mbp) produced by different sequencing platforms. It is flexible in style, compact in size, efficient in random access and is the format in which alignments from the 1000 Genomes Project are released. SAMtools implements various utilities for post-processing alignments in the SAM format, such as indexing, variant caller and alignment viewer, and thus provides universal tools for processing read alignments.\nAVAILABILITY: http://samtools.sourceforge.net.","DOI":"10.1093/bioinformatics/btp352","ISSN":"1367-4811","note":"PMID: 19505943\nPMCID: PMC2723002","journalAbbreviation":"Bioinformatics","language":"eng","author":[{"family":"Li","given":"Heng"},{"family":"Handsaker","given":"Bob"},{"family":"Wysoker","given":"Alec"},{"family":"Fennell","given":"Tim"},{"family":"Ruan","given":"Jue"},{"family":"Homer","given":"Nils"},{"family":"Marth","given":"Gabor"},{"family":"Abecasis","given":"Goncalo"},{"family":"Durbin","given":"Richard"},{"literal":"1000 Genome Project Data Processing Subgroup"}],"issued":{"date-parts":[["2009",8,15]]}}}],"schema":"https://github.com/citation-style-language/schema/raw/master/csl-citation.json"} </w:instrText>
      </w:r>
      <w:r>
        <w:rPr>
          <w:rFonts w:ascii="Arial" w:hAnsi="Arial" w:cs="Arial"/>
        </w:rPr>
        <w:fldChar w:fldCharType="separate"/>
      </w:r>
      <w:r w:rsidR="003803CA" w:rsidRPr="003803CA">
        <w:rPr>
          <w:rFonts w:ascii="Arial" w:hAnsi="Arial" w:cs="Arial"/>
        </w:rPr>
        <w:t>(3)</w:t>
      </w:r>
      <w:r>
        <w:rPr>
          <w:rFonts w:ascii="Arial" w:hAnsi="Arial" w:cs="Arial"/>
        </w:rPr>
        <w:fldChar w:fldCharType="end"/>
      </w:r>
      <w:r w:rsidR="00D62285">
        <w:rPr>
          <w:rFonts w:ascii="Arial" w:hAnsi="Arial" w:cs="Arial"/>
        </w:rPr>
        <w:t>.</w:t>
      </w:r>
      <w:r w:rsidRPr="005F058C">
        <w:rPr>
          <w:rFonts w:ascii="Arial" w:hAnsi="Arial" w:cs="Arial"/>
        </w:rPr>
        <w:t xml:space="preserve"> Optical and PCR duplicates were removed using Sambamba</w:t>
      </w:r>
      <w:r w:rsidR="00AF6F02">
        <w:rPr>
          <w:rFonts w:ascii="Arial" w:hAnsi="Arial" w:cs="Arial"/>
        </w:rPr>
        <w:t xml:space="preserve"> </w:t>
      </w:r>
      <w:r>
        <w:rPr>
          <w:rFonts w:ascii="Arial" w:hAnsi="Arial" w:cs="Arial"/>
        </w:rPr>
        <w:fldChar w:fldCharType="begin"/>
      </w:r>
      <w:r w:rsidR="003803CA">
        <w:rPr>
          <w:rFonts w:ascii="Arial" w:hAnsi="Arial" w:cs="Arial"/>
        </w:rPr>
        <w:instrText xml:space="preserve"> ADDIN ZOTERO_ITEM CSL_CITATION {"citationID":"NlCuBBkT","properties":{"formattedCitation":"(4)","plainCitation":"(4)","noteIndex":0},"citationItems":[{"id":273,"uris":["http://zotero.org/users/local/4b5Ga8Uq/items/SNLPBV5Q"],"uri":["http://zotero.org/users/local/4b5Ga8Uq/items/SNLPBV5Q"],"itemData":{"id":273,"type":"article-journal","title":"Sambamba: fast processing of NGS alignment formats","container-title":"Bioinformatics (Oxford, England)","page":"2032-2034","volume":"31","issue":"12","source":"PubMed","abstract":"Sambamba is a high-performance robust tool and library for working with SAM, BAM and CRAM sequence alignment files; the most common file formats for aligned next generation sequencing data. Sambamba is a faster alternative to samtools that exploits multi-core processing and dramatically reduces processing time. Sambamba is being adopted at sequencing centers, not only because of its speed, but also because of additional functionality, including coverage analysis and powerful filtering capability.\nAVAILABILITY AND IMPLEMENTATION: Sambamba is free and open source software, available under a GPLv2 license. Sambamba can be downloaded and installed from http://www.open-bio.org/wiki/Sambamba.Sambamba v0.5.0 was released with doi:10.5281/zenodo.13200.","DOI":"10.1093/bioinformatics/btv098","ISSN":"1367-4811","note":"PMID: 25697820\nPMCID: PMC4765878","title-short":"Sambamba","journalAbbreviation":"Bioinformatics","language":"eng","author":[{"family":"Tarasov","given":"Artem"},{"family":"Vilella","given":"Albert J."},{"family":"Cuppen","given":"Edwin"},{"family":"Nijman","given":"Isaac J."},{"family":"Prins","given":"Pjotr"}],"issued":{"date-parts":[["2015",6,15]]}}}],"schema":"https://github.com/citation-style-language/schema/raw/master/csl-citation.json"} </w:instrText>
      </w:r>
      <w:r>
        <w:rPr>
          <w:rFonts w:ascii="Arial" w:hAnsi="Arial" w:cs="Arial"/>
        </w:rPr>
        <w:fldChar w:fldCharType="separate"/>
      </w:r>
      <w:r w:rsidR="003803CA" w:rsidRPr="003803CA">
        <w:rPr>
          <w:rFonts w:ascii="Arial" w:hAnsi="Arial" w:cs="Arial"/>
        </w:rPr>
        <w:t>(4)</w:t>
      </w:r>
      <w:r>
        <w:rPr>
          <w:rFonts w:ascii="Arial" w:hAnsi="Arial" w:cs="Arial"/>
        </w:rPr>
        <w:fldChar w:fldCharType="end"/>
      </w:r>
      <w:r w:rsidR="00D62285">
        <w:rPr>
          <w:rFonts w:ascii="Arial" w:hAnsi="Arial" w:cs="Arial"/>
        </w:rPr>
        <w:t>.</w:t>
      </w:r>
      <w:r w:rsidRPr="005F058C">
        <w:rPr>
          <w:rFonts w:ascii="Arial" w:hAnsi="Arial" w:cs="Arial"/>
        </w:rPr>
        <w:t xml:space="preserve"> SNVs and indels were identified using a variation of Sidrón algorithm, as previously described</w:t>
      </w:r>
      <w:r w:rsidR="00AF6F02">
        <w:rPr>
          <w:rFonts w:ascii="Arial" w:hAnsi="Arial" w:cs="Arial"/>
        </w:rPr>
        <w:t xml:space="preserve"> </w:t>
      </w:r>
      <w:r>
        <w:rPr>
          <w:rFonts w:ascii="Arial" w:hAnsi="Arial" w:cs="Arial"/>
        </w:rPr>
        <w:fldChar w:fldCharType="begin"/>
      </w:r>
      <w:r w:rsidR="003803CA">
        <w:rPr>
          <w:rFonts w:ascii="Arial" w:hAnsi="Arial" w:cs="Arial"/>
        </w:rPr>
        <w:instrText xml:space="preserve"> ADDIN ZOTERO_ITEM CSL_CITATION {"citationID":"Wbhv7Z0s","properties":{"formattedCitation":"(5)","plainCitation":"(5)","noteIndex":0},"citationItems":[{"id":276,"uris":["http://zotero.org/users/local/4b5Ga8Uq/items/XVG428LJ"],"uri":["http://zotero.org/users/local/4b5Ga8Uq/items/XVG428LJ"],"itemData":{"id":276,"type":"article-journal","title":"Whole-genome sequencing identifies recurrent mutations in chronic lymphocytic leukaemia","container-title":"Nature","page":"101-105","volume":"475","issue":"7354","source":"PubMed","abstract":"Chronic lymphocytic leukaemia (CLL), the most frequent leukaemia in adults in Western countries, is a heterogeneous disease with variable clinical presentation and evolution. Two major molecular subtypes can be distinguished, characterized respectively by a high or low number of somatic hypermutations in the variable region of immunoglobulin genes. The molecular changes leading to the pathogenesis of the disease are still poorly understood. Here we performed whole-genome sequencing of four cases of CLL and identified 46 somatic mutations that potentially affect gene function. Further analysis of these mutations in 363 patients with CLL identified four genes that are recurrently mutated: notch 1 (NOTCH1), exportin 1 (XPO1), myeloid differentiation primary response gene 88 (MYD88) and kelch-like 6 (KLHL6). Mutations in MYD88 and KLHL6 are predominant in cases of CLL with mutated immunoglobulin genes, whereas NOTCH1 and XPO1 mutations are mainly detected in patients with unmutated immunoglobulins. The patterns of somatic mutation, supported by functional and clinical analyses, strongly indicate that the recurrent NOTCH1, MYD88 and XPO1 mutations are oncogenic changes that contribute to the clinical evolution of the disease. To our knowledge, this is the first comprehensive analysis of CLL combining whole-genome sequencing with clinical characteristics and clinical outcomes. It highlights the usefulness of this approach for the identification of clinically relevant mutations in cancer.","DOI":"10.1038/nature10113","ISSN":"1476-4687","note":"PMID: 21642962\nPMCID: PMC3322590","journalAbbreviation":"Nature","language":"eng","author":[{"family":"Puente","given":"Xose S."},{"family":"Pinyol","given":"Magda"},{"family":"Quesada","given":"Víctor"},{"family":"Conde","given":"Laura"},{"family":"Ordóñez","given":"Gonzalo R."},{"family":"Villamor","given":"Neus"},{"family":"Escaramis","given":"Georgia"},{"family":"Jares","given":"Pedro"},{"family":"Beà","given":"Sílvia"},{"family":"González-Díaz","given":"Marcos"},{"family":"Bassaganyas","given":"Laia"},{"family":"Baumann","given":"Tycho"},{"family":"Juan","given":"Manel"},{"family":"López-Guerra","given":"Mónica"},{"family":"Colomer","given":"Dolors"},{"family":"Tubío","given":"José M. C."},{"family":"López","given":"Cristina"},{"family":"Navarro","given":"Alba"},{"family":"Tornador","given":"Cristian"},{"family":"Aymerich","given":"Marta"},{"family":"Rozman","given":"María"},{"family":"Hernández","given":"Jesús M."},{"family":"Puente","given":"Diana A."},{"family":"Freije","given":"José M. P."},{"family":"Velasco","given":"Gloria"},{"family":"Gutiérrez-Fernández","given":"Ana"},{"family":"Costa","given":"Dolors"},{"family":"Carrió","given":"Anna"},{"family":"Guijarro","given":"Sara"},{"family":"Enjuanes","given":"Anna"},{"family":"Hernández","given":"Lluís"},{"family":"Yagüe","given":"Jordi"},{"family":"Nicolás","given":"Pilar"},{"family":"Romeo-Casabona","given":"Carlos M."},{"family":"Himmelbauer","given":"Heinz"},{"family":"Castillo","given":"Ester"},{"family":"Dohm","given":"Juliane C."},{"family":"Sanjosé","given":"Silvia","non-dropping-particle":"de"},{"family":"Piris","given":"Miguel A."},{"family":"Alava","given":"Enrique","non-dropping-particle":"de"},{"family":"San Miguel","given":"Jesús"},{"family":"Royo","given":"Romina"},{"family":"Gelpí","given":"Josep L."},{"family":"Torrents","given":"David"},{"family":"Orozco","given":"Modesto"},{"family":"Pisano","given":"David G."},{"family":"Valencia","given":"Alfonso"},{"family":"Guigó","given":"Roderic"},{"family":"Bayés","given":"Mónica"},{"family":"Heath","given":"Simon"},{"family":"Gut","given":"Marta"},{"family":"Klatt","given":"Peter"},{"family":"Marshall","given":"John"},{"family":"Raine","given":"Keiran"},{"family":"Stebbings","given":"Lucy A."},{"family":"Futreal","given":"P. Andrew"},{"family":"Stratton","given":"Michael R."},{"family":"Campbell","given":"Peter J."},{"family":"Gut","given":"Ivo"},{"family":"López-Guillermo","given":"Armando"},{"family":"Estivill","given":"Xavier"},{"family":"Montserrat","given":"Emili"},{"family":"López-Otín","given":"Carlos"},{"family":"Campo","given":"Elías"}],"issued":{"date-parts":[["2011",6,5]]}}}],"schema":"https://github.com/citation-style-language/schema/raw/master/csl-citation.json"} </w:instrText>
      </w:r>
      <w:r>
        <w:rPr>
          <w:rFonts w:ascii="Arial" w:hAnsi="Arial" w:cs="Arial"/>
        </w:rPr>
        <w:fldChar w:fldCharType="separate"/>
      </w:r>
      <w:r w:rsidR="003803CA" w:rsidRPr="003803CA">
        <w:rPr>
          <w:rFonts w:ascii="Arial" w:hAnsi="Arial" w:cs="Arial"/>
        </w:rPr>
        <w:t>(5)</w:t>
      </w:r>
      <w:r>
        <w:rPr>
          <w:rFonts w:ascii="Arial" w:hAnsi="Arial" w:cs="Arial"/>
        </w:rPr>
        <w:fldChar w:fldCharType="end"/>
      </w:r>
      <w:r w:rsidR="00D62285">
        <w:rPr>
          <w:rFonts w:ascii="Arial" w:hAnsi="Arial" w:cs="Arial"/>
        </w:rPr>
        <w:t>.</w:t>
      </w:r>
      <w:r w:rsidRPr="005F058C">
        <w:rPr>
          <w:rFonts w:ascii="Arial" w:hAnsi="Arial" w:cs="Arial"/>
        </w:rPr>
        <w:t xml:space="preserve"> Indel</w:t>
      </w:r>
      <w:r>
        <w:rPr>
          <w:rFonts w:ascii="Arial" w:hAnsi="Arial" w:cs="Arial"/>
        </w:rPr>
        <w:t>s</w:t>
      </w:r>
      <w:r w:rsidRPr="005F058C">
        <w:rPr>
          <w:rFonts w:ascii="Arial" w:hAnsi="Arial" w:cs="Arial"/>
        </w:rPr>
        <w:t xml:space="preserve"> realignment was performed to correct underestimated allele frequencies. Finally, all variants were annotated with functional, population and cancer-related information.</w:t>
      </w:r>
    </w:p>
    <w:p w14:paraId="724B0FDD" w14:textId="129C3195" w:rsidR="00857AD9" w:rsidRDefault="00857AD9" w:rsidP="00857AD9">
      <w:pPr>
        <w:spacing w:line="480" w:lineRule="auto"/>
        <w:jc w:val="both"/>
        <w:rPr>
          <w:rFonts w:ascii="Arial" w:hAnsi="Arial" w:cs="Arial"/>
        </w:rPr>
      </w:pPr>
      <w:r w:rsidRPr="00E9535B">
        <w:rPr>
          <w:rFonts w:ascii="Arial" w:hAnsi="Arial" w:cs="Arial"/>
          <w:i/>
        </w:rPr>
        <w:t xml:space="preserve">Variant </w:t>
      </w:r>
      <w:r>
        <w:rPr>
          <w:rFonts w:ascii="Arial" w:hAnsi="Arial" w:cs="Arial"/>
          <w:i/>
        </w:rPr>
        <w:t xml:space="preserve">calling and </w:t>
      </w:r>
      <w:r w:rsidRPr="00E9535B">
        <w:rPr>
          <w:rFonts w:ascii="Arial" w:hAnsi="Arial" w:cs="Arial"/>
          <w:i/>
        </w:rPr>
        <w:t>annotation</w:t>
      </w:r>
      <w:r w:rsidRPr="00E9535B">
        <w:rPr>
          <w:rFonts w:ascii="Arial" w:hAnsi="Arial" w:cs="Arial"/>
        </w:rPr>
        <w:t xml:space="preserve">: </w:t>
      </w:r>
      <w:r w:rsidRPr="00E21251">
        <w:rPr>
          <w:rFonts w:ascii="Arial" w:hAnsi="Arial" w:cs="Arial"/>
        </w:rPr>
        <w:t>indels were identified  as previously described</w:t>
      </w:r>
      <w:r w:rsidR="00AF6F02">
        <w:rPr>
          <w:rFonts w:ascii="Arial" w:hAnsi="Arial" w:cs="Arial"/>
        </w:rPr>
        <w:t xml:space="preserve"> </w:t>
      </w:r>
      <w:r w:rsidRPr="00FA29E2">
        <w:rPr>
          <w:rFonts w:ascii="Arial" w:hAnsi="Arial" w:cs="Arial"/>
          <w:highlight w:val="yellow"/>
        </w:rPr>
        <w:fldChar w:fldCharType="begin"/>
      </w:r>
      <w:r w:rsidR="003803CA">
        <w:rPr>
          <w:rFonts w:ascii="Arial" w:hAnsi="Arial" w:cs="Arial"/>
          <w:highlight w:val="yellow"/>
        </w:rPr>
        <w:instrText xml:space="preserve"> ADDIN ZOTERO_ITEM CSL_CITATION {"citationID":"GHz2sWkT","properties":{"formattedCitation":"(5)","plainCitation":"(5)","noteIndex":0},"citationItems":[{"id":276,"uris":["http://zotero.org/users/local/4b5Ga8Uq/items/XVG428LJ"],"uri":["http://zotero.org/users/local/4b5Ga8Uq/items/XVG428LJ"],"itemData":{"id":276,"type":"article-journal","title":"Whole-genome sequencing identifies recurrent mutations in chronic lymphocytic leukaemia","container-title":"Nature","page":"101-105","volume":"475","issue":"7354","source":"PubMed","abstract":"Chronic lymphocytic leukaemia (CLL), the most frequent leukaemia in adults in Western countries, is a heterogeneous disease with variable clinical presentation and evolution. Two major molecular subtypes can be distinguished, characterized respectively by a high or low number of somatic hypermutations in the variable region of immunoglobulin genes. The molecular changes leading to the pathogenesis of the disease are still poorly understood. Here we performed whole-genome sequencing of four cases of CLL and identified 46 somatic mutations that potentially affect gene function. Further analysis of these mutations in 363 patients with CLL identified four genes that are recurrently mutated: notch 1 (NOTCH1), exportin 1 (XPO1), myeloid differentiation primary response gene 88 (MYD88) and kelch-like 6 (KLHL6). Mutations in MYD88 and KLHL6 are predominant in cases of CLL with mutated immunoglobulin genes, whereas NOTCH1 and XPO1 mutations are mainly detected in patients with unmutated immunoglobulins. The patterns of somatic mutation, supported by functional and clinical analyses, strongly indicate that the recurrent NOTCH1, MYD88 and XPO1 mutations are oncogenic changes that contribute to the clinical evolution of the disease. To our knowledge, this is the first comprehensive analysis of CLL combining whole-genome sequencing with clinical characteristics and clinical outcomes. It highlights the usefulness of this approach for the identification of clinically relevant mutations in cancer.","DOI":"10.1038/nature10113","ISSN":"1476-4687","note":"PMID: 21642962\nPMCID: PMC3322590","journalAbbreviation":"Nature","language":"eng","author":[{"family":"Puente","given":"Xose S."},{"family":"Pinyol","given":"Magda"},{"family":"Quesada","given":"Víctor"},{"family":"Conde","given":"Laura"},{"family":"Ordóñez","given":"Gonzalo R."},{"family":"Villamor","given":"Neus"},{"family":"Escaramis","given":"Georgia"},{"family":"Jares","given":"Pedro"},{"family":"Beà","given":"Sílvia"},{"family":"González-Díaz","given":"Marcos"},{"family":"Bassaganyas","given":"Laia"},{"family":"Baumann","given":"Tycho"},{"family":"Juan","given":"Manel"},{"family":"López-Guerra","given":"Mónica"},{"family":"Colomer","given":"Dolors"},{"family":"Tubío","given":"José M. C."},{"family":"López","given":"Cristina"},{"family":"Navarro","given":"Alba"},{"family":"Tornador","given":"Cristian"},{"family":"Aymerich","given":"Marta"},{"family":"Rozman","given":"María"},{"family":"Hernández","given":"Jesús M."},{"family":"Puente","given":"Diana A."},{"family":"Freije","given":"José M. P."},{"family":"Velasco","given":"Gloria"},{"family":"Gutiérrez-Fernández","given":"Ana"},{"family":"Costa","given":"Dolors"},{"family":"Carrió","given":"Anna"},{"family":"Guijarro","given":"Sara"},{"family":"Enjuanes","given":"Anna"},{"family":"Hernández","given":"Lluís"},{"family":"Yagüe","given":"Jordi"},{"family":"Nicolás","given":"Pilar"},{"family":"Romeo-Casabona","given":"Carlos M."},{"family":"Himmelbauer","given":"Heinz"},{"family":"Castillo","given":"Ester"},{"family":"Dohm","given":"Juliane C."},{"family":"Sanjosé","given":"Silvia","non-dropping-particle":"de"},{"family":"Piris","given":"Miguel A."},{"family":"Alava","given":"Enrique","non-dropping-particle":"de"},{"family":"San Miguel","given":"Jesús"},{"family":"Royo","given":"Romina"},{"family":"Gelpí","given":"Josep L."},{"family":"Torrents","given":"David"},{"family":"Orozco","given":"Modesto"},{"family":"Pisano","given":"David G."},{"family":"Valencia","given":"Alfonso"},{"family":"Guigó","given":"Roderic"},{"family":"Bayés","given":"Mónica"},{"family":"Heath","given":"Simon"},{"family":"Gut","given":"Marta"},{"family":"Klatt","given":"Peter"},{"family":"Marshall","given":"John"},{"family":"Raine","given":"Keiran"},{"family":"Stebbings","given":"Lucy A."},{"family":"Futreal","given":"P. Andrew"},{"family":"Stratton","given":"Michael R."},{"family":"Campbell","given":"Peter J."},{"family":"Gut","given":"Ivo"},{"family":"López-Guillermo","given":"Armando"},{"family":"Estivill","given":"Xavier"},{"family":"Montserrat","given":"Emili"},{"family":"López-Otín","given":"Carlos"},{"family":"Campo","given":"Elías"}],"issued":{"date-parts":[["2011",6,5]]}}}],"schema":"https://github.com/citation-style-language/schema/raw/master/csl-citation.json"} </w:instrText>
      </w:r>
      <w:r w:rsidRPr="00FA29E2">
        <w:rPr>
          <w:rFonts w:ascii="Arial" w:hAnsi="Arial" w:cs="Arial"/>
          <w:highlight w:val="yellow"/>
        </w:rPr>
        <w:fldChar w:fldCharType="separate"/>
      </w:r>
      <w:r w:rsidR="003803CA" w:rsidRPr="003803CA">
        <w:rPr>
          <w:rFonts w:ascii="Arial" w:hAnsi="Arial" w:cs="Arial"/>
        </w:rPr>
        <w:t>(5)</w:t>
      </w:r>
      <w:r w:rsidRPr="00FA29E2">
        <w:rPr>
          <w:rFonts w:ascii="Arial" w:hAnsi="Arial" w:cs="Arial"/>
          <w:highlight w:val="yellow"/>
        </w:rPr>
        <w:fldChar w:fldCharType="end"/>
      </w:r>
      <w:r w:rsidR="00D62285">
        <w:rPr>
          <w:rFonts w:ascii="Arial" w:hAnsi="Arial" w:cs="Arial"/>
        </w:rPr>
        <w:t>,</w:t>
      </w:r>
      <w:r w:rsidRPr="00E21251">
        <w:rPr>
          <w:rFonts w:ascii="Arial" w:hAnsi="Arial" w:cs="Arial"/>
        </w:rPr>
        <w:t xml:space="preserve"> with the following parameters: total read depth ≥6, mutated allele count ≥3, variant frequency ≥0.01, base quality ≥10, and mapping quality ≥20. </w:t>
      </w:r>
      <w:r>
        <w:rPr>
          <w:rFonts w:ascii="Arial" w:hAnsi="Arial" w:cs="Arial"/>
        </w:rPr>
        <w:t>V</w:t>
      </w:r>
      <w:r w:rsidRPr="00E9535B">
        <w:rPr>
          <w:rFonts w:ascii="Arial" w:hAnsi="Arial" w:cs="Arial"/>
        </w:rPr>
        <w:t xml:space="preserve">ariants were annotated using several databases containing functional (Ensembl, CCDS, RefSeq, Pfam), population (dbSNP, 1000 Genomes, ESP6500, ExAC, gnomAD) and cancer-related (COSMIC – Release 87, ICGC – Release 27) information; as well as 14 scores from algorithms for prediction of the impact caused by variants on the </w:t>
      </w:r>
      <w:r>
        <w:rPr>
          <w:rFonts w:ascii="Arial" w:hAnsi="Arial" w:cs="Arial"/>
        </w:rPr>
        <w:t xml:space="preserve">protein </w:t>
      </w:r>
      <w:r w:rsidRPr="00E9535B">
        <w:rPr>
          <w:rFonts w:ascii="Arial" w:hAnsi="Arial" w:cs="Arial"/>
        </w:rPr>
        <w:t>structure and function (SIFT, SIFT 4G</w:t>
      </w:r>
      <w:r w:rsidR="00AF6F02">
        <w:rPr>
          <w:rFonts w:ascii="Arial" w:hAnsi="Arial" w:cs="Arial"/>
        </w:rPr>
        <w:t xml:space="preserve"> </w:t>
      </w:r>
      <w:r>
        <w:rPr>
          <w:rFonts w:ascii="Arial" w:hAnsi="Arial" w:cs="Arial"/>
        </w:rPr>
        <w:fldChar w:fldCharType="begin"/>
      </w:r>
      <w:r w:rsidR="003803CA">
        <w:rPr>
          <w:rFonts w:ascii="Arial" w:hAnsi="Arial" w:cs="Arial"/>
        </w:rPr>
        <w:instrText xml:space="preserve"> ADDIN ZOTERO_ITEM CSL_CITATION {"citationID":"WPYdbsrw","properties":{"formattedCitation":"(6)","plainCitation":"(6)","noteIndex":0},"citationItems":[{"id":279,"uris":["http://zotero.org/users/local/4b5Ga8Uq/items/ZD67H6W5"],"uri":["http://zotero.org/users/local/4b5Ga8Uq/items/ZD67H6W5"],"itemData":{"id":279,"type":"article-journal","title":"Predicting the effects of coding non-synonymous variants on protein function using the SIFT algorithm","container-title":"Nature Protocols","page":"1073-1081","volume":"4","issue":"7","source":"PubMed","abstract":"The effect of genetic mutation on phenotype is of significant interest in genetics. The type of genetic mutation that causes a single amino acid substitution (AAS) in a protein sequence is called a non-synonymous single nucleotide polymorphism (nsSNP). An nsSNP could potentially affect the function of the protein, subsequently altering the carrier's phenotype. This protocol describes the use of the 'Sorting Tolerant From Intolerant' (SIFT) algorithm in predicting whether an AAS affects protein function. To assess the effect of a substitution, SIFT assumes that important positions in a protein sequence have been conserved throughout evolution and therefore substitutions at these positions may affect protein function. Thus, by using sequence homology, SIFT predicts the effects of all possible substitutions at each position in the protein sequence. The protocol typically takes 5-20 min, depending on the input. SIFT is available as an online tool (http://sift.jcvi.org).","DOI":"10.1038/nprot.2009.86","ISSN":"1750-2799","note":"PMID: 19561590","journalAbbreviation":"Nat Protoc","language":"eng","author":[{"family":"Kumar","given":"Prateek"},{"family":"Henikoff","given":"Steven"},{"family":"Ng","given":"Pauline C."}],"issued":{"date-parts":[["2009"]]}}}],"schema":"https://github.com/citation-style-language/schema/raw/master/csl-citation.json"} </w:instrText>
      </w:r>
      <w:r>
        <w:rPr>
          <w:rFonts w:ascii="Arial" w:hAnsi="Arial" w:cs="Arial"/>
        </w:rPr>
        <w:fldChar w:fldCharType="separate"/>
      </w:r>
      <w:r w:rsidR="003803CA" w:rsidRPr="003803CA">
        <w:rPr>
          <w:rFonts w:ascii="Arial" w:hAnsi="Arial" w:cs="Arial"/>
        </w:rPr>
        <w:t>(6)</w:t>
      </w:r>
      <w:r>
        <w:rPr>
          <w:rFonts w:ascii="Arial" w:hAnsi="Arial" w:cs="Arial"/>
        </w:rPr>
        <w:fldChar w:fldCharType="end"/>
      </w:r>
      <w:r w:rsidR="00D62285">
        <w:rPr>
          <w:rFonts w:ascii="Arial" w:hAnsi="Arial" w:cs="Arial"/>
        </w:rPr>
        <w:t>,</w:t>
      </w:r>
      <w:r w:rsidRPr="00E9535B">
        <w:rPr>
          <w:rFonts w:ascii="Arial" w:hAnsi="Arial" w:cs="Arial"/>
        </w:rPr>
        <w:t xml:space="preserve"> PROVEAN</w:t>
      </w:r>
      <w:r w:rsidR="00AF6F02">
        <w:rPr>
          <w:rFonts w:ascii="Arial" w:hAnsi="Arial" w:cs="Arial"/>
        </w:rPr>
        <w:t xml:space="preserve"> </w:t>
      </w:r>
      <w:r>
        <w:rPr>
          <w:rFonts w:ascii="Arial" w:hAnsi="Arial" w:cs="Arial"/>
        </w:rPr>
        <w:fldChar w:fldCharType="begin"/>
      </w:r>
      <w:r w:rsidR="003803CA">
        <w:rPr>
          <w:rFonts w:ascii="Arial" w:hAnsi="Arial" w:cs="Arial"/>
        </w:rPr>
        <w:instrText xml:space="preserve"> ADDIN ZOTERO_ITEM CSL_CITATION {"citationID":"ngaizzo4","properties":{"formattedCitation":"(7)","plainCitation":"(7)","noteIndex":0},"citationItems":[{"id":281,"uris":["http://zotero.org/users/local/4b5Ga8Uq/items/7GLIIWIT"],"uri":["http://zotero.org/users/local/4b5Ga8Uq/items/7GLIIWIT"],"itemData":{"id":281,"type":"article-journal","title":"Predicting the functional effect of amino acid substitutions and indels","container-title":"PloS One","page":"e46688","volume":"7","issue":"10","source":"PubMed","abstract":"As next-generation sequencing projects generate massive genome-wide sequence variation data, bioinformatics tools are being developed to provide computational predictions on the functional effects of sequence variations and narrow down the search of casual variants for disease phenotypes. Different classes of sequence variations at the nucleotide level are involved in human diseases, including substitutions, insertions, deletions, frameshifts, and non-sense mutations. Frameshifts and non-sense mutations are likely to cause a negative effect on protein function. Existing prediction tools primarily focus on studying the deleterious effects of single amino acid substitutions through examining amino acid conservation at the position of interest among related sequences, an approach that is not directly applicable to insertions or deletions. Here, we introduce a versatile alignment-based score as a new metric to predict the damaging effects of variations not limited to single amino acid substitutions but also in-frame insertions, deletions, and multiple amino acid substitutions. This alignment-based score measures the change in sequence similarity of a query sequence to a protein sequence homolog before and after the introduction of an amino acid variation to the query sequence. Our results showed that the scoring scheme performs well in separating disease-associated variants (n = 21,662) from common polymorphisms (n = 37,022) for UniProt human protein variations, and also in separating deleterious variants (n = 15,179) from neutral variants (n = 17,891) for UniProt non-human protein variations. In our approach, the area under the receiver operating characteristic curve (AUC) for the human and non-human protein variation datasets is </w:instrText>
      </w:r>
      <w:r w:rsidR="003803CA">
        <w:rPr>
          <w:rFonts w:ascii="Cambria Math" w:hAnsi="Cambria Math" w:cs="Cambria Math"/>
        </w:rPr>
        <w:instrText>∼</w:instrText>
      </w:r>
      <w:r w:rsidR="003803CA">
        <w:rPr>
          <w:rFonts w:ascii="Arial" w:hAnsi="Arial" w:cs="Arial"/>
        </w:rPr>
        <w:instrText xml:space="preserve">0.85. We also observed that the alignment-based score correlates with the deleteriousness of a sequence variation. In summary, we have developed a new algorithm, PROVEAN (Protein Variation Effect Analyzer), which provides a generalized approach to predict the functional effects of protein sequence variations including single or multiple amino acid substitutions, and in-frame insertions and deletions. The PROVEAN tool is available online at http://provean.jcvi.org.","DOI":"10.1371/journal.pone.0046688","ISSN":"1932-6203","note":"PMID: 23056405\nPMCID: PMC3466303","journalAbbreviation":"PLoS ONE","language":"eng","author":[{"family":"Choi","given":"Yongwook"},{"family":"Sims","given":"Gregory E."},{"family":"Murphy","given":"Sean"},{"family":"Miller","given":"Jason R."},{"family":"Chan","given":"Agnes P."}],"issued":{"date-parts":[["2012"]]}}}],"schema":"https://github.com/citation-style-language/schema/raw/master/csl-citation.json"} </w:instrText>
      </w:r>
      <w:r>
        <w:rPr>
          <w:rFonts w:ascii="Arial" w:hAnsi="Arial" w:cs="Arial"/>
        </w:rPr>
        <w:fldChar w:fldCharType="separate"/>
      </w:r>
      <w:r w:rsidR="003803CA" w:rsidRPr="003803CA">
        <w:rPr>
          <w:rFonts w:ascii="Arial" w:hAnsi="Arial" w:cs="Arial"/>
        </w:rPr>
        <w:t>(7)</w:t>
      </w:r>
      <w:r>
        <w:rPr>
          <w:rFonts w:ascii="Arial" w:hAnsi="Arial" w:cs="Arial"/>
        </w:rPr>
        <w:fldChar w:fldCharType="end"/>
      </w:r>
      <w:r w:rsidR="00D62285">
        <w:rPr>
          <w:rFonts w:ascii="Arial" w:hAnsi="Arial" w:cs="Arial"/>
        </w:rPr>
        <w:t>,</w:t>
      </w:r>
      <w:r w:rsidRPr="00E9535B">
        <w:rPr>
          <w:rFonts w:ascii="Arial" w:hAnsi="Arial" w:cs="Arial"/>
        </w:rPr>
        <w:t xml:space="preserve"> Mutation Assessor</w:t>
      </w:r>
      <w:r w:rsidR="00AF6F02">
        <w:rPr>
          <w:rFonts w:ascii="Arial" w:hAnsi="Arial" w:cs="Arial"/>
        </w:rPr>
        <w:t xml:space="preserve"> </w:t>
      </w:r>
      <w:r>
        <w:rPr>
          <w:rFonts w:ascii="Arial" w:hAnsi="Arial" w:cs="Arial"/>
        </w:rPr>
        <w:fldChar w:fldCharType="begin"/>
      </w:r>
      <w:r w:rsidR="003803CA">
        <w:rPr>
          <w:rFonts w:ascii="Arial" w:hAnsi="Arial" w:cs="Arial"/>
        </w:rPr>
        <w:instrText xml:space="preserve"> ADDIN ZOTERO_ITEM CSL_CITATION {"citationID":"Mareh4Wy","properties":{"formattedCitation":"(8)","plainCitation":"(8)","noteIndex":0},"citationItems":[{"id":284,"uris":["http://zotero.org/users/local/4b5Ga8Uq/items/IDEUMC8Z"],"uri":["http://zotero.org/users/local/4b5Ga8Uq/items/IDEUMC8Z"],"itemData":{"id":284,"type":"article-journal","title":"Predicting the functional impact of protein mutations: application to cancer genomics","container-title":"Nucleic Acids Research","page":"e118","volume":"39","issue":"17","source":"PubMed","abstract":"As large-scale re-sequencing of genomes reveals many protein mutations, especially in human cancer tissues, prediction of their likely functional impact becomes important practical goal. Here, we introduce a new functional impact score (FIS) for amino acid residue changes using evolutionary conservation patterns. The information in these patterns is derived from aligned families and sub-families of sequence homologs within and between species using combinatorial entropy formalism. The score performs well on a large set of human protein mutations in separating disease-associated variants (</w:instrText>
      </w:r>
      <w:r w:rsidR="003803CA">
        <w:rPr>
          <w:rFonts w:ascii="Cambria Math" w:hAnsi="Cambria Math" w:cs="Cambria Math"/>
        </w:rPr>
        <w:instrText>∼</w:instrText>
      </w:r>
      <w:r w:rsidR="003803CA">
        <w:rPr>
          <w:rFonts w:ascii="Arial" w:hAnsi="Arial" w:cs="Arial"/>
        </w:rPr>
        <w:instrText>19 200), assumed to be strongly functional, from common polymorphisms (</w:instrText>
      </w:r>
      <w:r w:rsidR="003803CA">
        <w:rPr>
          <w:rFonts w:ascii="Cambria Math" w:hAnsi="Cambria Math" w:cs="Cambria Math"/>
        </w:rPr>
        <w:instrText>∼</w:instrText>
      </w:r>
      <w:r w:rsidR="003803CA">
        <w:rPr>
          <w:rFonts w:ascii="Arial" w:hAnsi="Arial" w:cs="Arial"/>
        </w:rPr>
        <w:instrText xml:space="preserve">35 600), assumed to be weakly functional (area under the receiver operating characteristic curve of </w:instrText>
      </w:r>
      <w:r w:rsidR="003803CA">
        <w:rPr>
          <w:rFonts w:ascii="Cambria Math" w:hAnsi="Cambria Math" w:cs="Cambria Math"/>
        </w:rPr>
        <w:instrText>∼</w:instrText>
      </w:r>
      <w:r w:rsidR="003803CA">
        <w:rPr>
          <w:rFonts w:ascii="Arial" w:hAnsi="Arial" w:cs="Arial"/>
        </w:rPr>
        <w:instrText xml:space="preserve">0.86). In cancer, using recurrence, multiplicity and annotation for </w:instrText>
      </w:r>
      <w:r w:rsidR="003803CA">
        <w:rPr>
          <w:rFonts w:ascii="Cambria Math" w:hAnsi="Cambria Math" w:cs="Cambria Math"/>
        </w:rPr>
        <w:instrText>∼</w:instrText>
      </w:r>
      <w:r w:rsidR="003803CA">
        <w:rPr>
          <w:rFonts w:ascii="Arial" w:hAnsi="Arial" w:cs="Arial"/>
        </w:rPr>
        <w:instrText xml:space="preserve">10 000 mutations in the COSMIC database, the method does well in assigning higher scores to more likely functional mutations ('drivers'). To guide experimental prioritization, we report a list of about 1000 top human cancer genes frequently mutated in one or more cancer types ranked by likely functional impact; and, an additional 1000 candidate cancer genes with rare but likely functional mutations. In addition, we estimate that at least 5% of cancer-relevant mutations involve switch of function, rather than simply loss or gain of function.","DOI":"10.1093/nar/gkr407","ISSN":"1362-4962","note":"PMID: 21727090\nPMCID: PMC3177186","title-short":"Predicting the functional impact of protein mutations","journalAbbreviation":"Nucleic Acids Res.","language":"eng","author":[{"family":"Reva","given":"Boris"},{"family":"Antipin","given":"Yevgeniy"},{"family":"Sander","given":"Chris"}],"issued":{"date-parts":[["2011",9,1]]}}}],"schema":"https://github.com/citation-style-language/schema/raw/master/csl-citation.json"} </w:instrText>
      </w:r>
      <w:r>
        <w:rPr>
          <w:rFonts w:ascii="Arial" w:hAnsi="Arial" w:cs="Arial"/>
        </w:rPr>
        <w:fldChar w:fldCharType="separate"/>
      </w:r>
      <w:r w:rsidR="003803CA" w:rsidRPr="003803CA">
        <w:rPr>
          <w:rFonts w:ascii="Arial" w:hAnsi="Arial" w:cs="Arial"/>
        </w:rPr>
        <w:t>(8)</w:t>
      </w:r>
      <w:r>
        <w:rPr>
          <w:rFonts w:ascii="Arial" w:hAnsi="Arial" w:cs="Arial"/>
        </w:rPr>
        <w:fldChar w:fldCharType="end"/>
      </w:r>
      <w:r w:rsidR="00D62285">
        <w:rPr>
          <w:rFonts w:ascii="Arial" w:hAnsi="Arial" w:cs="Arial"/>
        </w:rPr>
        <w:t>,</w:t>
      </w:r>
      <w:r w:rsidRPr="00E9535B">
        <w:rPr>
          <w:rFonts w:ascii="Arial" w:hAnsi="Arial" w:cs="Arial"/>
        </w:rPr>
        <w:t xml:space="preserve"> Mutation Taster</w:t>
      </w:r>
      <w:r w:rsidR="00AF6F02">
        <w:rPr>
          <w:rFonts w:ascii="Arial" w:hAnsi="Arial" w:cs="Arial"/>
        </w:rPr>
        <w:t xml:space="preserve"> </w:t>
      </w:r>
      <w:r>
        <w:rPr>
          <w:rFonts w:ascii="Arial" w:hAnsi="Arial" w:cs="Arial"/>
        </w:rPr>
        <w:fldChar w:fldCharType="begin"/>
      </w:r>
      <w:r w:rsidR="003803CA">
        <w:rPr>
          <w:rFonts w:ascii="Arial" w:hAnsi="Arial" w:cs="Arial"/>
        </w:rPr>
        <w:instrText xml:space="preserve"> ADDIN ZOTERO_ITEM CSL_CITATION {"citationID":"34RENVz2","properties":{"formattedCitation":"(9)","plainCitation":"(9)","noteIndex":0},"citationItems":[{"id":287,"uris":["http://zotero.org/users/local/4b5Ga8Uq/items/XJMAREEU"],"uri":["http://zotero.org/users/local/4b5Ga8Uq/items/XJMAREEU"],"itemData":{"id":287,"type":"article-journal","title":"MutationTaster2: mutation prediction for the deep-sequencing age","container-title":"Nature Methods","page":"361-362","volume":"11","issue":"4","source":"PubMed","DOI":"10.1038/nmeth.2890","ISSN":"1548-7105","note":"PMID: 24681721","title-short":"MutationTaster2","journalAbbreviation":"Nat. Methods","language":"eng","author":[{"family":"Schwarz","given":"Jana Marie"},{"family":"Cooper","given":"David N."},{"family":"Schuelke","given":"Markus"},{"family":"Seelow","given":"Dominik"}],"issued":{"date-parts":[["2014",4]]}}}],"schema":"https://github.com/citation-style-language/schema/raw/master/csl-citation.json"} </w:instrText>
      </w:r>
      <w:r>
        <w:rPr>
          <w:rFonts w:ascii="Arial" w:hAnsi="Arial" w:cs="Arial"/>
        </w:rPr>
        <w:fldChar w:fldCharType="separate"/>
      </w:r>
      <w:r w:rsidR="003803CA" w:rsidRPr="003803CA">
        <w:rPr>
          <w:rFonts w:ascii="Arial" w:hAnsi="Arial" w:cs="Arial"/>
        </w:rPr>
        <w:t>(9)</w:t>
      </w:r>
      <w:r>
        <w:rPr>
          <w:rFonts w:ascii="Arial" w:hAnsi="Arial" w:cs="Arial"/>
        </w:rPr>
        <w:fldChar w:fldCharType="end"/>
      </w:r>
      <w:r w:rsidR="00D62285">
        <w:rPr>
          <w:rFonts w:ascii="Arial" w:hAnsi="Arial" w:cs="Arial"/>
        </w:rPr>
        <w:t>,</w:t>
      </w:r>
      <w:r w:rsidRPr="00E9535B">
        <w:rPr>
          <w:rFonts w:ascii="Arial" w:hAnsi="Arial" w:cs="Arial"/>
        </w:rPr>
        <w:t xml:space="preserve"> LRT</w:t>
      </w:r>
      <w:r w:rsidR="00AF6F02">
        <w:rPr>
          <w:rFonts w:ascii="Arial" w:hAnsi="Arial" w:cs="Arial"/>
        </w:rPr>
        <w:t xml:space="preserve"> </w:t>
      </w:r>
      <w:r>
        <w:rPr>
          <w:rFonts w:ascii="Arial" w:hAnsi="Arial" w:cs="Arial"/>
        </w:rPr>
        <w:fldChar w:fldCharType="begin"/>
      </w:r>
      <w:r w:rsidR="003803CA">
        <w:rPr>
          <w:rFonts w:ascii="Arial" w:hAnsi="Arial" w:cs="Arial"/>
        </w:rPr>
        <w:instrText xml:space="preserve"> ADDIN ZOTERO_ITEM CSL_CITATION {"citationID":"r8Z0rQzX","properties":{"formattedCitation":"(10)","plainCitation":"(10)","noteIndex":0},"citationItems":[{"id":289,"uris":["http://zotero.org/users/local/4b5Ga8Uq/items/U28IEZII"],"uri":["http://zotero.org/users/local/4b5Ga8Uq/items/U28IEZII"],"itemData":{"id":289,"type":"article-journal","title":"Identification of deleterious mutations within three human genomes","container-title":"Genome Research","page":"1553-1561","volume":"19","issue":"9","source":"PubMed","abstract":"Each human carries a large number of deleterious mutations. Together, these mutations make a significant contribution to human disease. Identification of deleterious mutations within individual genome sequences could substantially impact an individual's health through personalized prevention and treatment of disease. </w:instrText>
      </w:r>
      <w:r w:rsidR="003803CA" w:rsidRPr="003803CA">
        <w:rPr>
          <w:rFonts w:ascii="Arial" w:hAnsi="Arial" w:cs="Arial"/>
          <w:lang w:val="es-ES"/>
        </w:rPr>
        <w:instrText xml:space="preserve">Yet, distinguishing deleterious mutations from the massive number of nonfunctional variants that occur within a single genome is a considerable challenge. Using a comparative genomics data set of 32 vertebrate species we show that a likelihood ratio test (LRT) can accurately identify a subset of deleterious mutations that disrupt highly conserved amino acids within protein-coding sequences, which are likely to be unconditionally deleterious. The LRT is also able to identify known human disease alleles and performs as well as two commonly used heuristic methods, SIFT and PolyPhen. Application of the LRT to three human genomes reveals 796-837 deleterious mutations per individual, approximately 40% of which are estimated to be at &lt;5% allele frequency. However, the overlap between predictions made by the LRT, SIFT, and PolyPhen, is low; 76% of predictions are unique to one of the three methods, and only 5% of predictions are shared across all three methods. Our results indicate that only a small subset of deleterious mutations can be reliably identified, but that this subset provides the raw material for personalized medicine.","DOI":"10.1101/gr.092619.109","ISSN":"1549-5469","note":"PMID: 19602639\nPMCID: PMC2752137","journalAbbreviation":"Genome Res.","language":"eng","author":[{"family":"Chun","given":"Sung"},{"family":"Fay","given":"Justin C."}],"issued":{"date-parts":[["2009",9]]}}}],"schema":"https://github.com/citation-style-language/schema/raw/master/csl-citation.json"} </w:instrText>
      </w:r>
      <w:r>
        <w:rPr>
          <w:rFonts w:ascii="Arial" w:hAnsi="Arial" w:cs="Arial"/>
        </w:rPr>
        <w:fldChar w:fldCharType="separate"/>
      </w:r>
      <w:r w:rsidR="003803CA" w:rsidRPr="003803CA">
        <w:rPr>
          <w:rFonts w:ascii="Arial" w:hAnsi="Arial" w:cs="Arial"/>
          <w:lang w:val="es-ES"/>
        </w:rPr>
        <w:t>(10)</w:t>
      </w:r>
      <w:r>
        <w:rPr>
          <w:rFonts w:ascii="Arial" w:hAnsi="Arial" w:cs="Arial"/>
        </w:rPr>
        <w:fldChar w:fldCharType="end"/>
      </w:r>
      <w:r w:rsidR="00D62285" w:rsidRPr="00466FD5">
        <w:rPr>
          <w:rFonts w:ascii="Arial" w:hAnsi="Arial" w:cs="Arial"/>
          <w:lang w:val="es-ES"/>
        </w:rPr>
        <w:t>,</w:t>
      </w:r>
      <w:r w:rsidRPr="00335C94">
        <w:rPr>
          <w:rFonts w:ascii="Arial" w:hAnsi="Arial" w:cs="Arial"/>
          <w:lang w:val="es-ES"/>
        </w:rPr>
        <w:t xml:space="preserve"> MetaLR, MetaSVM</w:t>
      </w:r>
      <w:r w:rsidR="00AF6F02">
        <w:rPr>
          <w:rFonts w:ascii="Arial" w:hAnsi="Arial" w:cs="Arial"/>
          <w:lang w:val="es-ES"/>
        </w:rPr>
        <w:t xml:space="preserve"> </w:t>
      </w:r>
      <w:r>
        <w:rPr>
          <w:rFonts w:ascii="Arial" w:hAnsi="Arial" w:cs="Arial"/>
        </w:rPr>
        <w:lastRenderedPageBreak/>
        <w:fldChar w:fldCharType="begin"/>
      </w:r>
      <w:r w:rsidR="003803CA">
        <w:rPr>
          <w:rFonts w:ascii="Arial" w:hAnsi="Arial" w:cs="Arial"/>
          <w:lang w:val="es-ES"/>
        </w:rPr>
        <w:instrText xml:space="preserve"> ADDIN ZOTERO_ITEM CSL_CITATION {"citationID":"cGS0rScv","properties":{"formattedCitation":"(11)","plainCitation":"(11)","noteIndex":0},"citationItems":[{"id":292,"uris":["http://zotero.org/users/local/4b5Ga8Uq/items/IQDR5DS2"],"uri":["http://zotero.org/users/local/4b5Ga8Uq/items/IQDR5DS2"],"itemData":{"id":292,"type":"article-journal","title":"Comparison and integration of deleteriousness prediction methods for nonsynonymous SNVs in whole exome sequencing studies","container-title":"Human Molecular Genetics","page":"2125-2137","volume":"24","issue":"8","source":"PubMed","abstract":"Accurate deleteriousness prediction for nonsynonymous variants is crucial for distinguishing pathogenic mutations from background polymorphisms in whole exome sequencing (WES) studies. Although many deleteriousness prediction methods have been developed, their prediction results are sometimes inconsistent with each other and their relative merits are still unclear in practical applications. To address these issues, we comprehensively evaluated the predictive performance of 18 current deleteriousness-scoring methods, including 11 function prediction scores (PolyPhen-2, SIFT, MutationTaster, Mutation Assessor, FATHMM, LRT, PANTHER, PhD-SNP, SNAP, SNPs&amp;GO and MutPred), 3 conservation scores (GERP++, SiPhy and PhyloP) and 4 ensemble scores (CADD, PON-P, KGGSeq and CONDEL). We found that FATHMM and KGGSeq had the highest discriminative power among independent scores and ensemble scores, respectively. Moreover, to ensure unbiased performance evaluation of these prediction scores, we manually collected three distinct testing datasets, on which no current prediction scores were tuned. In addition, we developed two new ensemble scores that integrate nine independent scores and allele frequency. Our scores achieved the highest discriminative power compared with all the deleteriousness prediction scores tested and showed low false-positive prediction rate for benign yet rare nonsynonymous variants, which demonstrated the value of combining information from multiple orthologous approaches. Finally, to facilitate variant prioritization in WES studies, we have pre-computed our ensemble scores for 87 347 044 possible variants in the whole-exome and made them publicly available through the ANNOVAR software and the dbNSFP database.","DOI":"10.1093/hmg/ddu733","ISSN":"1460-2083","note":"PMID: 25552646\nPMCID: PMC4375422","journalAbbreviation":"Hum. Mol. Genet.","language":"eng","author":[{"family":"Dong","given":"Chengliang"},{"family":"Wei","given":"Peng"},{"family":"Jian","given":"Xueqiu"},{"family":"Gibbs","given":"Richard"},{"family":"Boerwinkle","given":"Eric"},{"family":"Wang","given":"Kai"},{"family":"Liu","given":"Xiaoming"}],"issued":{"date-parts":[["2015",4,15]]}}}],"schema":"https://github.com/citation-style-language/schema/raw/master/csl-citation.json"} </w:instrText>
      </w:r>
      <w:r>
        <w:rPr>
          <w:rFonts w:ascii="Arial" w:hAnsi="Arial" w:cs="Arial"/>
        </w:rPr>
        <w:fldChar w:fldCharType="separate"/>
      </w:r>
      <w:r w:rsidR="003803CA" w:rsidRPr="003803CA">
        <w:rPr>
          <w:rFonts w:ascii="Arial" w:hAnsi="Arial" w:cs="Arial"/>
          <w:lang w:val="es-ES"/>
        </w:rPr>
        <w:t>(11)</w:t>
      </w:r>
      <w:r>
        <w:rPr>
          <w:rFonts w:ascii="Arial" w:hAnsi="Arial" w:cs="Arial"/>
        </w:rPr>
        <w:fldChar w:fldCharType="end"/>
      </w:r>
      <w:r w:rsidR="00D62285" w:rsidRPr="00466FD5">
        <w:rPr>
          <w:rFonts w:ascii="Arial" w:hAnsi="Arial" w:cs="Arial"/>
          <w:lang w:val="es-ES"/>
        </w:rPr>
        <w:t>,</w:t>
      </w:r>
      <w:r w:rsidRPr="00335C94">
        <w:rPr>
          <w:rFonts w:ascii="Arial" w:hAnsi="Arial" w:cs="Arial"/>
          <w:lang w:val="es-ES"/>
        </w:rPr>
        <w:t xml:space="preserve"> FATHMM, FATHMM-MKL, FATHMM-XF</w:t>
      </w:r>
      <w:r w:rsidR="00AF6F02">
        <w:rPr>
          <w:rFonts w:ascii="Arial" w:hAnsi="Arial" w:cs="Arial"/>
          <w:lang w:val="es-ES"/>
        </w:rPr>
        <w:t xml:space="preserve"> </w:t>
      </w:r>
      <w:r>
        <w:rPr>
          <w:rFonts w:ascii="Arial" w:hAnsi="Arial" w:cs="Arial"/>
        </w:rPr>
        <w:fldChar w:fldCharType="begin"/>
      </w:r>
      <w:r w:rsidR="003803CA">
        <w:rPr>
          <w:rFonts w:ascii="Arial" w:hAnsi="Arial" w:cs="Arial"/>
          <w:lang w:val="es-ES"/>
        </w:rPr>
        <w:instrText xml:space="preserve"> ADDIN ZOTERO_ITEM CSL_CITATION {"citationID":"QwMg97uA","properties":{"formattedCitation":"(12)","plainCitation":"(12)","noteIndex":0},"citationItems":[{"id":295,"uris":["http://zotero.org/users/local/4b5Ga8Uq/items/UKT6CTRA"],"uri":["http://zotero.org/users/local/4b5Ga8Uq/items/UKT6CTRA"],"itemData":{"id":295,"type":"article-journal","title":"Ranking non-synonymous single nucleotide polymorphisms based on disease concepts","container-title":"Human Genomics","page":"11","volume":"8","source":"PubMed","abstract":"As the number of non-synonymous single nucleotide polymorphisms (nsSNPs) identified through whole-exome/whole-genome sequencing programs increases, researchers and clinicians are becoming increasingly reliant upon computational prediction algorithms designed to prioritize potential functional variants for further study. A large proportion of existing prediction algorithms are 'disease agnostic' but are nevertheless quite capable of predicting when a mutation is likely to be deleterious. However, most clinical and research applications of these algorithms relate to specific diseases and would therefore benefit from an approach that discriminates between functional variants specifically related to that disease from those which are not. In a whole-exome/whole-genome sequencing context, such an approach could substantially reduce the number of false positive candidate mutations. Here, we test this postulate by incorporating a disease-specific weighting scheme into the Functional Analysis through Hidden Markov Models (FATHMM) algorithm. When compared to traditional prediction algorithms, we observed an overall reduction in the number of false positives identified using a disease-specific approach to functional prediction across 17 distinct disease concepts/categories. Our results illustrate the potential benefits of making disease-specific predictions when prioritizing candidate variants in relation to specific diseases. A web-based implementation of our algorithm is available at http://fathmm.biocompute.org.uk.","DOI":"10.1186/1479-7364-8-11","ISSN":"1479-7364","note":"PMID: 24980617\nPMCID: PMC4083756","journalAbbreviation":"Hum. Genomics","language":"eng","author":[{"family":"Shihab","given":"Hashem A."},{"family":"Gough","given":"Julian"},{"family":"Mort","given":"Matthew"},{"family":"Cooper","given":"David N."},{"family":"Day","given":"Ian N. M."},{"family":"Gaunt","given":"Tom R."}],"issued":{"date-parts":[["2014",6,30]]}}}],"schema":"https://github.com/citation-style-language/schema/raw/master/csl-citation.json"} </w:instrText>
      </w:r>
      <w:r>
        <w:rPr>
          <w:rFonts w:ascii="Arial" w:hAnsi="Arial" w:cs="Arial"/>
        </w:rPr>
        <w:fldChar w:fldCharType="separate"/>
      </w:r>
      <w:r w:rsidR="003803CA" w:rsidRPr="003803CA">
        <w:rPr>
          <w:rFonts w:ascii="Arial" w:hAnsi="Arial" w:cs="Arial"/>
          <w:lang w:val="es-ES"/>
        </w:rPr>
        <w:t>(12)</w:t>
      </w:r>
      <w:r>
        <w:rPr>
          <w:rFonts w:ascii="Arial" w:hAnsi="Arial" w:cs="Arial"/>
        </w:rPr>
        <w:fldChar w:fldCharType="end"/>
      </w:r>
      <w:r w:rsidR="00D62285" w:rsidRPr="00466FD5">
        <w:rPr>
          <w:rFonts w:ascii="Arial" w:hAnsi="Arial" w:cs="Arial"/>
          <w:lang w:val="es-ES"/>
        </w:rPr>
        <w:t>,</w:t>
      </w:r>
      <w:r w:rsidRPr="00335C94">
        <w:rPr>
          <w:rFonts w:ascii="Arial" w:hAnsi="Arial" w:cs="Arial"/>
          <w:lang w:val="es-ES"/>
        </w:rPr>
        <w:t xml:space="preserve"> primateAI</w:t>
      </w:r>
      <w:r w:rsidR="00AF6F02">
        <w:rPr>
          <w:rFonts w:ascii="Arial" w:hAnsi="Arial" w:cs="Arial"/>
          <w:lang w:val="es-ES"/>
        </w:rPr>
        <w:t xml:space="preserve"> </w:t>
      </w:r>
      <w:r>
        <w:rPr>
          <w:rFonts w:ascii="Arial" w:hAnsi="Arial" w:cs="Arial"/>
        </w:rPr>
        <w:fldChar w:fldCharType="begin"/>
      </w:r>
      <w:r w:rsidR="003803CA">
        <w:rPr>
          <w:rFonts w:ascii="Arial" w:hAnsi="Arial" w:cs="Arial"/>
          <w:lang w:val="es-ES"/>
        </w:rPr>
        <w:instrText xml:space="preserve"> ADDIN ZOTERO_ITEM CSL_CITATION {"citationID":"MRO7oe8N","properties":{"formattedCitation":"(13)","plainCitation":"(13)","noteIndex":0},"citationItems":[{"id":298,"uris":["http://zotero.org/users/local/4b5Ga8Uq/items/SCSN4T9G"],"uri":["http://zotero.org/users/local/4b5Ga8Uq/items/SCSN4T9G"],"itemData":{"id":298,"type":"article-journal","title":"Predicting the clinical impact of human mutation with deep neural networks","container-title":"Nature Genetics","page":"1161-1170","volume":"50","issue":"8","source":"PubMed","abstract":"Millions of human genomes and exomes have been sequenced, but their clinical applications remain limited due to the difficulty of distinguishing disease-causing mutations from benign genetic variation. Here we demonstrate that common missense variants in other primate species are largely clinically benign in human, enabling pathogenic mutations to be systematically identified by the process of elimination. Using hundreds of thousands of common variants from population sequencing of six non-human primate species, we train a deep neural network that identifies pathogenic mutations in rare disease patients with 88% accuracy and enables the discovery of 14 new candidate genes in intellectual disability at genome-wide significance. Cataloging common variation from additional primate species would improve interpretation for millions of variants of uncertain significance, further advancing the clinical utility of human genome sequencing.","DOI":"10.1038/s41588-018-0167-z","ISSN":"1546-1718","note":"PMID: 30038395\nPMCID: PMC6237276","journalAbbreviation":"Nat. Genet.","language":"eng","author":[{"family":"Sundaram","given":"Laksshman"},{"family":"Gao","given":"Hong"},{"family":"Padigepati","given":"Samskruthi Reddy"},{"family":"McRae","given":"Jeremy F."},{"family":"Li","given":"Yanjun"},{"family":"Kosmicki","given":"Jack A."},{"family":"Fritzilas","given":"Nondas"},{"family":"Hakenberg","given":"Jörg"},{"family":"Dutta","given":"Anindita"},{"family":"Shon","given":"John"},{"family":"Xu","given":"Jinbo"},{"family":"Batzoglou","given":"Serafim"},{"family":"Li","given":"Xiaolin"},{"family":"Farh","given":"Kyle Kai-How"}],"issued":{"date-parts":[["2018"]]}}}],"schema":"https://github.com/citation-style-language/schema/raw/master/csl-citation.json"} </w:instrText>
      </w:r>
      <w:r>
        <w:rPr>
          <w:rFonts w:ascii="Arial" w:hAnsi="Arial" w:cs="Arial"/>
        </w:rPr>
        <w:fldChar w:fldCharType="separate"/>
      </w:r>
      <w:r w:rsidR="003803CA" w:rsidRPr="003803CA">
        <w:rPr>
          <w:rFonts w:ascii="Arial" w:hAnsi="Arial" w:cs="Arial"/>
          <w:lang w:val="es-ES"/>
        </w:rPr>
        <w:t>(13)</w:t>
      </w:r>
      <w:r>
        <w:rPr>
          <w:rFonts w:ascii="Arial" w:hAnsi="Arial" w:cs="Arial"/>
        </w:rPr>
        <w:fldChar w:fldCharType="end"/>
      </w:r>
      <w:r w:rsidRPr="00335C94">
        <w:rPr>
          <w:rFonts w:ascii="Arial" w:hAnsi="Arial" w:cs="Arial"/>
          <w:lang w:val="es-ES"/>
        </w:rPr>
        <w:t xml:space="preserve"> and Deogen2</w:t>
      </w:r>
      <w:r w:rsidR="00AF6F02">
        <w:rPr>
          <w:rFonts w:ascii="Arial" w:hAnsi="Arial" w:cs="Arial"/>
          <w:lang w:val="es-ES"/>
        </w:rPr>
        <w:t xml:space="preserve"> </w:t>
      </w:r>
      <w:r>
        <w:rPr>
          <w:rFonts w:ascii="Arial" w:hAnsi="Arial" w:cs="Arial"/>
        </w:rPr>
        <w:fldChar w:fldCharType="begin"/>
      </w:r>
      <w:r w:rsidR="003803CA">
        <w:rPr>
          <w:rFonts w:ascii="Arial" w:hAnsi="Arial" w:cs="Arial"/>
          <w:lang w:val="es-ES"/>
        </w:rPr>
        <w:instrText xml:space="preserve"> ADDIN ZOTERO_ITEM CSL_CITATION {"citationID":"txCNrm9e","properties":{"formattedCitation":"(14)","plainCitation":"(14)","noteIndex":0},"citationItems":[{"id":300,"uris":["http://zotero.org/users/local/4b5Ga8Uq/items/9DYMGMVW"],"uri":["http://zotero.org/users/local/4b5Ga8Uq/items/9DYMGMVW"],"itemData":{"id":300,"type":"article-journal","title":"DEOGEN2: prediction and interactive visualization of single amino acid variant deleteriousness in human proteins","container-title":"Nucleic Acids Research","page":"W201-W206","volume":"45","issue":"W1","source":"PubMed","abstract":"High-throughput sequencing methods are generating enormous amounts of genomic data, giving unprecedented insights into human genetic variation and its relation to disease. An individual human genome contains millions of Single Nucleotide Variants: to discriminate the deleterious from the benign ones, a variety of methods have been developed that predict whether a protein-coding variant likely affect</w:instrText>
      </w:r>
      <w:r w:rsidR="003803CA" w:rsidRPr="00131B6A">
        <w:rPr>
          <w:rFonts w:ascii="Arial" w:hAnsi="Arial" w:cs="Arial"/>
        </w:rPr>
        <w:instrText>s the carrier individual's health. We present such a method, DEOGEN2, which incorporates heterogeneous information about the molecular effects of the variants, the domains involved, the relevance of the gene and the interactions in which it participates. This extensive contextual information is non-linearly mapped into one single deleteriousness score for each variant. Since for the non-expert user it is sometimes still difficult to assess what this score means, how it relates to the encoded pr</w:instrText>
      </w:r>
      <w:r w:rsidR="003803CA" w:rsidRPr="00AF6F02">
        <w:rPr>
          <w:rFonts w:ascii="Arial" w:hAnsi="Arial" w:cs="Arial"/>
        </w:rPr>
        <w:instrText>o</w:instrText>
      </w:r>
      <w:r w:rsidR="003803CA" w:rsidRPr="003803CA">
        <w:rPr>
          <w:rFonts w:ascii="Arial" w:hAnsi="Arial" w:cs="Arial"/>
        </w:rPr>
        <w:instrText xml:space="preserve">tein, and where it originates from, we developed an interactive online framework (http://deogen2.mutaframe.com/) to better present the DEOGEN2 deleteriousness predictions of all possible variants in all human proteins. The prediction is visualized so both expert and non-expert users can gain insights into the meaning, protein context and origins of each prediction.","DOI":"10.1093/nar/gkx390","ISSN":"1362-4962","note":"PMID: 28498993\nPMCID: PMC5570203","title-short":"DEOGEN2","journalAbbreviation":"Nucleic Acids Res.","language":"eng","author":[{"family":"Raimondi","given":"Daniele"},{"family":"Tanyalcin","given":"Ibrahim"},{"family":"Ferté","given":"Julien"},{"family":"Gazzo","given":"Andrea"},{"family":"Orlando","given":"Gabriele"},{"family":"Lenaerts","given":"Tom"},{"family":"Rooman","given":"Marianne"},{"family":"Vranken","given":"Wim"}],"issued":{"date-parts":[["2017"]],"season":"03"}}}],"schema":"https://github.com/citation-style-language/schema/raw/master/csl-citation.json"} </w:instrText>
      </w:r>
      <w:r>
        <w:rPr>
          <w:rFonts w:ascii="Arial" w:hAnsi="Arial" w:cs="Arial"/>
        </w:rPr>
        <w:fldChar w:fldCharType="separate"/>
      </w:r>
      <w:r w:rsidR="003803CA" w:rsidRPr="003803CA">
        <w:rPr>
          <w:rFonts w:ascii="Arial" w:hAnsi="Arial" w:cs="Arial"/>
        </w:rPr>
        <w:t>(14)</w:t>
      </w:r>
      <w:r>
        <w:rPr>
          <w:rFonts w:ascii="Arial" w:hAnsi="Arial" w:cs="Arial"/>
        </w:rPr>
        <w:fldChar w:fldCharType="end"/>
      </w:r>
      <w:r w:rsidRPr="003803CA">
        <w:rPr>
          <w:rFonts w:ascii="Arial" w:hAnsi="Arial" w:cs="Arial"/>
        </w:rPr>
        <w:t>), and one score for evolutionary conservation of the affected nucleotide (GERP++)</w:t>
      </w:r>
      <w:r w:rsidR="00AF6F02">
        <w:rPr>
          <w:rFonts w:ascii="Arial" w:hAnsi="Arial" w:cs="Arial"/>
        </w:rPr>
        <w:t xml:space="preserve"> </w:t>
      </w:r>
      <w:r>
        <w:rPr>
          <w:rFonts w:ascii="Arial" w:hAnsi="Arial" w:cs="Arial"/>
        </w:rPr>
        <w:fldChar w:fldCharType="begin"/>
      </w:r>
      <w:r w:rsidR="003803CA" w:rsidRPr="003803CA">
        <w:rPr>
          <w:rFonts w:ascii="Arial" w:hAnsi="Arial" w:cs="Arial"/>
        </w:rPr>
        <w:instrText xml:space="preserve"> ADDIN ZOTERO_ITEM CSL_CITATION {"citationID":"tFtJZD1D","properties":{"formattedCitation":"(15)","plainCitation":"(15)","noteIndex":0},"citationItems":[{"id":303,"uris":["http://zotero.org/users/local/4b5Ga8Uq/items/YSUGKUW3"],"uri":["http://zotero.org/users/local/4b5Ga8Uq/items/YSUGKUW3"],"itemData":{"id":303,"type":"article-journal","title":"Identifying a high fraction of the human genome to be under selective constraint using GERP++","container-title":"PLoS computational biology","page":"e1001025","volume":"6","issue":"12","source":"PubMed","abstract":"Computational efforts to identify functional elements within genomes leverage comparative sequence information by looking for regions that exhibit evidence of selective constraint. One way of detecting constrained elements is to follow a bottom-up approach by computing constraint scores for individual positions of a multiple alignment and then defining constrained elements as segments of contiguous, highly scoring nucleotide positions. Here we present GERP++, a new tool that uses maximum likelihood evolutionary rate estimation for position-specific scoring and, in contrast to previous bottom-up methods, a novel dynamic programming approach to subsequently define constrained elements. GERP++ evaluates a richer set of candidate element breakpoints and ranks them based on statistical significance, eliminating the need for biased heuristic e</w:instrText>
      </w:r>
      <w:r w:rsidR="003803CA" w:rsidRPr="005975D5">
        <w:rPr>
          <w:rFonts w:ascii="Arial" w:hAnsi="Arial" w:cs="Arial"/>
        </w:rPr>
        <w:instrText xml:space="preserve">xtension techniques. Using GERP++ we identify over 1.3 million constrained elements spanning over 7% of the human genome. We predict a higher fraction than earlier estimates largely due to the annotation of longer constrained elements, which improves one to one correspondence between predicted elements with known functional sequences. GERP++ is an efficient and effective tool to provide both nucleotide- and element-level constraint scores within deep multiple sequence alignments.","DOI":"10.1371/journal.pcbi.1001025","ISSN":"1553-7358","note":"PMID: 21152010\nPMCID: PMC2996323","journalAbbreviation":"PLoS Comput. Biol.","language":"eng","author":[{"family":"Davydov","given":"Eugene V."},{"family":"Goode","given":"David L."},{"family":"Sirota","given":"Marina"},{"family":"Cooper","given":"Gregory M."},{"family":"Sidow","given":"Arend"},{"family":"Batzoglou","given":"Serafim"}],"issued":{"date-parts":[["2010",12,2]]}}}],"schema":"https://github.com/citation-style-language/schema/raw/master/csl-citation.json"} </w:instrText>
      </w:r>
      <w:r>
        <w:rPr>
          <w:rFonts w:ascii="Arial" w:hAnsi="Arial" w:cs="Arial"/>
        </w:rPr>
        <w:fldChar w:fldCharType="separate"/>
      </w:r>
      <w:r w:rsidR="003803CA" w:rsidRPr="003803CA">
        <w:rPr>
          <w:rFonts w:ascii="Arial" w:hAnsi="Arial" w:cs="Arial"/>
        </w:rPr>
        <w:t>(15)</w:t>
      </w:r>
      <w:r>
        <w:rPr>
          <w:rFonts w:ascii="Arial" w:hAnsi="Arial" w:cs="Arial"/>
        </w:rPr>
        <w:fldChar w:fldCharType="end"/>
      </w:r>
      <w:r w:rsidR="00D62285">
        <w:rPr>
          <w:rFonts w:ascii="Arial" w:hAnsi="Arial" w:cs="Arial"/>
        </w:rPr>
        <w:t>.</w:t>
      </w:r>
    </w:p>
    <w:p w14:paraId="11B40BDF" w14:textId="6D050152" w:rsidR="00A73BAE" w:rsidRDefault="00A73BAE" w:rsidP="00857AD9">
      <w:pPr>
        <w:spacing w:line="480" w:lineRule="auto"/>
        <w:jc w:val="both"/>
        <w:rPr>
          <w:rFonts w:ascii="Arial" w:hAnsi="Arial" w:cs="Arial"/>
        </w:rPr>
      </w:pPr>
      <w:r w:rsidRPr="00B167A8">
        <w:rPr>
          <w:rFonts w:ascii="Arial" w:hAnsi="Arial" w:cs="Arial"/>
          <w:i/>
        </w:rPr>
        <w:t>Variant filtering:</w:t>
      </w:r>
      <w:r w:rsidRPr="00B167A8">
        <w:rPr>
          <w:rFonts w:ascii="Arial" w:hAnsi="Arial" w:cs="Arial"/>
        </w:rPr>
        <w:t xml:space="preserve"> </w:t>
      </w:r>
      <w:r w:rsidRPr="00232045">
        <w:rPr>
          <w:rFonts w:ascii="Arial" w:hAnsi="Arial" w:cs="Arial"/>
        </w:rPr>
        <w:t>variants with high freque</w:t>
      </w:r>
      <w:r>
        <w:rPr>
          <w:rFonts w:ascii="Arial" w:hAnsi="Arial" w:cs="Arial"/>
        </w:rPr>
        <w:t>ncy in the population (&gt;0.01) w</w:t>
      </w:r>
      <w:r w:rsidRPr="00232045">
        <w:rPr>
          <w:rFonts w:ascii="Arial" w:hAnsi="Arial" w:cs="Arial"/>
        </w:rPr>
        <w:t>ere discarded.</w:t>
      </w:r>
      <w:r w:rsidRPr="007C2954">
        <w:rPr>
          <w:rFonts w:ascii="Arial" w:hAnsi="Arial" w:cs="Arial"/>
        </w:rPr>
        <w:t xml:space="preserve"> </w:t>
      </w:r>
      <w:r w:rsidRPr="00232045">
        <w:rPr>
          <w:rFonts w:ascii="Arial" w:hAnsi="Arial" w:cs="Arial"/>
        </w:rPr>
        <w:t xml:space="preserve">A </w:t>
      </w:r>
      <w:r>
        <w:rPr>
          <w:rFonts w:ascii="Arial" w:hAnsi="Arial" w:cs="Arial"/>
        </w:rPr>
        <w:t>minimum</w:t>
      </w:r>
      <w:r w:rsidRPr="00232045">
        <w:rPr>
          <w:rFonts w:ascii="Arial" w:hAnsi="Arial" w:cs="Arial"/>
        </w:rPr>
        <w:t xml:space="preserve"> coverage of 20 reads and a </w:t>
      </w:r>
      <w:r>
        <w:rPr>
          <w:rFonts w:ascii="Arial" w:hAnsi="Arial" w:cs="Arial"/>
        </w:rPr>
        <w:t>minimum</w:t>
      </w:r>
      <w:r w:rsidRPr="00232045">
        <w:rPr>
          <w:rFonts w:ascii="Arial" w:hAnsi="Arial" w:cs="Arial"/>
        </w:rPr>
        <w:t xml:space="preserve"> </w:t>
      </w:r>
      <w:r w:rsidR="00E4038D">
        <w:rPr>
          <w:rFonts w:ascii="Arial" w:hAnsi="Arial" w:cs="Arial"/>
        </w:rPr>
        <w:t>VAF</w:t>
      </w:r>
      <w:r>
        <w:rPr>
          <w:rFonts w:ascii="Arial" w:hAnsi="Arial" w:cs="Arial"/>
        </w:rPr>
        <w:t xml:space="preserve"> of 0.1 in at least one time point</w:t>
      </w:r>
      <w:r w:rsidRPr="00232045">
        <w:rPr>
          <w:rFonts w:ascii="Arial" w:hAnsi="Arial" w:cs="Arial"/>
        </w:rPr>
        <w:t xml:space="preserve"> were also established</w:t>
      </w:r>
      <w:r>
        <w:rPr>
          <w:rFonts w:ascii="Arial" w:hAnsi="Arial" w:cs="Arial"/>
        </w:rPr>
        <w:t>.</w:t>
      </w:r>
      <w:r w:rsidRPr="00232045">
        <w:rPr>
          <w:rFonts w:ascii="Arial" w:hAnsi="Arial" w:cs="Arial"/>
        </w:rPr>
        <w:t xml:space="preserve"> </w:t>
      </w:r>
      <w:r>
        <w:rPr>
          <w:rFonts w:ascii="Arial" w:hAnsi="Arial" w:cs="Arial"/>
        </w:rPr>
        <w:t>Somatic status of each variant was defined using the Fisher Exact Test to compare tumor and germline control samples (p-value&lt;0.01 and effect Size≥2.5)</w:t>
      </w:r>
      <w:r w:rsidRPr="00232045">
        <w:rPr>
          <w:rFonts w:ascii="Arial" w:hAnsi="Arial" w:cs="Arial"/>
        </w:rPr>
        <w:t xml:space="preserve">. </w:t>
      </w:r>
      <w:r>
        <w:rPr>
          <w:rFonts w:ascii="Arial" w:hAnsi="Arial" w:cs="Arial"/>
        </w:rPr>
        <w:t>Only variants with a consistent damaging impact on protein were considered.</w:t>
      </w:r>
    </w:p>
    <w:p w14:paraId="30BD9603" w14:textId="2A9F2421" w:rsidR="00A73BAE" w:rsidRPr="00B167A8" w:rsidRDefault="00A73BAE" w:rsidP="00A73BAE">
      <w:pPr>
        <w:spacing w:line="480" w:lineRule="auto"/>
        <w:jc w:val="both"/>
        <w:rPr>
          <w:rFonts w:ascii="Arial" w:hAnsi="Arial" w:cs="Arial"/>
        </w:rPr>
      </w:pPr>
      <w:r w:rsidRPr="00B167A8">
        <w:rPr>
          <w:rFonts w:ascii="Arial" w:hAnsi="Arial" w:cs="Arial"/>
          <w:i/>
        </w:rPr>
        <w:t>Copy number variants</w:t>
      </w:r>
      <w:r>
        <w:rPr>
          <w:rFonts w:ascii="Arial" w:hAnsi="Arial" w:cs="Arial"/>
          <w:i/>
        </w:rPr>
        <w:t xml:space="preserve"> (CNVs</w:t>
      </w:r>
      <w:r w:rsidRPr="008D1CEF">
        <w:rPr>
          <w:rFonts w:ascii="Arial" w:hAnsi="Arial" w:cs="Arial"/>
          <w:i/>
        </w:rPr>
        <w:t>):</w:t>
      </w:r>
      <w:r w:rsidRPr="00C2524E">
        <w:rPr>
          <w:rFonts w:ascii="Arial" w:hAnsi="Arial" w:cs="Arial"/>
        </w:rPr>
        <w:t xml:space="preserve"> the exome2cnv algorithm</w:t>
      </w:r>
      <w:r w:rsidR="008D1CEF" w:rsidRPr="00C2524E">
        <w:rPr>
          <w:rFonts w:ascii="Arial" w:hAnsi="Arial" w:cs="Arial"/>
        </w:rPr>
        <w:t xml:space="preserve"> used for </w:t>
      </w:r>
      <w:r w:rsidR="008D1CEF">
        <w:rPr>
          <w:rFonts w:ascii="Arial" w:hAnsi="Arial" w:cs="Arial"/>
        </w:rPr>
        <w:t>CNVs detection</w:t>
      </w:r>
      <w:r>
        <w:rPr>
          <w:rFonts w:ascii="Arial" w:hAnsi="Arial" w:cs="Arial"/>
        </w:rPr>
        <w:t xml:space="preserve"> </w:t>
      </w:r>
      <w:r w:rsidR="008D1CEF">
        <w:rPr>
          <w:rFonts w:ascii="Arial" w:hAnsi="Arial" w:cs="Arial"/>
        </w:rPr>
        <w:t>incorporated</w:t>
      </w:r>
      <w:r w:rsidRPr="006A7B45">
        <w:rPr>
          <w:rFonts w:ascii="Arial" w:hAnsi="Arial" w:cs="Arial"/>
        </w:rPr>
        <w:t xml:space="preserve"> a combination of read depth and allelic imbalance computations for copy number assessment</w:t>
      </w:r>
      <w:r w:rsidR="008D1CEF">
        <w:rPr>
          <w:rFonts w:ascii="Arial" w:hAnsi="Arial" w:cs="Arial"/>
        </w:rPr>
        <w:t>.</w:t>
      </w:r>
      <w:r>
        <w:rPr>
          <w:rFonts w:ascii="Arial" w:hAnsi="Arial" w:cs="Arial"/>
        </w:rPr>
        <w:t xml:space="preserve"> </w:t>
      </w:r>
    </w:p>
    <w:p w14:paraId="52D6B764" w14:textId="49380383" w:rsidR="00A73BAE" w:rsidRDefault="00A73BAE" w:rsidP="00857AD9">
      <w:pPr>
        <w:spacing w:line="480" w:lineRule="auto"/>
        <w:jc w:val="both"/>
        <w:rPr>
          <w:rFonts w:ascii="Arial" w:hAnsi="Arial" w:cs="Arial"/>
        </w:rPr>
      </w:pPr>
      <w:r w:rsidRPr="00B167A8">
        <w:rPr>
          <w:rFonts w:ascii="Arial" w:hAnsi="Arial" w:cs="Arial"/>
          <w:i/>
        </w:rPr>
        <w:t>Cancer cell fraction</w:t>
      </w:r>
      <w:r>
        <w:rPr>
          <w:rFonts w:ascii="Arial" w:hAnsi="Arial" w:cs="Arial"/>
          <w:i/>
        </w:rPr>
        <w:t xml:space="preserve"> (CCF</w:t>
      </w:r>
      <w:r w:rsidRPr="008D1CEF">
        <w:rPr>
          <w:rFonts w:ascii="Arial" w:hAnsi="Arial" w:cs="Arial"/>
          <w:i/>
        </w:rPr>
        <w:t>):</w:t>
      </w:r>
      <w:r w:rsidRPr="008D1CEF">
        <w:rPr>
          <w:rFonts w:ascii="Arial" w:hAnsi="Arial" w:cs="Arial"/>
        </w:rPr>
        <w:t xml:space="preserve"> </w:t>
      </w:r>
      <w:r w:rsidRPr="00C2524E">
        <w:rPr>
          <w:rFonts w:ascii="Arial" w:hAnsi="Arial" w:cs="Arial"/>
        </w:rPr>
        <w:t>the CCF a</w:t>
      </w:r>
      <w:r w:rsidR="00E4038D" w:rsidRPr="00C2524E">
        <w:rPr>
          <w:rFonts w:ascii="Arial" w:hAnsi="Arial" w:cs="Arial"/>
        </w:rPr>
        <w:t xml:space="preserve">nd the 95% </w:t>
      </w:r>
      <w:r w:rsidRPr="00C2524E">
        <w:rPr>
          <w:rFonts w:ascii="Arial" w:hAnsi="Arial" w:cs="Arial"/>
        </w:rPr>
        <w:t>CI</w:t>
      </w:r>
      <w:r w:rsidR="008D1CEF">
        <w:rPr>
          <w:rFonts w:ascii="Arial" w:hAnsi="Arial" w:cs="Arial"/>
        </w:rPr>
        <w:t xml:space="preserve"> </w:t>
      </w:r>
      <w:r w:rsidR="0009346C">
        <w:rPr>
          <w:rFonts w:ascii="Arial" w:hAnsi="Arial" w:cs="Arial"/>
        </w:rPr>
        <w:t xml:space="preserve">for each variant </w:t>
      </w:r>
      <w:r w:rsidR="008D1CEF">
        <w:rPr>
          <w:rFonts w:ascii="Arial" w:hAnsi="Arial" w:cs="Arial"/>
        </w:rPr>
        <w:t>were</w:t>
      </w:r>
      <w:r w:rsidR="005544CA">
        <w:rPr>
          <w:rFonts w:ascii="Arial" w:hAnsi="Arial" w:cs="Arial"/>
        </w:rPr>
        <w:t xml:space="preserve"> calculated using</w:t>
      </w:r>
      <w:r>
        <w:rPr>
          <w:rFonts w:ascii="Arial" w:hAnsi="Arial" w:cs="Arial"/>
        </w:rPr>
        <w:t xml:space="preserve"> the </w:t>
      </w:r>
      <w:r w:rsidRPr="00B167A8">
        <w:rPr>
          <w:rFonts w:ascii="Arial" w:hAnsi="Arial" w:cs="Arial"/>
        </w:rPr>
        <w:t xml:space="preserve">purity </w:t>
      </w:r>
      <w:r>
        <w:rPr>
          <w:rFonts w:ascii="Arial" w:hAnsi="Arial" w:cs="Arial"/>
        </w:rPr>
        <w:t xml:space="preserve">of samples </w:t>
      </w:r>
      <w:r w:rsidR="00C25D8F">
        <w:rPr>
          <w:rFonts w:ascii="Arial" w:hAnsi="Arial" w:cs="Arial"/>
        </w:rPr>
        <w:t xml:space="preserve">determined </w:t>
      </w:r>
      <w:r>
        <w:rPr>
          <w:rFonts w:ascii="Arial" w:hAnsi="Arial" w:cs="Arial"/>
        </w:rPr>
        <w:t>by flow cytometry</w:t>
      </w:r>
      <w:r w:rsidR="0009346C">
        <w:rPr>
          <w:rFonts w:ascii="Arial" w:hAnsi="Arial" w:cs="Arial"/>
        </w:rPr>
        <w:t xml:space="preserve">, </w:t>
      </w:r>
      <w:r w:rsidRPr="00B167A8">
        <w:rPr>
          <w:rFonts w:ascii="Arial" w:hAnsi="Arial" w:cs="Arial"/>
        </w:rPr>
        <w:t xml:space="preserve">the ploidy based on the copy number and the </w:t>
      </w:r>
      <w:r w:rsidR="0009346C">
        <w:rPr>
          <w:rFonts w:ascii="Arial" w:hAnsi="Arial" w:cs="Arial"/>
        </w:rPr>
        <w:t xml:space="preserve">variant </w:t>
      </w:r>
      <w:r w:rsidRPr="00B167A8">
        <w:rPr>
          <w:rFonts w:ascii="Arial" w:hAnsi="Arial" w:cs="Arial"/>
        </w:rPr>
        <w:t>allele frequency</w:t>
      </w:r>
      <w:r w:rsidRPr="00045BE0">
        <w:rPr>
          <w:rFonts w:ascii="Arial" w:hAnsi="Arial" w:cs="Arial"/>
        </w:rPr>
        <w:t>. A significant change in CCF over time was determined if the 95% CIs of the CCF in the diagnosis and progression sample did not overlap</w:t>
      </w:r>
      <w:r w:rsidR="00AF6F02">
        <w:rPr>
          <w:rFonts w:ascii="Arial" w:hAnsi="Arial" w:cs="Arial"/>
        </w:rPr>
        <w:t xml:space="preserve"> </w:t>
      </w:r>
      <w:r w:rsidRPr="00045BE0">
        <w:rPr>
          <w:rFonts w:ascii="Arial" w:hAnsi="Arial" w:cs="Arial"/>
        </w:rPr>
        <w:fldChar w:fldCharType="begin"/>
      </w:r>
      <w:r w:rsidR="003803CA">
        <w:rPr>
          <w:rFonts w:ascii="Arial" w:hAnsi="Arial" w:cs="Arial"/>
        </w:rPr>
        <w:instrText xml:space="preserve"> ADDIN ZOTERO_ITEM CSL_CITATION {"citationID":"dtpZG1Yd","properties":{"formattedCitation":"(16)","plainCitation":"(16)","noteIndex":0},"citationItems":[{"id":217,"uris":["http://zotero.org/users/local/4b5Ga8Uq/items/RNDY3DFD"],"uri":["http://zotero.org/users/local/4b5Ga8Uq/items/RNDY3DFD"],"itemData":{"id":217,"type":"article-journal","title":"Mutations driving CLL and their evolution in progression and relapse","container-title":"Nature","page":"525-530","volume":"526","issue":"7574","source":"www.nature.com","abstract":"Which genetic alterations drive tumorigenesis and how they evolve over the course of disease and therapy are central questions in cancer biology. Here we identify 44 recurrently mutated genes and 11 recurrent somatic copy number variations through whole-exome sequencing of 538 chronic lymphocytic leukaemia (CLL) and matched germline DNA samples, 278 of which were collected in a prospective clinical trial. These include previously unrecognized putative cancer drivers (RPS15, IKZF3), and collectively identify RNA processing and export, MYC activity, and MAPK signalling as central pathways involved in CLL. Clonality analysis of this large data set further enabled reconstruction of temporal relationships between driver events. Direct comparison between matched pre-treatment and relapse samples from 59 patients demonstrated highly frequent clonal evolution. Thus, large sequencing data sets of clinically informative samples enable the discovery of novel genes associated with cancer, the network of relationships between the driver events, and their impact on disease relapse and clinical outcome.","DOI":"10.1038/nature15395","ISSN":"1476-4687","language":"en","author":[{"family":"Landau","given":"Dan A."},{"family":"Tausch","given":"Eugen"},{"family":"Taylor-Weiner","given":"Amaro N."},{"family":"Stewart","given":"Chip"},{"family":"Reiter","given":"Johannes G."},{"family":"Bahlo","given":"Jasmin"},{"family":"Kluth","given":"Sandra"},{"family":"Bozic","given":"Ivana"},{"family":"Lawrence","given":"Mike"},{"family":"Böttcher","given":"Sebastian"},{"family":"Carter","given":"Scott L."},{"family":"Cibulskis","given":"Kristian"},{"family":"Mertens","given":"Daniel"},{"family":"Sougnez","given":"Carrie L."},{"family":"Rosenberg","given":"Mara"},{"family":"Hess","given":"Julian M."},{"family":"Edelmann","given":"Jennifer"},{"family":"Kless","given":"Sabrina"},{"family":"Kneba","given":"Michael"},{"family":"Ritgen","given":"Matthias"},{"family":"Fink","given":"Anna"},{"family":"Fischer","given":"Kirsten"},{"family":"Gabriel","given":"Stacey"},{"family":"Lander","given":"Eric S."},{"family":"Nowak","given":"Martin A."},{"family":"Döhner","given":"Hartmut"},{"family":"Hallek","given":"Michael"},{"family":"Neuberg","given":"Donna"},{"family":"Getz","given":"Gad"},{"family":"Stilgenbauer","given":"Stephan"},{"family":"Wu","given":"Catherine J."}],"issued":{"date-parts":[["2015",10]]}}}],"schema":"https://github.com/citation-style-language/schema/raw/master/csl-citation.json"} </w:instrText>
      </w:r>
      <w:r w:rsidRPr="00045BE0">
        <w:rPr>
          <w:rFonts w:ascii="Arial" w:hAnsi="Arial" w:cs="Arial"/>
        </w:rPr>
        <w:fldChar w:fldCharType="separate"/>
      </w:r>
      <w:r w:rsidR="003803CA" w:rsidRPr="003803CA">
        <w:rPr>
          <w:rFonts w:ascii="Arial" w:hAnsi="Arial" w:cs="Arial"/>
        </w:rPr>
        <w:t>(16)</w:t>
      </w:r>
      <w:r w:rsidRPr="00045BE0">
        <w:rPr>
          <w:rFonts w:ascii="Arial" w:hAnsi="Arial" w:cs="Arial"/>
        </w:rPr>
        <w:fldChar w:fldCharType="end"/>
      </w:r>
      <w:r w:rsidR="00D62285">
        <w:rPr>
          <w:rFonts w:ascii="Arial" w:hAnsi="Arial" w:cs="Arial"/>
        </w:rPr>
        <w:t>.</w:t>
      </w:r>
    </w:p>
    <w:p w14:paraId="39FF9941" w14:textId="77777777" w:rsidR="008D2AF6" w:rsidRPr="00EA50E8" w:rsidRDefault="008D2AF6" w:rsidP="008D2AF6">
      <w:pPr>
        <w:spacing w:line="480" w:lineRule="auto"/>
        <w:jc w:val="both"/>
        <w:rPr>
          <w:rFonts w:ascii="Arial" w:hAnsi="Arial" w:cs="Arial"/>
          <w:b/>
        </w:rPr>
      </w:pPr>
      <w:r w:rsidRPr="00EA50E8">
        <w:rPr>
          <w:rFonts w:ascii="Arial" w:hAnsi="Arial" w:cs="Arial"/>
          <w:b/>
        </w:rPr>
        <w:t>Targeted sequencing of CLL genetic drivers</w:t>
      </w:r>
    </w:p>
    <w:p w14:paraId="4E80B07D" w14:textId="0634E1AE" w:rsidR="008D2AF6" w:rsidRPr="00B15092" w:rsidRDefault="008D2AF6" w:rsidP="008D2AF6">
      <w:pPr>
        <w:spacing w:line="480" w:lineRule="auto"/>
        <w:jc w:val="both"/>
        <w:rPr>
          <w:rFonts w:ascii="Arial" w:hAnsi="Arial" w:cs="Arial"/>
        </w:rPr>
      </w:pPr>
      <w:r>
        <w:rPr>
          <w:rFonts w:ascii="Arial" w:hAnsi="Arial" w:cs="Arial"/>
        </w:rPr>
        <w:t xml:space="preserve">Sequencing </w:t>
      </w:r>
      <w:r w:rsidRPr="00B167A8">
        <w:rPr>
          <w:rFonts w:ascii="Arial" w:hAnsi="Arial" w:cs="Arial"/>
        </w:rPr>
        <w:t>of 9 CLL driver genes (</w:t>
      </w:r>
      <w:r w:rsidRPr="00B167A8">
        <w:rPr>
          <w:rFonts w:ascii="Arial" w:hAnsi="Arial" w:cs="Arial"/>
          <w:i/>
        </w:rPr>
        <w:t>TP53</w:t>
      </w:r>
      <w:r w:rsidRPr="00B167A8">
        <w:rPr>
          <w:rFonts w:ascii="Arial" w:hAnsi="Arial" w:cs="Arial"/>
        </w:rPr>
        <w:t xml:space="preserve">, </w:t>
      </w:r>
      <w:r w:rsidRPr="00B167A8">
        <w:rPr>
          <w:rFonts w:ascii="Arial" w:hAnsi="Arial" w:cs="Arial"/>
          <w:i/>
        </w:rPr>
        <w:t>BIRC3</w:t>
      </w:r>
      <w:r w:rsidRPr="00B167A8">
        <w:rPr>
          <w:rFonts w:ascii="Arial" w:hAnsi="Arial" w:cs="Arial"/>
        </w:rPr>
        <w:t xml:space="preserve">, </w:t>
      </w:r>
      <w:r w:rsidRPr="00B167A8">
        <w:rPr>
          <w:rFonts w:ascii="Arial" w:hAnsi="Arial" w:cs="Arial"/>
          <w:i/>
        </w:rPr>
        <w:t>ATM</w:t>
      </w:r>
      <w:r w:rsidRPr="00B167A8">
        <w:rPr>
          <w:rFonts w:ascii="Arial" w:hAnsi="Arial" w:cs="Arial"/>
        </w:rPr>
        <w:t xml:space="preserve">, </w:t>
      </w:r>
      <w:r w:rsidRPr="00B167A8">
        <w:rPr>
          <w:rFonts w:ascii="Arial" w:hAnsi="Arial" w:cs="Arial"/>
          <w:i/>
        </w:rPr>
        <w:t>NOTCH1</w:t>
      </w:r>
      <w:r w:rsidRPr="00B167A8">
        <w:rPr>
          <w:rFonts w:ascii="Arial" w:hAnsi="Arial" w:cs="Arial"/>
        </w:rPr>
        <w:t xml:space="preserve">, </w:t>
      </w:r>
      <w:r w:rsidRPr="00B167A8">
        <w:rPr>
          <w:rFonts w:ascii="Arial" w:hAnsi="Arial" w:cs="Arial"/>
          <w:i/>
        </w:rPr>
        <w:t>SF3B1</w:t>
      </w:r>
      <w:r w:rsidRPr="00B167A8">
        <w:rPr>
          <w:rFonts w:ascii="Arial" w:hAnsi="Arial" w:cs="Arial"/>
        </w:rPr>
        <w:t xml:space="preserve">, </w:t>
      </w:r>
      <w:r w:rsidRPr="00B167A8">
        <w:rPr>
          <w:rFonts w:ascii="Arial" w:hAnsi="Arial" w:cs="Arial"/>
          <w:i/>
        </w:rPr>
        <w:t>XPO1</w:t>
      </w:r>
      <w:r w:rsidRPr="00B167A8">
        <w:rPr>
          <w:rFonts w:ascii="Arial" w:hAnsi="Arial" w:cs="Arial"/>
        </w:rPr>
        <w:t xml:space="preserve">, </w:t>
      </w:r>
      <w:r w:rsidRPr="00B167A8">
        <w:rPr>
          <w:rFonts w:ascii="Arial" w:hAnsi="Arial" w:cs="Arial"/>
          <w:i/>
        </w:rPr>
        <w:t>MYD88</w:t>
      </w:r>
      <w:r w:rsidRPr="00B167A8">
        <w:rPr>
          <w:rFonts w:ascii="Arial" w:hAnsi="Arial" w:cs="Arial"/>
        </w:rPr>
        <w:t xml:space="preserve">, </w:t>
      </w:r>
      <w:r w:rsidRPr="00B167A8">
        <w:rPr>
          <w:rFonts w:ascii="Arial" w:hAnsi="Arial" w:cs="Arial"/>
          <w:i/>
        </w:rPr>
        <w:t xml:space="preserve">FBXW7 </w:t>
      </w:r>
      <w:r w:rsidRPr="0080699B">
        <w:rPr>
          <w:rFonts w:ascii="Arial" w:hAnsi="Arial" w:cs="Arial"/>
        </w:rPr>
        <w:t>and</w:t>
      </w:r>
      <w:r w:rsidRPr="00B167A8">
        <w:rPr>
          <w:rFonts w:ascii="Arial" w:hAnsi="Arial" w:cs="Arial"/>
          <w:i/>
        </w:rPr>
        <w:t xml:space="preserve"> POT1</w:t>
      </w:r>
      <w:r w:rsidRPr="00B167A8">
        <w:rPr>
          <w:rFonts w:ascii="Arial" w:hAnsi="Arial" w:cs="Arial"/>
        </w:rPr>
        <w:t>) was performed</w:t>
      </w:r>
      <w:r>
        <w:rPr>
          <w:rFonts w:ascii="Arial" w:hAnsi="Arial" w:cs="Arial"/>
        </w:rPr>
        <w:t xml:space="preserve"> using amplicon-based library</w:t>
      </w:r>
      <w:r w:rsidRPr="00B167A8">
        <w:rPr>
          <w:rFonts w:ascii="Arial" w:hAnsi="Arial" w:cs="Arial"/>
        </w:rPr>
        <w:t xml:space="preserve"> preparation </w:t>
      </w:r>
      <w:r>
        <w:rPr>
          <w:rFonts w:ascii="Arial" w:hAnsi="Arial" w:cs="Arial"/>
        </w:rPr>
        <w:t>(</w:t>
      </w:r>
      <w:r w:rsidRPr="00B167A8">
        <w:rPr>
          <w:rFonts w:ascii="Arial" w:hAnsi="Arial" w:cs="Arial"/>
        </w:rPr>
        <w:t>CLL MASTR Plus assay</w:t>
      </w:r>
      <w:r>
        <w:rPr>
          <w:rFonts w:ascii="Arial" w:hAnsi="Arial" w:cs="Arial"/>
        </w:rPr>
        <w:t xml:space="preserve">; </w:t>
      </w:r>
      <w:r w:rsidRPr="00B167A8">
        <w:rPr>
          <w:rFonts w:ascii="Arial" w:hAnsi="Arial" w:cs="Arial"/>
        </w:rPr>
        <w:t>Multiplicom, Agilent)</w:t>
      </w:r>
      <w:r>
        <w:rPr>
          <w:rFonts w:ascii="Arial" w:hAnsi="Arial" w:cs="Arial"/>
        </w:rPr>
        <w:t xml:space="preserve"> starting from 200</w:t>
      </w:r>
      <w:r w:rsidRPr="00B167A8">
        <w:rPr>
          <w:rFonts w:ascii="Arial" w:hAnsi="Arial" w:cs="Arial"/>
        </w:rPr>
        <w:t xml:space="preserve">ng of </w:t>
      </w:r>
      <w:r>
        <w:rPr>
          <w:rFonts w:ascii="Arial" w:hAnsi="Arial" w:cs="Arial"/>
        </w:rPr>
        <w:t xml:space="preserve">tumor </w:t>
      </w:r>
      <w:r w:rsidRPr="00B167A8">
        <w:rPr>
          <w:rFonts w:ascii="Arial" w:hAnsi="Arial" w:cs="Arial"/>
        </w:rPr>
        <w:t>D</w:t>
      </w:r>
      <w:r>
        <w:rPr>
          <w:rFonts w:ascii="Arial" w:hAnsi="Arial" w:cs="Arial"/>
        </w:rPr>
        <w:t xml:space="preserve">NA. </w:t>
      </w:r>
      <w:r w:rsidRPr="00BD459D">
        <w:rPr>
          <w:rFonts w:ascii="Arial" w:hAnsi="Arial" w:cs="Arial"/>
        </w:rPr>
        <w:t xml:space="preserve">Libraries were sequenced on HiSeq2500 (Illumina) with a read length of 250bp paired-end, achieving </w:t>
      </w:r>
      <w:r>
        <w:rPr>
          <w:rFonts w:ascii="Arial" w:hAnsi="Arial" w:cs="Arial"/>
        </w:rPr>
        <w:t>2</w:t>
      </w:r>
      <w:r w:rsidR="00FE3630">
        <w:rPr>
          <w:rFonts w:ascii="Arial" w:hAnsi="Arial" w:cs="Arial"/>
        </w:rPr>
        <w:t xml:space="preserve"> </w:t>
      </w:r>
      <w:r w:rsidRPr="00BD459D">
        <w:rPr>
          <w:rFonts w:ascii="Arial" w:hAnsi="Arial" w:cs="Arial"/>
        </w:rPr>
        <w:t>000x mean depth of coverage.</w:t>
      </w:r>
      <w:r w:rsidRPr="00B167A8">
        <w:rPr>
          <w:rFonts w:ascii="Arial" w:hAnsi="Arial" w:cs="Arial"/>
        </w:rPr>
        <w:t xml:space="preserve"> </w:t>
      </w:r>
      <w:r>
        <w:rPr>
          <w:rFonts w:ascii="Arial" w:hAnsi="Arial" w:cs="Arial"/>
        </w:rPr>
        <w:t xml:space="preserve">Limit of detection was set at VAF of 0.05 </w:t>
      </w:r>
      <w:r w:rsidRPr="009E10BF">
        <w:rPr>
          <w:rFonts w:ascii="Arial" w:hAnsi="Arial" w:cs="Arial"/>
        </w:rPr>
        <w:t xml:space="preserve">in at least one time point. </w:t>
      </w:r>
      <w:r w:rsidRPr="00B167A8">
        <w:rPr>
          <w:rFonts w:ascii="Arial" w:hAnsi="Arial" w:cs="Arial"/>
        </w:rPr>
        <w:t>Data analysis was performed using DNAnexus (DNAnexus</w:t>
      </w:r>
      <w:r w:rsidR="00D62285">
        <w:rPr>
          <w:rFonts w:ascii="Arial" w:hAnsi="Arial" w:cs="Arial"/>
        </w:rPr>
        <w:t>, Mountain View, CA, USA</w:t>
      </w:r>
      <w:r w:rsidRPr="00B167A8">
        <w:rPr>
          <w:rFonts w:ascii="Arial" w:hAnsi="Arial" w:cs="Arial"/>
        </w:rPr>
        <w:t>).</w:t>
      </w:r>
    </w:p>
    <w:p w14:paraId="299601E2" w14:textId="39DD058B" w:rsidR="00E4038D" w:rsidRPr="00AC65E0" w:rsidRDefault="00857AD9" w:rsidP="00C2524E">
      <w:pPr>
        <w:spacing w:after="0" w:line="480" w:lineRule="auto"/>
        <w:jc w:val="both"/>
        <w:rPr>
          <w:rFonts w:ascii="Arial" w:hAnsi="Arial" w:cs="Arial"/>
          <w:b/>
        </w:rPr>
      </w:pPr>
      <w:r w:rsidRPr="00AC65E0">
        <w:rPr>
          <w:rFonts w:ascii="Arial" w:hAnsi="Arial" w:cs="Arial"/>
          <w:b/>
        </w:rPr>
        <w:t>RNA-Seq and data processing</w:t>
      </w:r>
    </w:p>
    <w:p w14:paraId="2C6FED7C" w14:textId="228AAB34" w:rsidR="00857AD9" w:rsidRDefault="00857AD9" w:rsidP="00857AD9">
      <w:pPr>
        <w:spacing w:line="480" w:lineRule="auto"/>
        <w:jc w:val="both"/>
        <w:rPr>
          <w:rFonts w:ascii="Arial" w:hAnsi="Arial" w:cs="Arial"/>
        </w:rPr>
      </w:pPr>
      <w:r w:rsidRPr="00AC65E0">
        <w:rPr>
          <w:rFonts w:ascii="Arial" w:hAnsi="Arial" w:cs="Arial"/>
          <w:i/>
        </w:rPr>
        <w:t xml:space="preserve">Sample preparation and sequencing: </w:t>
      </w:r>
      <w:r w:rsidR="004F3C8D">
        <w:rPr>
          <w:rFonts w:ascii="Arial" w:hAnsi="Arial" w:cs="Arial"/>
        </w:rPr>
        <w:t>10ng of f</w:t>
      </w:r>
      <w:r w:rsidR="004F3C8D" w:rsidRPr="00B167A8">
        <w:rPr>
          <w:rFonts w:ascii="Arial" w:hAnsi="Arial" w:cs="Arial"/>
        </w:rPr>
        <w:t xml:space="preserve">ull-length </w:t>
      </w:r>
      <w:r w:rsidR="004F3C8D">
        <w:rPr>
          <w:rFonts w:ascii="Arial" w:hAnsi="Arial" w:cs="Arial"/>
        </w:rPr>
        <w:t>T-cell-</w:t>
      </w:r>
      <w:r w:rsidR="004F3C8D" w:rsidRPr="00B167A8">
        <w:rPr>
          <w:rFonts w:ascii="Arial" w:hAnsi="Arial" w:cs="Arial"/>
        </w:rPr>
        <w:t>RNA</w:t>
      </w:r>
      <w:r w:rsidR="004F3C8D">
        <w:rPr>
          <w:rFonts w:ascii="Arial" w:hAnsi="Arial" w:cs="Arial"/>
        </w:rPr>
        <w:t xml:space="preserve"> were used to prepare sequencing </w:t>
      </w:r>
      <w:r w:rsidR="004F3C8D" w:rsidRPr="00B167A8">
        <w:rPr>
          <w:rFonts w:ascii="Arial" w:hAnsi="Arial" w:cs="Arial"/>
        </w:rPr>
        <w:t xml:space="preserve">libraries using the SMARTer Stranded Total RNA-Seq Kit v2 - Pico </w:t>
      </w:r>
      <w:r w:rsidR="004F3C8D" w:rsidRPr="00B167A8">
        <w:rPr>
          <w:rFonts w:ascii="Arial" w:hAnsi="Arial" w:cs="Arial"/>
        </w:rPr>
        <w:lastRenderedPageBreak/>
        <w:t xml:space="preserve">Input </w:t>
      </w:r>
      <w:r w:rsidR="004F3C8D">
        <w:rPr>
          <w:rFonts w:ascii="Arial" w:hAnsi="Arial" w:cs="Arial"/>
        </w:rPr>
        <w:t>Mammalian (Takara</w:t>
      </w:r>
      <w:r w:rsidR="00FE3630">
        <w:rPr>
          <w:rFonts w:ascii="Arial" w:hAnsi="Arial" w:cs="Arial"/>
        </w:rPr>
        <w:t>, Kusatsu, Japan</w:t>
      </w:r>
      <w:r w:rsidR="004F3C8D">
        <w:rPr>
          <w:rFonts w:ascii="Arial" w:hAnsi="Arial" w:cs="Arial"/>
        </w:rPr>
        <w:t>). T</w:t>
      </w:r>
      <w:r w:rsidRPr="00AC65E0">
        <w:rPr>
          <w:rFonts w:ascii="Arial" w:hAnsi="Arial" w:cs="Arial"/>
        </w:rPr>
        <w:t>otal T-cell-RNA w</w:t>
      </w:r>
      <w:r>
        <w:rPr>
          <w:rFonts w:ascii="Arial" w:hAnsi="Arial" w:cs="Arial"/>
        </w:rPr>
        <w:t>as</w:t>
      </w:r>
      <w:r w:rsidRPr="00AC65E0">
        <w:rPr>
          <w:rFonts w:ascii="Arial" w:hAnsi="Arial" w:cs="Arial"/>
        </w:rPr>
        <w:t xml:space="preserve"> reverse transcribed and Illumina compatible adapters and indexes were added to the cDNA followed by a purification using Agencourt Ampure XP beads (Beckman Coulter). Next, ribosomal (18S and 28S) and mitochondrial (m12S and m16) cDNA transcripts were depleted and final libraries were amplified during 16 PCR cycles. After two consecutive purification steps</w:t>
      </w:r>
      <w:r>
        <w:rPr>
          <w:rFonts w:ascii="Arial" w:hAnsi="Arial" w:cs="Arial"/>
        </w:rPr>
        <w:t>,</w:t>
      </w:r>
      <w:r w:rsidRPr="00AC65E0">
        <w:rPr>
          <w:rFonts w:ascii="Arial" w:hAnsi="Arial" w:cs="Arial"/>
        </w:rPr>
        <w:t xml:space="preserve"> the product size distribution and the quantity were assessed using Bioanalyzer High Sensitivity DNA Kit (Agilent Technologies). Libraries were sequenced on HiSeq2500 (Illumina) using TruSeq SBS Kit v4 (Illumina)</w:t>
      </w:r>
      <w:r w:rsidR="004F3C8D">
        <w:rPr>
          <w:rFonts w:ascii="Arial" w:hAnsi="Arial" w:cs="Arial"/>
        </w:rPr>
        <w:t>. O</w:t>
      </w:r>
      <w:r w:rsidR="004F3C8D" w:rsidRPr="00100EC3">
        <w:rPr>
          <w:rFonts w:ascii="Arial" w:hAnsi="Arial" w:cs="Arial"/>
        </w:rPr>
        <w:t>n average</w:t>
      </w:r>
      <w:r w:rsidR="004F3C8D">
        <w:rPr>
          <w:rFonts w:ascii="Arial" w:hAnsi="Arial" w:cs="Arial"/>
        </w:rPr>
        <w:t>,</w:t>
      </w:r>
      <w:r w:rsidR="004F3C8D" w:rsidRPr="00100EC3">
        <w:rPr>
          <w:rFonts w:ascii="Arial" w:hAnsi="Arial" w:cs="Arial"/>
        </w:rPr>
        <w:t xml:space="preserve"> 50 M paired-end reads </w:t>
      </w:r>
      <w:r w:rsidR="004F3C8D">
        <w:rPr>
          <w:rFonts w:ascii="Arial" w:hAnsi="Arial" w:cs="Arial"/>
        </w:rPr>
        <w:t>were obtained per sample</w:t>
      </w:r>
      <w:r w:rsidR="004F3C8D" w:rsidRPr="00100EC3">
        <w:rPr>
          <w:rFonts w:ascii="Arial" w:hAnsi="Arial" w:cs="Arial"/>
        </w:rPr>
        <w:t xml:space="preserve"> and 90% mapped to the reference genome</w:t>
      </w:r>
      <w:r w:rsidR="004F3C8D">
        <w:rPr>
          <w:rFonts w:ascii="Arial" w:hAnsi="Arial" w:cs="Arial"/>
        </w:rPr>
        <w:t>.</w:t>
      </w:r>
    </w:p>
    <w:p w14:paraId="5CF67A2C" w14:textId="46292F57" w:rsidR="00857AD9" w:rsidRPr="00C2524E" w:rsidRDefault="00857AD9" w:rsidP="00857AD9">
      <w:pPr>
        <w:spacing w:line="480" w:lineRule="auto"/>
        <w:jc w:val="both"/>
        <w:rPr>
          <w:rFonts w:ascii="Arial" w:hAnsi="Arial" w:cs="Arial"/>
        </w:rPr>
      </w:pPr>
      <w:r w:rsidRPr="005F058C">
        <w:rPr>
          <w:rFonts w:ascii="Arial" w:hAnsi="Arial" w:cs="Arial"/>
          <w:i/>
        </w:rPr>
        <w:t>Data analysis:</w:t>
      </w:r>
      <w:r w:rsidRPr="005F058C">
        <w:rPr>
          <w:rFonts w:ascii="Arial" w:hAnsi="Arial" w:cs="Arial"/>
        </w:rPr>
        <w:t xml:space="preserve"> </w:t>
      </w:r>
      <w:r w:rsidRPr="00C2524E">
        <w:rPr>
          <w:rFonts w:ascii="Arial" w:hAnsi="Arial" w:cs="Arial"/>
          <w:shd w:val="clear" w:color="auto" w:fill="FFFFFF"/>
        </w:rPr>
        <w:t>reads were mapped against the human reference genome (GENCODE release 28) using STAR version 2.5.3a</w:t>
      </w:r>
      <w:r w:rsidR="00AF6F02">
        <w:rPr>
          <w:rFonts w:ascii="Arial" w:hAnsi="Arial" w:cs="Arial"/>
          <w:shd w:val="clear" w:color="auto" w:fill="FFFFFF"/>
        </w:rPr>
        <w:t xml:space="preserve"> </w:t>
      </w:r>
      <w:r w:rsidRPr="00C2524E">
        <w:rPr>
          <w:rFonts w:ascii="Arial" w:hAnsi="Arial" w:cs="Arial"/>
          <w:shd w:val="clear" w:color="auto" w:fill="FFFFFF"/>
        </w:rPr>
        <w:fldChar w:fldCharType="begin"/>
      </w:r>
      <w:r w:rsidR="003803CA">
        <w:rPr>
          <w:rFonts w:ascii="Arial" w:hAnsi="Arial" w:cs="Arial"/>
          <w:shd w:val="clear" w:color="auto" w:fill="FFFFFF"/>
        </w:rPr>
        <w:instrText xml:space="preserve"> ADDIN ZOTERO_ITEM CSL_CITATION {"citationID":"Qt3n89Sb","properties":{"formattedCitation":"(17)","plainCitation":"(17)","noteIndex":0},"citationItems":[{"id":130,"uris":["http://zotero.org/users/local/4b5Ga8Uq/items/ILMC2BYA"],"uri":["http://zotero.org/users/local/4b5Ga8Uq/items/ILMC2BYA"],"itemData":{"id":130,"type":"article-journal","title":"STAR: ultrafast universal RNA-seq aligner","container-title":"Bioinformatics","page":"15-21","volume":"29","issue":"1","source":"PubMed Central","abstract":"Motivation: Accurate alignment of high-throughput RNA-seq data is a challenging and yet unsolved problem because of the non-contiguous transcript structure, relatively short read lengths and constantly increasing throughput of the sequencing technologies. Currently available RNA-seq aligners suffer from high mapping error rates, low mapping speed, read length limitation and mapping biases., Results: To align our large (&gt;80 billon reads) ENCODE Transcriptome RNA-seq dataset, we developed the Spliced Transcripts Alignment to a Reference (STAR) software based on a previously undescribed RNA-seq alignment algorithm that uses sequential maximum mappable seed search in uncompressed suffix arrays followed by seed clustering and stitching procedure. STAR outperforms other aligners by a factor of &gt;50 in mapping speed, aligning to the human genome 550 million 2 × 76 bp paired-end reads per hour on a modest 12-core server, while at the same time improving alignment sensitivity and precision. In addition to unbiased de novo detection of canonical junctions, STAR can discover non-canonical splices and chimeric (fusion) transcripts, and is also capable of mapping full-length RNA sequences. Using Roche 454 sequencing of reverse transcription polymerase chain reaction amplicons, we experimentally validated 1960 novel intergenic splice junctions with an 80–90% success rate, corroborating the high precision of the STAR mapping strategy., Availability and implementation: STAR is implemented as a standalone C++ code. STAR is free open source software distributed under GPLv3 license and can be downloaded from http://code.google.com/p/rna-star/., Contact:\ndobin@cshl.edu.","DOI":"10.1093/bioinformatics/bts635","ISSN":"1367-4803","note":"PMID: 23104886\nPMCID: PMC3530905","title-short":"STAR","journalAbbreviation":"Bioinformatics","author":[{"family":"Dobin","given":"Alexander"},{"family":"Davis","given":"Carrie A."},{"family":"Schlesinger","given":"Felix"},{"family":"Drenkow","given":"Jorg"},{"family":"Zaleski","given":"Chris"},{"family":"Jha","given":"Sonali"},{"family":"Batut","given":"Philippe"},{"family":"Chaisson","given":"Mark"},{"family":"Gingeras","given":"Thomas R."}],"issued":{"date-parts":[["2013",1]]}}}],"schema":"https://github.com/citation-style-language/schema/raw/master/csl-citation.json"} </w:instrText>
      </w:r>
      <w:r w:rsidRPr="00C2524E">
        <w:rPr>
          <w:rFonts w:ascii="Arial" w:hAnsi="Arial" w:cs="Arial"/>
          <w:shd w:val="clear" w:color="auto" w:fill="FFFFFF"/>
        </w:rPr>
        <w:fldChar w:fldCharType="separate"/>
      </w:r>
      <w:r w:rsidR="003803CA" w:rsidRPr="003803CA">
        <w:rPr>
          <w:rFonts w:ascii="Arial" w:hAnsi="Arial" w:cs="Arial"/>
        </w:rPr>
        <w:t>(17)</w:t>
      </w:r>
      <w:r w:rsidRPr="00C2524E">
        <w:rPr>
          <w:rFonts w:ascii="Arial" w:hAnsi="Arial" w:cs="Arial"/>
          <w:shd w:val="clear" w:color="auto" w:fill="FFFFFF"/>
        </w:rPr>
        <w:fldChar w:fldCharType="end"/>
      </w:r>
      <w:r w:rsidRPr="00C2524E">
        <w:rPr>
          <w:rFonts w:ascii="Arial" w:hAnsi="Arial" w:cs="Arial"/>
          <w:shd w:val="clear" w:color="auto" w:fill="FFFFFF"/>
        </w:rPr>
        <w:t xml:space="preserve"> with the parameter outFilterMultimapNmax=1</w:t>
      </w:r>
      <w:r w:rsidR="00AE63B0">
        <w:rPr>
          <w:rFonts w:ascii="Arial" w:hAnsi="Arial" w:cs="Arial"/>
          <w:shd w:val="clear" w:color="auto" w:fill="FFFFFF"/>
        </w:rPr>
        <w:t xml:space="preserve"> in order to ensure that only transcripts that were uniquely mapped to the human genome were analyzed so that potential artifacts can be avoided</w:t>
      </w:r>
      <w:r w:rsidRPr="00C2524E">
        <w:rPr>
          <w:rFonts w:ascii="Arial" w:hAnsi="Arial" w:cs="Arial"/>
          <w:shd w:val="clear" w:color="auto" w:fill="FFFFFF"/>
        </w:rPr>
        <w:t>. Genes were quantified with RSEM version 1.3.0</w:t>
      </w:r>
      <w:r w:rsidR="00AF6F02">
        <w:rPr>
          <w:rFonts w:ascii="Arial" w:hAnsi="Arial" w:cs="Arial"/>
          <w:shd w:val="clear" w:color="auto" w:fill="FFFFFF"/>
        </w:rPr>
        <w:t xml:space="preserve"> </w:t>
      </w:r>
      <w:r w:rsidRPr="00C2524E">
        <w:rPr>
          <w:rFonts w:ascii="Arial" w:hAnsi="Arial" w:cs="Arial"/>
          <w:shd w:val="clear" w:color="auto" w:fill="FFFFFF"/>
        </w:rPr>
        <w:fldChar w:fldCharType="begin"/>
      </w:r>
      <w:r w:rsidR="003803CA">
        <w:rPr>
          <w:rFonts w:ascii="Arial" w:hAnsi="Arial" w:cs="Arial"/>
          <w:shd w:val="clear" w:color="auto" w:fill="FFFFFF"/>
        </w:rPr>
        <w:instrText xml:space="preserve"> ADDIN ZOTERO_ITEM CSL_CITATION {"citationID":"CHoo5FNH","properties":{"formattedCitation":"(18)","plainCitation":"(18)","noteIndex":0},"citationItems":[{"id":133,"uris":["http://zotero.org/users/local/4b5Ga8Uq/items/N29J9EZT"],"uri":["http://zotero.org/users/local/4b5Ga8Uq/items/N29J9EZT"],"itemData":{"id":133,"type":"article-journal","title":"RSEM: accurate transcript quantification from RNA-Seq data with or without a reference genome","container-title":"BMC Bioinformatics","page":"323","volume":"12","issue":"1","source":"BioMed Central","abstract":"RNA-Seq is revolutionizing the way transcript abundances are measured. A key challenge in transcript quantification from RNA-Seq data is the handling of reads that map to multiple genes or isoforms. This issue is particularly important for quantification with de novo transcriptome assemblies in the absence of sequenced genomes, as it is difficult to determine which transcripts are isoforms of the same gene. A second significant issue is the design of RNA-Seq experiments, in terms of the number of reads, read length, and whether reads come from one or both ends of cDNA fragments.","DOI":"10.1186/1471-2105-12-323","ISSN":"1471-2105","title-short":"RSEM","journalAbbreviation":"BMC Bioinformatics","author":[{"family":"Li","given":"Bo"},{"family":"Dewey","given":"Colin N."}],"issued":{"date-parts":[["2011",8,4]]}}}],"schema":"https://github.com/citation-style-language/schema/raw/master/csl-citation.json"} </w:instrText>
      </w:r>
      <w:r w:rsidRPr="00C2524E">
        <w:rPr>
          <w:rFonts w:ascii="Arial" w:hAnsi="Arial" w:cs="Arial"/>
          <w:shd w:val="clear" w:color="auto" w:fill="FFFFFF"/>
        </w:rPr>
        <w:fldChar w:fldCharType="separate"/>
      </w:r>
      <w:r w:rsidR="003803CA" w:rsidRPr="003803CA">
        <w:rPr>
          <w:rFonts w:ascii="Arial" w:hAnsi="Arial" w:cs="Arial"/>
        </w:rPr>
        <w:t>(18)</w:t>
      </w:r>
      <w:r w:rsidRPr="00C2524E">
        <w:rPr>
          <w:rFonts w:ascii="Arial" w:hAnsi="Arial" w:cs="Arial"/>
          <w:shd w:val="clear" w:color="auto" w:fill="FFFFFF"/>
        </w:rPr>
        <w:fldChar w:fldCharType="end"/>
      </w:r>
      <w:r w:rsidRPr="00C2524E">
        <w:rPr>
          <w:rFonts w:ascii="Arial" w:hAnsi="Arial" w:cs="Arial"/>
          <w:shd w:val="clear" w:color="auto" w:fill="FFFFFF"/>
        </w:rPr>
        <w:t xml:space="preserve"> using the GENCODE release 28 human annotation. Differential expressi</w:t>
      </w:r>
      <w:bookmarkStart w:id="0" w:name="_GoBack"/>
      <w:bookmarkEnd w:id="0"/>
      <w:r w:rsidRPr="00C2524E">
        <w:rPr>
          <w:rFonts w:ascii="Arial" w:hAnsi="Arial" w:cs="Arial"/>
          <w:shd w:val="clear" w:color="auto" w:fill="FFFFFF"/>
        </w:rPr>
        <w:t xml:space="preserve">on analysis was performed </w:t>
      </w:r>
      <w:r w:rsidR="00944228" w:rsidRPr="00C2524E">
        <w:rPr>
          <w:rFonts w:ascii="Arial" w:hAnsi="Arial" w:cs="Arial"/>
          <w:shd w:val="clear" w:color="auto" w:fill="FFFFFF"/>
        </w:rPr>
        <w:t xml:space="preserve">adjusting for patient </w:t>
      </w:r>
      <w:r w:rsidRPr="00C2524E">
        <w:rPr>
          <w:rFonts w:ascii="Arial" w:hAnsi="Arial" w:cs="Arial"/>
          <w:shd w:val="clear" w:color="auto" w:fill="FFFFFF"/>
        </w:rPr>
        <w:t>with DESeq2 version 1.18.1</w:t>
      </w:r>
      <w:r w:rsidR="00AF6F02">
        <w:rPr>
          <w:rFonts w:ascii="Arial" w:hAnsi="Arial" w:cs="Arial"/>
          <w:shd w:val="clear" w:color="auto" w:fill="FFFFFF"/>
        </w:rPr>
        <w:t xml:space="preserve"> </w:t>
      </w:r>
      <w:r w:rsidRPr="00C2524E">
        <w:rPr>
          <w:rFonts w:ascii="Arial" w:hAnsi="Arial" w:cs="Arial"/>
          <w:highlight w:val="cyan"/>
          <w:shd w:val="clear" w:color="auto" w:fill="FFFFFF"/>
        </w:rPr>
        <w:fldChar w:fldCharType="begin"/>
      </w:r>
      <w:r w:rsidR="003803CA">
        <w:rPr>
          <w:rFonts w:ascii="Arial" w:hAnsi="Arial" w:cs="Arial"/>
          <w:highlight w:val="cyan"/>
          <w:shd w:val="clear" w:color="auto" w:fill="FFFFFF"/>
        </w:rPr>
        <w:instrText xml:space="preserve"> ADDIN ZOTERO_ITEM CSL_CITATION {"citationID":"hxNoaXfl","properties":{"formattedCitation":"(19)","plainCitation":"(19)","noteIndex":0},"citationItems":[{"id":136,"uris":["http://zotero.org/users/local/4b5Ga8Uq/items/MRI5IT9A"],"uri":["http://zotero.org/users/local/4b5Ga8Uq/items/MRI5IT9A"],"itemData":{"id":136,"type":"article-journal","title":"Moderated estimation of fold change and  dispersion for RNA-seq data with DESeq2","container-title":"Genome Biology","page":"550","volume":"15","issue":"12","source":"PubMed","abstract":"In comparative high-throughput sequencing assays, a fundamental task is the analysis of count data, such as read counts per gene in RNA-seq, for evidence of systematic changes across experimental conditions. Small replicate numbers, discreteness, large dynamic range and the presence of outliers require a suitable statistical approach. We present DESeq2, a method for differential analysis of count data, using shrinkage estimation for dispersions and fold changes to improve stability and interpretability of estimates. This enables a more quantitative analysis focused on the strength rather than the mere presence of differential expression. The DESeq2 package is available at http://www.bioconductor.org/packages/release/bioc/html/DESeq2.html webcite.","DOI":"10.1186/s13059-014-0550-8","ISSN":"1474-760X","note":"PMID: 25516281\nPMCID: PMC4302049","journalAbbreviation":"Genome Biol.","language":"eng","author":[{"family":"Love","given":"Michael I."},{"family":"Huber","given":"Wolfgang"},{"family":"Anders","given":"Simon"}],"issued":{"date-parts":[["2014"]]}}}],"schema":"https://github.com/citation-style-language/schema/raw/master/csl-citation.json"} </w:instrText>
      </w:r>
      <w:r w:rsidRPr="00C2524E">
        <w:rPr>
          <w:rFonts w:ascii="Arial" w:hAnsi="Arial" w:cs="Arial"/>
          <w:highlight w:val="cyan"/>
          <w:shd w:val="clear" w:color="auto" w:fill="FFFFFF"/>
        </w:rPr>
        <w:fldChar w:fldCharType="separate"/>
      </w:r>
      <w:r w:rsidR="003803CA" w:rsidRPr="003803CA">
        <w:rPr>
          <w:rFonts w:ascii="Arial" w:hAnsi="Arial" w:cs="Arial"/>
        </w:rPr>
        <w:t>(19)</w:t>
      </w:r>
      <w:r w:rsidRPr="00C2524E">
        <w:rPr>
          <w:rFonts w:ascii="Arial" w:hAnsi="Arial" w:cs="Arial"/>
          <w:highlight w:val="cyan"/>
          <w:shd w:val="clear" w:color="auto" w:fill="FFFFFF"/>
        </w:rPr>
        <w:fldChar w:fldCharType="end"/>
      </w:r>
      <w:r w:rsidR="000372C5">
        <w:rPr>
          <w:rFonts w:ascii="Arial" w:hAnsi="Arial" w:cs="Arial"/>
          <w:shd w:val="clear" w:color="auto" w:fill="FFFFFF"/>
        </w:rPr>
        <w:t>.</w:t>
      </w:r>
      <w:r w:rsidR="00B34E5A" w:rsidRPr="00C2524E">
        <w:rPr>
          <w:rFonts w:ascii="Arial" w:hAnsi="Arial" w:cs="Arial"/>
          <w:shd w:val="clear" w:color="auto" w:fill="FFFFFF"/>
        </w:rPr>
        <w:t xml:space="preserve"> Genes with adjusted P </w:t>
      </w:r>
      <w:r w:rsidR="00944228" w:rsidRPr="00C2524E">
        <w:rPr>
          <w:rFonts w:ascii="Arial" w:hAnsi="Arial" w:cs="Arial"/>
          <w:shd w:val="clear" w:color="auto" w:fill="FFFFFF"/>
        </w:rPr>
        <w:t>value</w:t>
      </w:r>
      <w:r w:rsidR="004F3C8D" w:rsidRPr="00C2524E">
        <w:rPr>
          <w:rFonts w:ascii="Arial" w:hAnsi="Arial" w:cs="Arial"/>
          <w:shd w:val="clear" w:color="auto" w:fill="FFFFFF"/>
        </w:rPr>
        <w:t xml:space="preserve"> (padj)</w:t>
      </w:r>
      <w:r w:rsidR="00944228" w:rsidRPr="00C2524E">
        <w:rPr>
          <w:rFonts w:ascii="Arial" w:hAnsi="Arial" w:cs="Arial"/>
          <w:shd w:val="clear" w:color="auto" w:fill="FFFFFF"/>
        </w:rPr>
        <w:t>&lt;0</w:t>
      </w:r>
      <w:r w:rsidR="00B34E5A" w:rsidRPr="00C2524E">
        <w:rPr>
          <w:rFonts w:ascii="Arial" w:hAnsi="Arial" w:cs="Arial"/>
          <w:shd w:val="clear" w:color="auto" w:fill="FFFFFF"/>
        </w:rPr>
        <w:t>.05 were considered signific</w:t>
      </w:r>
      <w:r w:rsidR="00C2524E" w:rsidRPr="00C2524E">
        <w:rPr>
          <w:rFonts w:ascii="Arial" w:hAnsi="Arial" w:cs="Arial"/>
          <w:shd w:val="clear" w:color="auto" w:fill="FFFFFF"/>
        </w:rPr>
        <w:t>ant and filtered out if</w:t>
      </w:r>
      <w:r w:rsidR="00B34E5A" w:rsidRPr="00C2524E">
        <w:rPr>
          <w:rFonts w:ascii="Arial" w:hAnsi="Arial" w:cs="Arial"/>
          <w:shd w:val="clear" w:color="auto" w:fill="FFFFFF"/>
        </w:rPr>
        <w:t xml:space="preserve"> </w:t>
      </w:r>
      <w:r w:rsidR="00C2524E" w:rsidRPr="00C2524E">
        <w:rPr>
          <w:rFonts w:ascii="Arial" w:hAnsi="Arial" w:cs="Arial"/>
          <w:shd w:val="clear" w:color="auto" w:fill="FFFFFF"/>
        </w:rPr>
        <w:t>padj</w:t>
      </w:r>
      <w:r w:rsidR="00B34E5A" w:rsidRPr="00C2524E">
        <w:rPr>
          <w:rFonts w:ascii="Arial" w:hAnsi="Arial" w:cs="Arial"/>
          <w:shd w:val="clear" w:color="auto" w:fill="FFFFFF"/>
        </w:rPr>
        <w:t>&gt;0.05 and |shrunken fold change|&lt;1.5.</w:t>
      </w:r>
      <w:r w:rsidR="00944228" w:rsidRPr="00C2524E">
        <w:rPr>
          <w:rFonts w:ascii="Arial" w:hAnsi="Arial" w:cs="Arial"/>
          <w:shd w:val="clear" w:color="auto" w:fill="FFFFFF"/>
        </w:rPr>
        <w:t xml:space="preserve"> </w:t>
      </w:r>
      <w:r w:rsidR="00A059B3" w:rsidRPr="00C2524E">
        <w:rPr>
          <w:rFonts w:ascii="Arial" w:hAnsi="Arial" w:cs="Arial"/>
          <w:shd w:val="clear" w:color="auto" w:fill="FFFFFF"/>
        </w:rPr>
        <w:t>Heatmap showing the top-50 differentially expressed genes was performed with the regularized log transformation of the counts using the pheatmap R package with the option scale=”row”.</w:t>
      </w:r>
    </w:p>
    <w:p w14:paraId="76B9D8CD" w14:textId="77777777" w:rsidR="00857AD9" w:rsidRPr="006932CC" w:rsidRDefault="00857AD9" w:rsidP="00857AD9">
      <w:pPr>
        <w:spacing w:line="480" w:lineRule="auto"/>
        <w:jc w:val="both"/>
        <w:rPr>
          <w:rFonts w:ascii="Arial" w:eastAsia="Calibri" w:hAnsi="Arial" w:cs="Arial"/>
          <w:b/>
        </w:rPr>
      </w:pPr>
      <w:r w:rsidRPr="006932CC">
        <w:rPr>
          <w:rFonts w:ascii="Arial" w:eastAsia="Calibri" w:hAnsi="Arial" w:cs="Arial"/>
          <w:b/>
        </w:rPr>
        <w:t>Cell lines</w:t>
      </w:r>
    </w:p>
    <w:p w14:paraId="52BF231D" w14:textId="7DA61C91" w:rsidR="00857AD9" w:rsidRDefault="00857AD9" w:rsidP="00857AD9">
      <w:pPr>
        <w:spacing w:line="480" w:lineRule="auto"/>
        <w:jc w:val="both"/>
        <w:rPr>
          <w:rFonts w:ascii="Arial" w:eastAsia="Calibri" w:hAnsi="Arial" w:cs="Arial"/>
        </w:rPr>
      </w:pPr>
      <w:r w:rsidRPr="006932CC">
        <w:rPr>
          <w:rFonts w:ascii="Arial" w:eastAsia="Calibri" w:hAnsi="Arial" w:cs="Arial"/>
        </w:rPr>
        <w:t>The UE6E7T-2 human bone marrow stromal cells (BMSCs) cell line was obtained from Riken Cell Bank (Ibakari</w:t>
      </w:r>
      <w:r w:rsidR="00FE3630">
        <w:rPr>
          <w:rFonts w:ascii="Arial" w:eastAsia="Calibri" w:hAnsi="Arial" w:cs="Arial"/>
        </w:rPr>
        <w:t>, Japan</w:t>
      </w:r>
      <w:r w:rsidRPr="006932CC">
        <w:rPr>
          <w:rFonts w:ascii="Arial" w:eastAsia="Calibri" w:hAnsi="Arial" w:cs="Arial"/>
        </w:rPr>
        <w:t>)</w:t>
      </w:r>
      <w:r w:rsidR="005975D5">
        <w:rPr>
          <w:rFonts w:ascii="Arial" w:eastAsia="Calibri" w:hAnsi="Arial" w:cs="Arial"/>
        </w:rPr>
        <w:t xml:space="preserve"> and authenticated using short tandem repeat </w:t>
      </w:r>
      <w:r w:rsidR="00B237A8">
        <w:rPr>
          <w:rFonts w:ascii="Arial" w:eastAsia="Calibri" w:hAnsi="Arial" w:cs="Arial"/>
        </w:rPr>
        <w:t>analysis</w:t>
      </w:r>
      <w:r w:rsidRPr="006932CC">
        <w:rPr>
          <w:rFonts w:ascii="Arial" w:eastAsia="Calibri" w:hAnsi="Arial" w:cs="Arial"/>
        </w:rPr>
        <w:t>. Cells were cultured at 37ºC in 5% CO</w:t>
      </w:r>
      <w:r w:rsidRPr="006932CC">
        <w:rPr>
          <w:rFonts w:ascii="Arial" w:eastAsia="Calibri" w:hAnsi="Arial" w:cs="Arial"/>
          <w:vertAlign w:val="subscript"/>
        </w:rPr>
        <w:t>2</w:t>
      </w:r>
      <w:r w:rsidRPr="006932CC">
        <w:rPr>
          <w:rFonts w:ascii="Arial" w:eastAsia="Calibri" w:hAnsi="Arial" w:cs="Arial"/>
        </w:rPr>
        <w:t xml:space="preserve"> atmosphere in Dulbecco’s Modified Eagle Medium (DMEM; Biowest) supplemented with 10% FBS, 2mM L-glutamine and 50</w:t>
      </w:r>
      <w:r w:rsidRPr="006932CC">
        <w:rPr>
          <w:rFonts w:ascii="Symbol" w:eastAsia="Calibri" w:hAnsi="Symbol" w:cs="Arial"/>
        </w:rPr>
        <w:t></w:t>
      </w:r>
      <w:r w:rsidRPr="006932CC">
        <w:rPr>
          <w:rFonts w:ascii="Arial" w:eastAsia="Calibri" w:hAnsi="Arial" w:cs="Arial"/>
        </w:rPr>
        <w:t>g/m</w:t>
      </w:r>
      <w:r>
        <w:rPr>
          <w:rFonts w:ascii="Arial" w:eastAsia="Calibri" w:hAnsi="Arial" w:cs="Arial"/>
        </w:rPr>
        <w:t>L</w:t>
      </w:r>
      <w:r w:rsidRPr="006932CC">
        <w:rPr>
          <w:rFonts w:ascii="Arial" w:eastAsia="Calibri" w:hAnsi="Arial" w:cs="Arial"/>
        </w:rPr>
        <w:t xml:space="preserve"> penicillin/streptomycin (Biowest).</w:t>
      </w:r>
    </w:p>
    <w:p w14:paraId="09B2E615" w14:textId="77777777" w:rsidR="00857AD9" w:rsidRPr="00DB7262" w:rsidRDefault="00857AD9" w:rsidP="00857AD9">
      <w:pPr>
        <w:spacing w:line="480" w:lineRule="auto"/>
        <w:jc w:val="both"/>
        <w:rPr>
          <w:rFonts w:ascii="Arial" w:hAnsi="Arial" w:cs="Arial"/>
          <w:b/>
        </w:rPr>
      </w:pPr>
      <w:r w:rsidRPr="00DB7262">
        <w:rPr>
          <w:rFonts w:ascii="Arial" w:hAnsi="Arial" w:cs="Arial"/>
          <w:b/>
        </w:rPr>
        <w:lastRenderedPageBreak/>
        <w:t>Flow cytometry and cell staining</w:t>
      </w:r>
    </w:p>
    <w:p w14:paraId="7A025DFD" w14:textId="1B7386A0" w:rsidR="00FB6E0F" w:rsidRDefault="000C176C" w:rsidP="00FE0B75">
      <w:pPr>
        <w:spacing w:line="480" w:lineRule="auto"/>
        <w:jc w:val="both"/>
        <w:rPr>
          <w:rFonts w:ascii="Arial" w:hAnsi="Arial" w:cs="Arial"/>
        </w:rPr>
      </w:pPr>
      <w:r>
        <w:rPr>
          <w:rFonts w:ascii="Arial" w:hAnsi="Arial" w:cs="Arial"/>
        </w:rPr>
        <w:t>For immunophenotypic analysis, c</w:t>
      </w:r>
      <w:r w:rsidRPr="00044527">
        <w:rPr>
          <w:rFonts w:ascii="Arial" w:hAnsi="Arial" w:cs="Arial"/>
        </w:rPr>
        <w:t>ryopreserved</w:t>
      </w:r>
      <w:r>
        <w:rPr>
          <w:rFonts w:ascii="Arial" w:hAnsi="Arial" w:cs="Arial"/>
        </w:rPr>
        <w:t xml:space="preserve"> PBMCs</w:t>
      </w:r>
      <w:r w:rsidRPr="00044527">
        <w:rPr>
          <w:rFonts w:ascii="Arial" w:hAnsi="Arial" w:cs="Arial"/>
        </w:rPr>
        <w:t xml:space="preserve"> were thawed</w:t>
      </w:r>
      <w:r w:rsidR="00F3267A" w:rsidRPr="00F3267A">
        <w:rPr>
          <w:rFonts w:ascii="Arial" w:eastAsia="Calibri" w:hAnsi="Arial" w:cs="Arial"/>
        </w:rPr>
        <w:t xml:space="preserve"> </w:t>
      </w:r>
      <w:r w:rsidR="00F3267A" w:rsidRPr="008742C5">
        <w:rPr>
          <w:rFonts w:ascii="Arial" w:eastAsia="Calibri" w:hAnsi="Arial" w:cs="Arial"/>
        </w:rPr>
        <w:t>in RPMI-1640 supplemented with 10% FBS, 2mM L-glutamine and 50</w:t>
      </w:r>
      <w:r w:rsidR="00F3267A" w:rsidRPr="008742C5">
        <w:rPr>
          <w:rFonts w:ascii="Symbol" w:eastAsia="Calibri" w:hAnsi="Symbol" w:cs="Arial"/>
        </w:rPr>
        <w:t></w:t>
      </w:r>
      <w:r w:rsidR="00F3267A" w:rsidRPr="008742C5">
        <w:rPr>
          <w:rFonts w:ascii="Arial" w:eastAsia="Calibri" w:hAnsi="Arial" w:cs="Arial"/>
        </w:rPr>
        <w:t>g/m</w:t>
      </w:r>
      <w:r w:rsidR="00F3267A">
        <w:rPr>
          <w:rFonts w:ascii="Arial" w:eastAsia="Calibri" w:hAnsi="Arial" w:cs="Arial"/>
        </w:rPr>
        <w:t>L</w:t>
      </w:r>
      <w:r w:rsidR="00F3267A" w:rsidRPr="008742C5">
        <w:rPr>
          <w:rFonts w:ascii="Arial" w:eastAsia="Calibri" w:hAnsi="Arial" w:cs="Arial"/>
        </w:rPr>
        <w:t xml:space="preserve"> penicillin/streptomycin</w:t>
      </w:r>
      <w:r>
        <w:rPr>
          <w:rFonts w:ascii="Arial" w:hAnsi="Arial" w:cs="Arial"/>
        </w:rPr>
        <w:t>, washed and stained</w:t>
      </w:r>
      <w:r w:rsidRPr="00044527">
        <w:rPr>
          <w:rFonts w:ascii="Arial" w:hAnsi="Arial" w:cs="Arial"/>
        </w:rPr>
        <w:t xml:space="preserve"> with surface mAbs for 15</w:t>
      </w:r>
      <w:r>
        <w:rPr>
          <w:rFonts w:ascii="Arial" w:hAnsi="Arial" w:cs="Arial"/>
        </w:rPr>
        <w:t xml:space="preserve"> </w:t>
      </w:r>
      <w:r w:rsidRPr="00044527">
        <w:rPr>
          <w:rFonts w:ascii="Arial" w:hAnsi="Arial" w:cs="Arial"/>
        </w:rPr>
        <w:t>min</w:t>
      </w:r>
      <w:r>
        <w:rPr>
          <w:rFonts w:ascii="Arial" w:hAnsi="Arial" w:cs="Arial"/>
        </w:rPr>
        <w:t>utes</w:t>
      </w:r>
      <w:r w:rsidRPr="00044527">
        <w:rPr>
          <w:rFonts w:ascii="Arial" w:hAnsi="Arial" w:cs="Arial"/>
        </w:rPr>
        <w:t xml:space="preserve"> at room temperature</w:t>
      </w:r>
      <w:r>
        <w:rPr>
          <w:rFonts w:ascii="Arial" w:hAnsi="Arial" w:cs="Arial"/>
        </w:rPr>
        <w:t xml:space="preserve">. Then, cells were </w:t>
      </w:r>
      <w:r w:rsidRPr="00044527">
        <w:rPr>
          <w:rFonts w:ascii="Arial" w:hAnsi="Arial" w:cs="Arial"/>
        </w:rPr>
        <w:t xml:space="preserve">resuspended in staining buffer </w:t>
      </w:r>
      <w:r w:rsidR="00F3267A" w:rsidRPr="008742C5">
        <w:rPr>
          <w:rFonts w:ascii="Arial" w:eastAsia="Calibri" w:hAnsi="Arial" w:cs="Arial"/>
        </w:rPr>
        <w:t>(PBS with 1% bovine serum albumin and 0.1% sodium azide (Sigma</w:t>
      </w:r>
      <w:r w:rsidR="00FE3630">
        <w:rPr>
          <w:rFonts w:ascii="Arial" w:eastAsia="Calibri" w:hAnsi="Arial" w:cs="Arial"/>
        </w:rPr>
        <w:t>-Aldrich</w:t>
      </w:r>
      <w:r w:rsidR="00F3267A" w:rsidRPr="008742C5">
        <w:rPr>
          <w:rFonts w:ascii="Arial" w:eastAsia="Calibri" w:hAnsi="Arial" w:cs="Arial"/>
        </w:rPr>
        <w:t>))</w:t>
      </w:r>
      <w:r w:rsidR="00F3267A">
        <w:rPr>
          <w:rFonts w:ascii="Arial" w:eastAsia="Calibri" w:hAnsi="Arial" w:cs="Arial"/>
        </w:rPr>
        <w:t xml:space="preserve"> </w:t>
      </w:r>
      <w:r w:rsidRPr="00044527">
        <w:rPr>
          <w:rFonts w:ascii="Arial" w:hAnsi="Arial" w:cs="Arial"/>
        </w:rPr>
        <w:t xml:space="preserve">and acquired </w:t>
      </w:r>
      <w:r>
        <w:rPr>
          <w:rFonts w:ascii="Arial" w:hAnsi="Arial" w:cs="Arial"/>
        </w:rPr>
        <w:t>i</w:t>
      </w:r>
      <w:r w:rsidRPr="00044527">
        <w:rPr>
          <w:rFonts w:ascii="Arial" w:hAnsi="Arial" w:cs="Arial"/>
        </w:rPr>
        <w:t xml:space="preserve">n the flow cytometer. </w:t>
      </w:r>
    </w:p>
    <w:p w14:paraId="2F315F3D" w14:textId="60DD5CCF" w:rsidR="00857AD9" w:rsidRPr="00C2524E" w:rsidRDefault="000C176C" w:rsidP="00857AD9">
      <w:pPr>
        <w:spacing w:line="480" w:lineRule="auto"/>
        <w:jc w:val="both"/>
        <w:rPr>
          <w:rFonts w:ascii="Arial" w:hAnsi="Arial" w:cs="Arial"/>
        </w:rPr>
      </w:pPr>
      <w:r w:rsidRPr="00044527">
        <w:rPr>
          <w:rFonts w:ascii="Arial" w:hAnsi="Arial" w:cs="Arial"/>
        </w:rPr>
        <w:t>For the staining of transcription factors</w:t>
      </w:r>
      <w:r>
        <w:rPr>
          <w:rFonts w:ascii="Arial" w:hAnsi="Arial" w:cs="Arial"/>
        </w:rPr>
        <w:t xml:space="preserve"> </w:t>
      </w:r>
      <w:r w:rsidRPr="00044527">
        <w:rPr>
          <w:rFonts w:ascii="Arial" w:hAnsi="Arial" w:cs="Arial"/>
        </w:rPr>
        <w:t>and intracellular cytokines, cells were permeabilized for 30</w:t>
      </w:r>
      <w:r>
        <w:rPr>
          <w:rFonts w:ascii="Arial" w:hAnsi="Arial" w:cs="Arial"/>
        </w:rPr>
        <w:t xml:space="preserve"> </w:t>
      </w:r>
      <w:r w:rsidRPr="00044527">
        <w:rPr>
          <w:rFonts w:ascii="Arial" w:hAnsi="Arial" w:cs="Arial"/>
        </w:rPr>
        <w:t>min</w:t>
      </w:r>
      <w:r>
        <w:rPr>
          <w:rFonts w:ascii="Arial" w:hAnsi="Arial" w:cs="Arial"/>
        </w:rPr>
        <w:t>utes</w:t>
      </w:r>
      <w:r w:rsidRPr="00044527">
        <w:rPr>
          <w:rFonts w:ascii="Arial" w:hAnsi="Arial" w:cs="Arial"/>
        </w:rPr>
        <w:t xml:space="preserve"> at 4ºC using the Foxp3/Transcription Factor Staining Buffer Set (eBioscience</w:t>
      </w:r>
      <w:r w:rsidR="000372C5">
        <w:rPr>
          <w:rFonts w:ascii="Arial" w:hAnsi="Arial" w:cs="Arial"/>
        </w:rPr>
        <w:t>, San Diego, CA, USA</w:t>
      </w:r>
      <w:r w:rsidRPr="00044527">
        <w:rPr>
          <w:rFonts w:ascii="Arial" w:hAnsi="Arial" w:cs="Arial"/>
        </w:rPr>
        <w:t>) and incubated with mAbs for 30</w:t>
      </w:r>
      <w:r>
        <w:rPr>
          <w:rFonts w:ascii="Arial" w:hAnsi="Arial" w:cs="Arial"/>
        </w:rPr>
        <w:t xml:space="preserve"> </w:t>
      </w:r>
      <w:r w:rsidRPr="00044527">
        <w:rPr>
          <w:rFonts w:ascii="Arial" w:hAnsi="Arial" w:cs="Arial"/>
        </w:rPr>
        <w:t>min</w:t>
      </w:r>
      <w:r>
        <w:rPr>
          <w:rFonts w:ascii="Arial" w:hAnsi="Arial" w:cs="Arial"/>
        </w:rPr>
        <w:t>utes</w:t>
      </w:r>
      <w:r w:rsidRPr="00044527">
        <w:rPr>
          <w:rFonts w:ascii="Arial" w:hAnsi="Arial" w:cs="Arial"/>
        </w:rPr>
        <w:t xml:space="preserve"> at room temperature.</w:t>
      </w:r>
      <w:r w:rsidR="00FE0B75">
        <w:rPr>
          <w:rFonts w:ascii="Arial" w:hAnsi="Arial" w:cs="Arial"/>
        </w:rPr>
        <w:t xml:space="preserve"> </w:t>
      </w:r>
    </w:p>
    <w:p w14:paraId="141F7610" w14:textId="404737E6" w:rsidR="00857AD9" w:rsidRDefault="00857AD9" w:rsidP="00857AD9">
      <w:pPr>
        <w:spacing w:line="480" w:lineRule="auto"/>
        <w:jc w:val="both"/>
        <w:rPr>
          <w:rFonts w:ascii="Arial" w:hAnsi="Arial" w:cs="Arial"/>
        </w:rPr>
      </w:pPr>
      <w:r w:rsidRPr="00DB7262">
        <w:rPr>
          <w:rFonts w:ascii="Arial" w:hAnsi="Arial" w:cs="Arial"/>
        </w:rPr>
        <w:t xml:space="preserve">Compensation was performed with single-stained tubes with VersaComp Antibody </w:t>
      </w:r>
      <w:r>
        <w:rPr>
          <w:rFonts w:ascii="Arial" w:hAnsi="Arial" w:cs="Arial"/>
        </w:rPr>
        <w:t>Capture beads (Beckman Coulter).</w:t>
      </w:r>
      <w:r w:rsidR="000C176C" w:rsidRPr="000C176C">
        <w:rPr>
          <w:rFonts w:ascii="Arial" w:hAnsi="Arial" w:cs="Arial"/>
        </w:rPr>
        <w:t xml:space="preserve"> </w:t>
      </w:r>
      <w:r w:rsidR="000C176C" w:rsidRPr="00044527">
        <w:rPr>
          <w:rFonts w:ascii="Arial" w:hAnsi="Arial" w:cs="Arial"/>
        </w:rPr>
        <w:t xml:space="preserve">The gating strategy </w:t>
      </w:r>
      <w:r w:rsidR="000C176C">
        <w:rPr>
          <w:rFonts w:ascii="Arial" w:hAnsi="Arial" w:cs="Arial"/>
        </w:rPr>
        <w:t xml:space="preserve">used </w:t>
      </w:r>
      <w:r w:rsidR="000C176C" w:rsidRPr="00044527">
        <w:rPr>
          <w:rFonts w:ascii="Arial" w:hAnsi="Arial" w:cs="Arial"/>
        </w:rPr>
        <w:t>included only singlets and forward and side scatter live cells. All gates were based on fluorescence minus one (FMO) or isotype controls.</w:t>
      </w:r>
    </w:p>
    <w:p w14:paraId="7F19E58B" w14:textId="77777777" w:rsidR="000C176C" w:rsidRPr="00044527" w:rsidRDefault="000C176C" w:rsidP="000C176C">
      <w:pPr>
        <w:spacing w:line="480" w:lineRule="auto"/>
        <w:jc w:val="both"/>
        <w:rPr>
          <w:rFonts w:ascii="Arial" w:hAnsi="Arial" w:cs="Arial"/>
          <w:b/>
        </w:rPr>
      </w:pPr>
      <w:r w:rsidRPr="00044527">
        <w:rPr>
          <w:rFonts w:ascii="Arial" w:hAnsi="Arial" w:cs="Arial"/>
          <w:b/>
        </w:rPr>
        <w:t>B and T</w:t>
      </w:r>
      <w:r>
        <w:rPr>
          <w:rFonts w:ascii="Arial" w:hAnsi="Arial" w:cs="Arial"/>
          <w:b/>
        </w:rPr>
        <w:t xml:space="preserve"> lymphocytes</w:t>
      </w:r>
      <w:r w:rsidRPr="00044527">
        <w:rPr>
          <w:rFonts w:ascii="Arial" w:hAnsi="Arial" w:cs="Arial"/>
          <w:b/>
        </w:rPr>
        <w:t xml:space="preserve"> co-culture</w:t>
      </w:r>
      <w:r>
        <w:rPr>
          <w:rFonts w:ascii="Arial" w:hAnsi="Arial" w:cs="Arial"/>
          <w:b/>
        </w:rPr>
        <w:t>s</w:t>
      </w:r>
    </w:p>
    <w:p w14:paraId="41AE25FF" w14:textId="1E593FAB" w:rsidR="000C176C" w:rsidRDefault="00F3267A" w:rsidP="000C176C">
      <w:pPr>
        <w:spacing w:line="480" w:lineRule="auto"/>
        <w:jc w:val="both"/>
        <w:rPr>
          <w:rFonts w:ascii="Arial" w:hAnsi="Arial" w:cs="Arial"/>
        </w:rPr>
      </w:pPr>
      <w:r>
        <w:rPr>
          <w:rFonts w:ascii="Arial" w:hAnsi="Arial" w:cs="Arial"/>
        </w:rPr>
        <w:t>B and T lymphocytes co-cultures were maintained</w:t>
      </w:r>
      <w:r w:rsidR="000C176C" w:rsidRPr="00044527">
        <w:rPr>
          <w:rFonts w:ascii="Arial" w:hAnsi="Arial" w:cs="Arial"/>
        </w:rPr>
        <w:t xml:space="preserve"> </w:t>
      </w:r>
      <w:r w:rsidR="000C176C" w:rsidRPr="00F3267A">
        <w:rPr>
          <w:rFonts w:ascii="Arial" w:hAnsi="Arial" w:cs="Arial"/>
        </w:rPr>
        <w:t>in AIM V</w:t>
      </w:r>
      <w:r w:rsidR="000C176C" w:rsidRPr="00F3267A">
        <w:rPr>
          <w:rFonts w:ascii="Arial" w:hAnsi="Arial" w:cs="Arial"/>
          <w:vertAlign w:val="superscript"/>
        </w:rPr>
        <w:t>TM</w:t>
      </w:r>
      <w:r w:rsidR="000C176C" w:rsidRPr="00F3267A">
        <w:rPr>
          <w:rFonts w:ascii="Arial" w:hAnsi="Arial" w:cs="Arial"/>
        </w:rPr>
        <w:t xml:space="preserve"> Medium (Gibco</w:t>
      </w:r>
      <w:r w:rsidR="000372C5" w:rsidRPr="000372C5">
        <w:rPr>
          <w:rFonts w:ascii="Arial" w:hAnsi="Arial" w:cs="Arial"/>
          <w:vertAlign w:val="superscript"/>
        </w:rPr>
        <w:t>TM</w:t>
      </w:r>
      <w:r w:rsidR="000C176C" w:rsidRPr="00F3267A">
        <w:rPr>
          <w:rFonts w:ascii="Arial" w:hAnsi="Arial" w:cs="Arial"/>
        </w:rPr>
        <w:t>, ThermoFisher Scientific) supplemented with 2% human plasma and 50</w:t>
      </w:r>
      <w:r w:rsidR="000C176C" w:rsidRPr="00465C3F">
        <w:rPr>
          <w:rFonts w:ascii="Symbol" w:hAnsi="Symbol" w:cs="Arial"/>
        </w:rPr>
        <w:t></w:t>
      </w:r>
      <w:r w:rsidR="000C176C" w:rsidRPr="00465C3F">
        <w:rPr>
          <w:rFonts w:ascii="Arial" w:hAnsi="Arial" w:cs="Arial"/>
        </w:rPr>
        <w:t xml:space="preserve">M </w:t>
      </w:r>
      <w:r w:rsidR="000C176C" w:rsidRPr="008622F5">
        <w:rPr>
          <w:rFonts w:ascii="Symbol" w:hAnsi="Symbol" w:cs="Arial"/>
        </w:rPr>
        <w:t></w:t>
      </w:r>
      <w:r w:rsidR="000C176C" w:rsidRPr="008622F5">
        <w:rPr>
          <w:rFonts w:ascii="Arial" w:hAnsi="Arial" w:cs="Arial"/>
        </w:rPr>
        <w:t>-mercaptoethanol (Gibco</w:t>
      </w:r>
      <w:r w:rsidR="000372C5" w:rsidRPr="000372C5">
        <w:rPr>
          <w:rFonts w:ascii="Arial" w:hAnsi="Arial" w:cs="Arial"/>
          <w:vertAlign w:val="superscript"/>
        </w:rPr>
        <w:t>TM</w:t>
      </w:r>
      <w:r w:rsidR="000C176C" w:rsidRPr="008622F5">
        <w:rPr>
          <w:rFonts w:ascii="Arial" w:hAnsi="Arial" w:cs="Arial"/>
        </w:rPr>
        <w:t>, ThermoFisher Scientific).</w:t>
      </w:r>
      <w:r w:rsidR="006E244D">
        <w:rPr>
          <w:rFonts w:ascii="Arial" w:hAnsi="Arial" w:cs="Arial"/>
        </w:rPr>
        <w:t xml:space="preserve"> </w:t>
      </w:r>
      <w:r w:rsidR="008A2DF3">
        <w:rPr>
          <w:rFonts w:ascii="Arial" w:hAnsi="Arial" w:cs="Arial"/>
        </w:rPr>
        <w:t>Cells</w:t>
      </w:r>
      <w:r w:rsidR="006E244D" w:rsidRPr="000C3DD6">
        <w:rPr>
          <w:rFonts w:ascii="Arial" w:hAnsi="Arial" w:cs="Arial"/>
        </w:rPr>
        <w:t xml:space="preserve"> were stimulated with 1</w:t>
      </w:r>
      <w:r w:rsidR="006E244D" w:rsidRPr="00BB0065">
        <w:rPr>
          <w:rFonts w:ascii="Symbol" w:hAnsi="Symbol" w:cs="Arial"/>
        </w:rPr>
        <w:t></w:t>
      </w:r>
      <w:r w:rsidR="006E244D" w:rsidRPr="000C3DD6">
        <w:rPr>
          <w:rFonts w:ascii="Arial" w:hAnsi="Arial" w:cs="Arial"/>
        </w:rPr>
        <w:t>g/mL anti-CD3 (Clone OKT3; Miltenyi Biotec, Bergisch Gladbach, Germany) and 1</w:t>
      </w:r>
      <w:r w:rsidR="006E244D" w:rsidRPr="00EE255B">
        <w:rPr>
          <w:rFonts w:ascii="Symbol" w:hAnsi="Symbol" w:cs="Arial"/>
        </w:rPr>
        <w:t></w:t>
      </w:r>
      <w:r w:rsidR="006E244D" w:rsidRPr="000C3DD6">
        <w:rPr>
          <w:rFonts w:ascii="Arial" w:hAnsi="Arial" w:cs="Arial"/>
        </w:rPr>
        <w:t>g/mL anti-CD28 (Clone 15E8, Miltenyi Biotec). When indicated, 10</w:t>
      </w:r>
      <w:r w:rsidR="006E244D" w:rsidRPr="00EE255B">
        <w:rPr>
          <w:rFonts w:ascii="Symbol" w:hAnsi="Symbol" w:cs="Arial"/>
        </w:rPr>
        <w:t></w:t>
      </w:r>
      <w:r w:rsidR="006E244D" w:rsidRPr="000C3DD6">
        <w:rPr>
          <w:rFonts w:ascii="Arial" w:hAnsi="Arial" w:cs="Arial"/>
        </w:rPr>
        <w:t>g/ml LEAF</w:t>
      </w:r>
      <w:r w:rsidR="006E244D" w:rsidRPr="000C3DD6">
        <w:rPr>
          <w:rFonts w:ascii="Arial" w:hAnsi="Arial" w:cs="Arial"/>
          <w:vertAlign w:val="superscript"/>
        </w:rPr>
        <w:t>TM</w:t>
      </w:r>
      <w:r w:rsidR="006E244D" w:rsidRPr="000C3DD6">
        <w:rPr>
          <w:rFonts w:ascii="Arial" w:hAnsi="Arial" w:cs="Arial"/>
        </w:rPr>
        <w:t xml:space="preserve"> purified anti-human IL-10 (BioLegend, San Diego, CA, USA) was added. After 7 days, cells </w:t>
      </w:r>
      <w:r w:rsidR="006E244D">
        <w:rPr>
          <w:rFonts w:ascii="Arial" w:hAnsi="Arial" w:cs="Arial"/>
        </w:rPr>
        <w:t>were analyzed by</w:t>
      </w:r>
      <w:r w:rsidR="006E244D" w:rsidRPr="000C3DD6">
        <w:rPr>
          <w:rFonts w:ascii="Arial" w:hAnsi="Arial" w:cs="Arial"/>
        </w:rPr>
        <w:t xml:space="preserve"> flow cytometry. </w:t>
      </w:r>
      <w:r w:rsidR="006E244D">
        <w:rPr>
          <w:rFonts w:ascii="Arial" w:hAnsi="Arial" w:cs="Arial"/>
        </w:rPr>
        <w:t>A</w:t>
      </w:r>
      <w:r w:rsidR="006E244D" w:rsidRPr="000C3DD6">
        <w:rPr>
          <w:rFonts w:ascii="Arial" w:hAnsi="Arial" w:cs="Arial"/>
        </w:rPr>
        <w:t xml:space="preserve">ssays were also performed using HTS Transwell-96 well plates </w:t>
      </w:r>
      <w:r w:rsidR="006E244D">
        <w:rPr>
          <w:rFonts w:ascii="Arial" w:hAnsi="Arial" w:cs="Arial"/>
        </w:rPr>
        <w:t>(</w:t>
      </w:r>
      <w:r w:rsidR="006E244D" w:rsidRPr="000C3DD6">
        <w:rPr>
          <w:rFonts w:ascii="Arial" w:hAnsi="Arial" w:cs="Arial"/>
        </w:rPr>
        <w:t>pore size 0.4</w:t>
      </w:r>
      <w:r w:rsidR="006E244D" w:rsidRPr="00EE255B">
        <w:rPr>
          <w:rFonts w:ascii="Symbol" w:hAnsi="Symbol" w:cs="Arial"/>
        </w:rPr>
        <w:t></w:t>
      </w:r>
      <w:r w:rsidR="006E244D" w:rsidRPr="000C3DD6">
        <w:rPr>
          <w:rFonts w:ascii="Arial" w:hAnsi="Arial" w:cs="Arial"/>
        </w:rPr>
        <w:t>m</w:t>
      </w:r>
      <w:r w:rsidR="006E244D">
        <w:rPr>
          <w:rFonts w:ascii="Arial" w:hAnsi="Arial" w:cs="Arial"/>
        </w:rPr>
        <w:t>;</w:t>
      </w:r>
      <w:r w:rsidR="006E244D" w:rsidRPr="000C3DD6">
        <w:rPr>
          <w:rFonts w:ascii="Arial" w:hAnsi="Arial" w:cs="Arial"/>
        </w:rPr>
        <w:t xml:space="preserve"> Corning, NY, USA).</w:t>
      </w:r>
      <w:r w:rsidR="000C176C" w:rsidRPr="00044527">
        <w:rPr>
          <w:rFonts w:ascii="Arial" w:hAnsi="Arial" w:cs="Arial"/>
        </w:rPr>
        <w:t xml:space="preserve"> </w:t>
      </w:r>
    </w:p>
    <w:p w14:paraId="3784DCDD" w14:textId="77777777" w:rsidR="000C176C" w:rsidRDefault="000C176C" w:rsidP="00857AD9">
      <w:pPr>
        <w:spacing w:line="480" w:lineRule="auto"/>
        <w:jc w:val="both"/>
        <w:rPr>
          <w:rFonts w:ascii="Arial" w:hAnsi="Arial" w:cs="Arial"/>
        </w:rPr>
      </w:pPr>
    </w:p>
    <w:p w14:paraId="650ECDF7" w14:textId="20458DC7" w:rsidR="00863581" w:rsidRPr="00814B6A" w:rsidRDefault="00863581" w:rsidP="00E4038D">
      <w:pPr>
        <w:spacing w:line="480" w:lineRule="auto"/>
        <w:jc w:val="both"/>
        <w:rPr>
          <w:rFonts w:ascii="Arial" w:hAnsi="Arial" w:cs="Arial"/>
          <w:b/>
        </w:rPr>
      </w:pPr>
      <w:r>
        <w:rPr>
          <w:rFonts w:ascii="Arial" w:hAnsi="Arial" w:cs="Arial"/>
          <w:b/>
        </w:rPr>
        <w:t>S</w:t>
      </w:r>
      <w:r w:rsidRPr="00814B6A">
        <w:rPr>
          <w:rFonts w:ascii="Arial" w:hAnsi="Arial" w:cs="Arial"/>
          <w:b/>
        </w:rPr>
        <w:t>UPPLEMENTA</w:t>
      </w:r>
      <w:r w:rsidR="00606623">
        <w:rPr>
          <w:rFonts w:ascii="Arial" w:hAnsi="Arial" w:cs="Arial"/>
          <w:b/>
        </w:rPr>
        <w:t>RY</w:t>
      </w:r>
      <w:r w:rsidRPr="00814B6A">
        <w:rPr>
          <w:rFonts w:ascii="Arial" w:hAnsi="Arial" w:cs="Arial"/>
          <w:b/>
        </w:rPr>
        <w:t xml:space="preserve"> REFERENCES</w:t>
      </w:r>
    </w:p>
    <w:p w14:paraId="54EC84AC" w14:textId="77777777" w:rsidR="003803CA" w:rsidRPr="003803CA" w:rsidRDefault="00863581" w:rsidP="003803CA">
      <w:pPr>
        <w:pStyle w:val="Bibliografa"/>
        <w:rPr>
          <w:rFonts w:ascii="Arial" w:hAnsi="Arial" w:cs="Arial"/>
        </w:rPr>
      </w:pPr>
      <w:r>
        <w:lastRenderedPageBreak/>
        <w:fldChar w:fldCharType="begin"/>
      </w:r>
      <w:r w:rsidR="003803CA">
        <w:instrText xml:space="preserve"> ADDIN ZOTERO_BIBL {"uncited":[],"omitted":[],"custom":[]} CSL_BIBLIOGRAPHY </w:instrText>
      </w:r>
      <w:r>
        <w:fldChar w:fldCharType="separate"/>
      </w:r>
      <w:r w:rsidR="003803CA" w:rsidRPr="003803CA">
        <w:rPr>
          <w:rFonts w:ascii="Arial" w:hAnsi="Arial" w:cs="Arial"/>
        </w:rPr>
        <w:t xml:space="preserve">1. </w:t>
      </w:r>
      <w:r w:rsidR="003803CA" w:rsidRPr="003803CA">
        <w:rPr>
          <w:rFonts w:ascii="Arial" w:hAnsi="Arial" w:cs="Arial"/>
        </w:rPr>
        <w:tab/>
        <w:t xml:space="preserve">Bolger AM, Lohse M, Usadel B. Trimmomatic: a flexible trimmer for Illumina sequence data. Bioinformatics. 2014;30:2114–20. </w:t>
      </w:r>
    </w:p>
    <w:p w14:paraId="10AAA111" w14:textId="77777777" w:rsidR="003803CA" w:rsidRPr="003803CA" w:rsidRDefault="003803CA" w:rsidP="003803CA">
      <w:pPr>
        <w:pStyle w:val="Bibliografa"/>
        <w:rPr>
          <w:rFonts w:ascii="Arial" w:hAnsi="Arial" w:cs="Arial"/>
        </w:rPr>
      </w:pPr>
      <w:r w:rsidRPr="003803CA">
        <w:rPr>
          <w:rFonts w:ascii="Arial" w:hAnsi="Arial" w:cs="Arial"/>
        </w:rPr>
        <w:t xml:space="preserve">2. </w:t>
      </w:r>
      <w:r w:rsidRPr="003803CA">
        <w:rPr>
          <w:rFonts w:ascii="Arial" w:hAnsi="Arial" w:cs="Arial"/>
        </w:rPr>
        <w:tab/>
        <w:t xml:space="preserve">Li H, Durbin R. Fast and accurate long-read alignment with Burrows-Wheeler transform. Bioinformatics. 2010;26:589–95. </w:t>
      </w:r>
    </w:p>
    <w:p w14:paraId="7CF1BB4D" w14:textId="77777777" w:rsidR="003803CA" w:rsidRPr="003803CA" w:rsidRDefault="003803CA" w:rsidP="003803CA">
      <w:pPr>
        <w:pStyle w:val="Bibliografa"/>
        <w:rPr>
          <w:rFonts w:ascii="Arial" w:hAnsi="Arial" w:cs="Arial"/>
        </w:rPr>
      </w:pPr>
      <w:r w:rsidRPr="003803CA">
        <w:rPr>
          <w:rFonts w:ascii="Arial" w:hAnsi="Arial" w:cs="Arial"/>
        </w:rPr>
        <w:t xml:space="preserve">3. </w:t>
      </w:r>
      <w:r w:rsidRPr="003803CA">
        <w:rPr>
          <w:rFonts w:ascii="Arial" w:hAnsi="Arial" w:cs="Arial"/>
        </w:rPr>
        <w:tab/>
        <w:t xml:space="preserve">Li H, Handsaker B, Wysoker A, Fennell T, Ruan J, Homer N, et al. The Sequence Alignment/Map format and SAMtools. Bioinformatics. 2009;25:2078–9. </w:t>
      </w:r>
    </w:p>
    <w:p w14:paraId="60AB66AA" w14:textId="77777777" w:rsidR="003803CA" w:rsidRPr="003803CA" w:rsidRDefault="003803CA" w:rsidP="003803CA">
      <w:pPr>
        <w:pStyle w:val="Bibliografa"/>
        <w:rPr>
          <w:rFonts w:ascii="Arial" w:hAnsi="Arial" w:cs="Arial"/>
          <w:lang w:val="es-ES"/>
        </w:rPr>
      </w:pPr>
      <w:r w:rsidRPr="003803CA">
        <w:rPr>
          <w:rFonts w:ascii="Arial" w:hAnsi="Arial" w:cs="Arial"/>
        </w:rPr>
        <w:t xml:space="preserve">4. </w:t>
      </w:r>
      <w:r w:rsidRPr="003803CA">
        <w:rPr>
          <w:rFonts w:ascii="Arial" w:hAnsi="Arial" w:cs="Arial"/>
        </w:rPr>
        <w:tab/>
        <w:t xml:space="preserve">Tarasov A, Vilella AJ, Cuppen E, Nijman IJ, Prins P. Sambamba: fast processing of NGS alignment formats. </w:t>
      </w:r>
      <w:r w:rsidRPr="003803CA">
        <w:rPr>
          <w:rFonts w:ascii="Arial" w:hAnsi="Arial" w:cs="Arial"/>
          <w:lang w:val="es-ES"/>
        </w:rPr>
        <w:t xml:space="preserve">Bioinformatics. 2015;31:2032–4. </w:t>
      </w:r>
    </w:p>
    <w:p w14:paraId="2A8E84F7" w14:textId="77777777" w:rsidR="003803CA" w:rsidRPr="003803CA" w:rsidRDefault="003803CA" w:rsidP="003803CA">
      <w:pPr>
        <w:pStyle w:val="Bibliografa"/>
        <w:rPr>
          <w:rFonts w:ascii="Arial" w:hAnsi="Arial" w:cs="Arial"/>
        </w:rPr>
      </w:pPr>
      <w:r w:rsidRPr="003803CA">
        <w:rPr>
          <w:rFonts w:ascii="Arial" w:hAnsi="Arial" w:cs="Arial"/>
          <w:lang w:val="es-ES"/>
        </w:rPr>
        <w:t xml:space="preserve">5. </w:t>
      </w:r>
      <w:r w:rsidRPr="003803CA">
        <w:rPr>
          <w:rFonts w:ascii="Arial" w:hAnsi="Arial" w:cs="Arial"/>
          <w:lang w:val="es-ES"/>
        </w:rPr>
        <w:tab/>
        <w:t xml:space="preserve">Puente XS, Pinyol M, Quesada V, Conde L, Ordóñez GR, Villamor N, et al. </w:t>
      </w:r>
      <w:r w:rsidRPr="003803CA">
        <w:rPr>
          <w:rFonts w:ascii="Arial" w:hAnsi="Arial" w:cs="Arial"/>
        </w:rPr>
        <w:t xml:space="preserve">Whole-genome sequencing identifies recurrent mutations in chronic lymphocytic leukaemia. Nature. 2011;475:101–5. </w:t>
      </w:r>
    </w:p>
    <w:p w14:paraId="388FBF36" w14:textId="77777777" w:rsidR="003803CA" w:rsidRPr="003803CA" w:rsidRDefault="003803CA" w:rsidP="003803CA">
      <w:pPr>
        <w:pStyle w:val="Bibliografa"/>
        <w:rPr>
          <w:rFonts w:ascii="Arial" w:hAnsi="Arial" w:cs="Arial"/>
        </w:rPr>
      </w:pPr>
      <w:r w:rsidRPr="003803CA">
        <w:rPr>
          <w:rFonts w:ascii="Arial" w:hAnsi="Arial" w:cs="Arial"/>
        </w:rPr>
        <w:t xml:space="preserve">6. </w:t>
      </w:r>
      <w:r w:rsidRPr="003803CA">
        <w:rPr>
          <w:rFonts w:ascii="Arial" w:hAnsi="Arial" w:cs="Arial"/>
        </w:rPr>
        <w:tab/>
        <w:t xml:space="preserve">Kumar P, Henikoff S, Ng PC. Predicting the effects of coding non-synonymous variants on protein function using the SIFT algorithm. Nat Protoc. 2009;4:1073–81. </w:t>
      </w:r>
    </w:p>
    <w:p w14:paraId="7DA75F64" w14:textId="77777777" w:rsidR="003803CA" w:rsidRPr="003803CA" w:rsidRDefault="003803CA" w:rsidP="003803CA">
      <w:pPr>
        <w:pStyle w:val="Bibliografa"/>
        <w:rPr>
          <w:rFonts w:ascii="Arial" w:hAnsi="Arial" w:cs="Arial"/>
        </w:rPr>
      </w:pPr>
      <w:r w:rsidRPr="003803CA">
        <w:rPr>
          <w:rFonts w:ascii="Arial" w:hAnsi="Arial" w:cs="Arial"/>
        </w:rPr>
        <w:t xml:space="preserve">7. </w:t>
      </w:r>
      <w:r w:rsidRPr="003803CA">
        <w:rPr>
          <w:rFonts w:ascii="Arial" w:hAnsi="Arial" w:cs="Arial"/>
        </w:rPr>
        <w:tab/>
        <w:t xml:space="preserve">Choi Y, Sims GE, Murphy S, Miller JR, Chan AP. Predicting the functional effect of amino acid substitutions and indels. PLoS ONE. 2012;7:e46688. </w:t>
      </w:r>
    </w:p>
    <w:p w14:paraId="19038B4C" w14:textId="77777777" w:rsidR="003803CA" w:rsidRPr="003803CA" w:rsidRDefault="003803CA" w:rsidP="003803CA">
      <w:pPr>
        <w:pStyle w:val="Bibliografa"/>
        <w:rPr>
          <w:rFonts w:ascii="Arial" w:hAnsi="Arial" w:cs="Arial"/>
        </w:rPr>
      </w:pPr>
      <w:r w:rsidRPr="003803CA">
        <w:rPr>
          <w:rFonts w:ascii="Arial" w:hAnsi="Arial" w:cs="Arial"/>
        </w:rPr>
        <w:t xml:space="preserve">8. </w:t>
      </w:r>
      <w:r w:rsidRPr="003803CA">
        <w:rPr>
          <w:rFonts w:ascii="Arial" w:hAnsi="Arial" w:cs="Arial"/>
        </w:rPr>
        <w:tab/>
        <w:t xml:space="preserve">Reva B, Antipin Y, Sander C. Predicting the functional impact of protein mutations: application to cancer genomics. Nucleic Acids Res. 2011;39:e118. </w:t>
      </w:r>
    </w:p>
    <w:p w14:paraId="3803A1C6" w14:textId="77777777" w:rsidR="003803CA" w:rsidRPr="003803CA" w:rsidRDefault="003803CA" w:rsidP="003803CA">
      <w:pPr>
        <w:pStyle w:val="Bibliografa"/>
        <w:rPr>
          <w:rFonts w:ascii="Arial" w:hAnsi="Arial" w:cs="Arial"/>
        </w:rPr>
      </w:pPr>
      <w:r w:rsidRPr="003803CA">
        <w:rPr>
          <w:rFonts w:ascii="Arial" w:hAnsi="Arial" w:cs="Arial"/>
        </w:rPr>
        <w:t xml:space="preserve">9. </w:t>
      </w:r>
      <w:r w:rsidRPr="003803CA">
        <w:rPr>
          <w:rFonts w:ascii="Arial" w:hAnsi="Arial" w:cs="Arial"/>
        </w:rPr>
        <w:tab/>
        <w:t xml:space="preserve">Schwarz JM, Cooper DN, Schuelke M, Seelow D. MutationTaster2: mutation prediction for the deep-sequencing age. Nat Methods. 2014;11:361–2. </w:t>
      </w:r>
    </w:p>
    <w:p w14:paraId="7E62077C" w14:textId="77777777" w:rsidR="003803CA" w:rsidRPr="003803CA" w:rsidRDefault="003803CA" w:rsidP="003803CA">
      <w:pPr>
        <w:pStyle w:val="Bibliografa"/>
        <w:rPr>
          <w:rFonts w:ascii="Arial" w:hAnsi="Arial" w:cs="Arial"/>
        </w:rPr>
      </w:pPr>
      <w:r w:rsidRPr="003803CA">
        <w:rPr>
          <w:rFonts w:ascii="Arial" w:hAnsi="Arial" w:cs="Arial"/>
        </w:rPr>
        <w:t xml:space="preserve">10. </w:t>
      </w:r>
      <w:r w:rsidRPr="003803CA">
        <w:rPr>
          <w:rFonts w:ascii="Arial" w:hAnsi="Arial" w:cs="Arial"/>
        </w:rPr>
        <w:tab/>
        <w:t xml:space="preserve">Chun S, Fay JC. Identification of deleterious mutations within three human genomes. Genome Res. 2009;19:1553–61. </w:t>
      </w:r>
    </w:p>
    <w:p w14:paraId="11C62918" w14:textId="77777777" w:rsidR="003803CA" w:rsidRPr="003803CA" w:rsidRDefault="003803CA" w:rsidP="003803CA">
      <w:pPr>
        <w:pStyle w:val="Bibliografa"/>
        <w:rPr>
          <w:rFonts w:ascii="Arial" w:hAnsi="Arial" w:cs="Arial"/>
        </w:rPr>
      </w:pPr>
      <w:r w:rsidRPr="003803CA">
        <w:rPr>
          <w:rFonts w:ascii="Arial" w:hAnsi="Arial" w:cs="Arial"/>
        </w:rPr>
        <w:t xml:space="preserve">11. </w:t>
      </w:r>
      <w:r w:rsidRPr="003803CA">
        <w:rPr>
          <w:rFonts w:ascii="Arial" w:hAnsi="Arial" w:cs="Arial"/>
        </w:rPr>
        <w:tab/>
        <w:t xml:space="preserve">Dong C, Wei P, Jian X, Gibbs R, Boerwinkle E, Wang K, et al. Comparison and integration of deleteriousness prediction methods for nonsynonymous SNVs in whole exome sequencing studies. Hum Mol Genet. 2015;24:2125–37. </w:t>
      </w:r>
    </w:p>
    <w:p w14:paraId="7A2339BC" w14:textId="77777777" w:rsidR="003803CA" w:rsidRPr="003803CA" w:rsidRDefault="003803CA" w:rsidP="003803CA">
      <w:pPr>
        <w:pStyle w:val="Bibliografa"/>
        <w:rPr>
          <w:rFonts w:ascii="Arial" w:hAnsi="Arial" w:cs="Arial"/>
        </w:rPr>
      </w:pPr>
      <w:r w:rsidRPr="003803CA">
        <w:rPr>
          <w:rFonts w:ascii="Arial" w:hAnsi="Arial" w:cs="Arial"/>
        </w:rPr>
        <w:t xml:space="preserve">12. </w:t>
      </w:r>
      <w:r w:rsidRPr="003803CA">
        <w:rPr>
          <w:rFonts w:ascii="Arial" w:hAnsi="Arial" w:cs="Arial"/>
        </w:rPr>
        <w:tab/>
        <w:t xml:space="preserve">Shihab HA, Gough J, Mort M, Cooper DN, Day INM, Gaunt TR. Ranking non-synonymous single nucleotide polymorphisms based on disease concepts. Hum Genomics. 2014;8:11. </w:t>
      </w:r>
    </w:p>
    <w:p w14:paraId="346ACE18" w14:textId="77777777" w:rsidR="003803CA" w:rsidRPr="003803CA" w:rsidRDefault="003803CA" w:rsidP="003803CA">
      <w:pPr>
        <w:pStyle w:val="Bibliografa"/>
        <w:rPr>
          <w:rFonts w:ascii="Arial" w:hAnsi="Arial" w:cs="Arial"/>
        </w:rPr>
      </w:pPr>
      <w:r w:rsidRPr="003803CA">
        <w:rPr>
          <w:rFonts w:ascii="Arial" w:hAnsi="Arial" w:cs="Arial"/>
        </w:rPr>
        <w:t xml:space="preserve">13. </w:t>
      </w:r>
      <w:r w:rsidRPr="003803CA">
        <w:rPr>
          <w:rFonts w:ascii="Arial" w:hAnsi="Arial" w:cs="Arial"/>
        </w:rPr>
        <w:tab/>
        <w:t xml:space="preserve">Sundaram L, Gao H, Padigepati SR, McRae JF, Li Y, Kosmicki JA, et al. Predicting the clinical impact of human mutation with deep neural networks. Nat Genet. 2018;50:1161–70. </w:t>
      </w:r>
    </w:p>
    <w:p w14:paraId="00713EAC" w14:textId="77777777" w:rsidR="003803CA" w:rsidRPr="003803CA" w:rsidRDefault="003803CA" w:rsidP="003803CA">
      <w:pPr>
        <w:pStyle w:val="Bibliografa"/>
        <w:rPr>
          <w:rFonts w:ascii="Arial" w:hAnsi="Arial" w:cs="Arial"/>
        </w:rPr>
      </w:pPr>
      <w:r w:rsidRPr="003803CA">
        <w:rPr>
          <w:rFonts w:ascii="Arial" w:hAnsi="Arial" w:cs="Arial"/>
        </w:rPr>
        <w:t xml:space="preserve">14. </w:t>
      </w:r>
      <w:r w:rsidRPr="003803CA">
        <w:rPr>
          <w:rFonts w:ascii="Arial" w:hAnsi="Arial" w:cs="Arial"/>
        </w:rPr>
        <w:tab/>
        <w:t xml:space="preserve">Raimondi D, Tanyalcin I, Ferté J, Gazzo A, Orlando G, Lenaerts T, et al. DEOGEN2: prediction and interactive visualization of single amino acid variant deleteriousness in human proteins. Nucleic Acids Res. 2017;45:W201–6. </w:t>
      </w:r>
    </w:p>
    <w:p w14:paraId="137DF8B2" w14:textId="77777777" w:rsidR="003803CA" w:rsidRPr="003803CA" w:rsidRDefault="003803CA" w:rsidP="003803CA">
      <w:pPr>
        <w:pStyle w:val="Bibliografa"/>
        <w:rPr>
          <w:rFonts w:ascii="Arial" w:hAnsi="Arial" w:cs="Arial"/>
        </w:rPr>
      </w:pPr>
      <w:r w:rsidRPr="003803CA">
        <w:rPr>
          <w:rFonts w:ascii="Arial" w:hAnsi="Arial" w:cs="Arial"/>
        </w:rPr>
        <w:t xml:space="preserve">15. </w:t>
      </w:r>
      <w:r w:rsidRPr="003803CA">
        <w:rPr>
          <w:rFonts w:ascii="Arial" w:hAnsi="Arial" w:cs="Arial"/>
        </w:rPr>
        <w:tab/>
        <w:t xml:space="preserve">Davydov EV, Goode DL, Sirota M, Cooper GM, Sidow A, Batzoglou S. Identifying a high fraction of the human genome to be under selective constraint using GERP++. PLoS Comput Biol. 2010;6:e1001025. </w:t>
      </w:r>
    </w:p>
    <w:p w14:paraId="62BA7E95" w14:textId="77777777" w:rsidR="003803CA" w:rsidRPr="003803CA" w:rsidRDefault="003803CA" w:rsidP="003803CA">
      <w:pPr>
        <w:pStyle w:val="Bibliografa"/>
        <w:rPr>
          <w:rFonts w:ascii="Arial" w:hAnsi="Arial" w:cs="Arial"/>
        </w:rPr>
      </w:pPr>
      <w:r w:rsidRPr="003803CA">
        <w:rPr>
          <w:rFonts w:ascii="Arial" w:hAnsi="Arial" w:cs="Arial"/>
        </w:rPr>
        <w:t xml:space="preserve">16. </w:t>
      </w:r>
      <w:r w:rsidRPr="003803CA">
        <w:rPr>
          <w:rFonts w:ascii="Arial" w:hAnsi="Arial" w:cs="Arial"/>
        </w:rPr>
        <w:tab/>
        <w:t xml:space="preserve">Landau DA, Tausch E, Taylor-Weiner AN, Stewart C, Reiter JG, Bahlo J, et al. Mutations driving CLL and their evolution in progression and relapse. Nature. 2015;526:525–30. </w:t>
      </w:r>
    </w:p>
    <w:p w14:paraId="27970F22" w14:textId="77777777" w:rsidR="003803CA" w:rsidRPr="003803CA" w:rsidRDefault="003803CA" w:rsidP="003803CA">
      <w:pPr>
        <w:pStyle w:val="Bibliografa"/>
        <w:rPr>
          <w:rFonts w:ascii="Arial" w:hAnsi="Arial" w:cs="Arial"/>
        </w:rPr>
      </w:pPr>
      <w:r w:rsidRPr="003803CA">
        <w:rPr>
          <w:rFonts w:ascii="Arial" w:hAnsi="Arial" w:cs="Arial"/>
        </w:rPr>
        <w:lastRenderedPageBreak/>
        <w:t xml:space="preserve">17. </w:t>
      </w:r>
      <w:r w:rsidRPr="003803CA">
        <w:rPr>
          <w:rFonts w:ascii="Arial" w:hAnsi="Arial" w:cs="Arial"/>
        </w:rPr>
        <w:tab/>
        <w:t xml:space="preserve">Dobin A, Davis CA, Schlesinger F, Drenkow J, Zaleski C, Jha S, et al. STAR: ultrafast universal RNA-seq aligner. Bioinformatics. 2013;29:15–21. </w:t>
      </w:r>
    </w:p>
    <w:p w14:paraId="692C43D8" w14:textId="77777777" w:rsidR="003803CA" w:rsidRPr="003803CA" w:rsidRDefault="003803CA" w:rsidP="003803CA">
      <w:pPr>
        <w:pStyle w:val="Bibliografa"/>
        <w:rPr>
          <w:rFonts w:ascii="Arial" w:hAnsi="Arial" w:cs="Arial"/>
        </w:rPr>
      </w:pPr>
      <w:r w:rsidRPr="003803CA">
        <w:rPr>
          <w:rFonts w:ascii="Arial" w:hAnsi="Arial" w:cs="Arial"/>
        </w:rPr>
        <w:t xml:space="preserve">18. </w:t>
      </w:r>
      <w:r w:rsidRPr="003803CA">
        <w:rPr>
          <w:rFonts w:ascii="Arial" w:hAnsi="Arial" w:cs="Arial"/>
        </w:rPr>
        <w:tab/>
        <w:t xml:space="preserve">Li B, Dewey CN. RSEM: accurate transcript quantification from RNA-Seq data with or without a reference genome. BMC Bioinformatics. 2011;12:323. </w:t>
      </w:r>
    </w:p>
    <w:p w14:paraId="6233B405" w14:textId="77777777" w:rsidR="003803CA" w:rsidRPr="003803CA" w:rsidRDefault="003803CA" w:rsidP="003803CA">
      <w:pPr>
        <w:pStyle w:val="Bibliografa"/>
        <w:rPr>
          <w:rFonts w:ascii="Arial" w:hAnsi="Arial" w:cs="Arial"/>
        </w:rPr>
      </w:pPr>
      <w:r w:rsidRPr="003803CA">
        <w:rPr>
          <w:rFonts w:ascii="Arial" w:hAnsi="Arial" w:cs="Arial"/>
        </w:rPr>
        <w:t xml:space="preserve">19. </w:t>
      </w:r>
      <w:r w:rsidRPr="003803CA">
        <w:rPr>
          <w:rFonts w:ascii="Arial" w:hAnsi="Arial" w:cs="Arial"/>
        </w:rPr>
        <w:tab/>
        <w:t xml:space="preserve">Love MI, Huber W, Anders S. Moderated estimation of fold change and  dispersion for RNA-seq data with DESeq2. Genome Biol. 2014;15:550. </w:t>
      </w:r>
    </w:p>
    <w:p w14:paraId="762A5129" w14:textId="748E1C00" w:rsidR="008E3223" w:rsidRPr="003E71A0" w:rsidRDefault="00863581" w:rsidP="00BC2DA6">
      <w:pPr>
        <w:spacing w:line="480" w:lineRule="auto"/>
        <w:jc w:val="both"/>
        <w:rPr>
          <w:rFonts w:ascii="Arial" w:hAnsi="Arial" w:cs="Arial"/>
          <w:b/>
        </w:rPr>
      </w:pPr>
      <w:r>
        <w:rPr>
          <w:rFonts w:ascii="Arial" w:hAnsi="Arial" w:cs="Arial"/>
        </w:rPr>
        <w:fldChar w:fldCharType="end"/>
      </w:r>
      <w:r w:rsidR="003E71A0" w:rsidRPr="003E71A0">
        <w:rPr>
          <w:rFonts w:ascii="Arial" w:hAnsi="Arial" w:cs="Arial"/>
          <w:b/>
        </w:rPr>
        <w:t>SUPPLEMENTARY TABLES</w:t>
      </w:r>
    </w:p>
    <w:p w14:paraId="7A4C13F3" w14:textId="6A05F71D" w:rsidR="003E71A0" w:rsidRDefault="003E71A0" w:rsidP="00BC2DA6">
      <w:pPr>
        <w:spacing w:line="480" w:lineRule="auto"/>
        <w:jc w:val="both"/>
        <w:rPr>
          <w:rFonts w:ascii="Arial" w:hAnsi="Arial" w:cs="Arial"/>
          <w:b/>
        </w:rPr>
      </w:pPr>
      <w:r w:rsidRPr="003E71A0">
        <w:rPr>
          <w:rFonts w:ascii="Arial" w:hAnsi="Arial" w:cs="Arial"/>
          <w:b/>
        </w:rPr>
        <w:t xml:space="preserve">Supplementary </w:t>
      </w:r>
      <w:r w:rsidR="003803CA">
        <w:rPr>
          <w:rFonts w:ascii="Arial" w:hAnsi="Arial" w:cs="Arial"/>
          <w:b/>
        </w:rPr>
        <w:t>T</w:t>
      </w:r>
      <w:r w:rsidRPr="003E71A0">
        <w:rPr>
          <w:rFonts w:ascii="Arial" w:hAnsi="Arial" w:cs="Arial"/>
          <w:b/>
        </w:rPr>
        <w:t xml:space="preserve">able </w:t>
      </w:r>
      <w:r w:rsidR="003803CA">
        <w:rPr>
          <w:rFonts w:ascii="Arial" w:hAnsi="Arial" w:cs="Arial"/>
          <w:b/>
        </w:rPr>
        <w:t>S</w:t>
      </w:r>
      <w:r w:rsidRPr="003E71A0">
        <w:rPr>
          <w:rFonts w:ascii="Arial" w:hAnsi="Arial" w:cs="Arial"/>
          <w:b/>
        </w:rPr>
        <w:t>1. Monoclonal antibodies (mAbs).</w:t>
      </w:r>
    </w:p>
    <w:tbl>
      <w:tblPr>
        <w:tblW w:w="7560" w:type="dxa"/>
        <w:jc w:val="center"/>
        <w:tblCellMar>
          <w:left w:w="70" w:type="dxa"/>
          <w:right w:w="70" w:type="dxa"/>
        </w:tblCellMar>
        <w:tblLook w:val="04A0" w:firstRow="1" w:lastRow="0" w:firstColumn="1" w:lastColumn="0" w:noHBand="0" w:noVBand="1"/>
      </w:tblPr>
      <w:tblGrid>
        <w:gridCol w:w="2860"/>
        <w:gridCol w:w="2200"/>
        <w:gridCol w:w="2500"/>
      </w:tblGrid>
      <w:tr w:rsidR="003E71A0" w:rsidRPr="003E71A0" w14:paraId="44E216FF" w14:textId="77777777" w:rsidTr="003E71A0">
        <w:trPr>
          <w:trHeight w:val="315"/>
          <w:jc w:val="center"/>
        </w:trPr>
        <w:tc>
          <w:tcPr>
            <w:tcW w:w="286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03BEC8F" w14:textId="77777777" w:rsidR="003E71A0" w:rsidRPr="003E71A0" w:rsidRDefault="003E71A0" w:rsidP="003E71A0">
            <w:pPr>
              <w:spacing w:after="0" w:line="240" w:lineRule="auto"/>
              <w:jc w:val="center"/>
              <w:rPr>
                <w:rFonts w:ascii="Arial" w:eastAsia="Times New Roman" w:hAnsi="Arial" w:cs="Arial"/>
                <w:b/>
                <w:bCs/>
                <w:color w:val="000000"/>
                <w:lang w:val="es-ES" w:eastAsia="es-ES"/>
              </w:rPr>
            </w:pPr>
            <w:r w:rsidRPr="003E71A0">
              <w:rPr>
                <w:rFonts w:ascii="Arial" w:eastAsia="Times New Roman" w:hAnsi="Arial" w:cs="Arial"/>
                <w:b/>
                <w:bCs/>
                <w:color w:val="000000"/>
                <w:lang w:val="es-ES" w:eastAsia="es-ES"/>
              </w:rPr>
              <w:t>Human Antibody</w:t>
            </w:r>
          </w:p>
        </w:tc>
        <w:tc>
          <w:tcPr>
            <w:tcW w:w="2200" w:type="dxa"/>
            <w:tcBorders>
              <w:top w:val="single" w:sz="8" w:space="0" w:color="auto"/>
              <w:left w:val="nil"/>
              <w:bottom w:val="single" w:sz="8" w:space="0" w:color="auto"/>
              <w:right w:val="single" w:sz="8" w:space="0" w:color="auto"/>
            </w:tcBorders>
            <w:shd w:val="clear" w:color="auto" w:fill="auto"/>
            <w:vAlign w:val="center"/>
            <w:hideMark/>
          </w:tcPr>
          <w:p w14:paraId="55EF0BA8" w14:textId="77777777" w:rsidR="003E71A0" w:rsidRPr="003E71A0" w:rsidRDefault="003E71A0" w:rsidP="003E71A0">
            <w:pPr>
              <w:spacing w:after="0" w:line="240" w:lineRule="auto"/>
              <w:jc w:val="center"/>
              <w:rPr>
                <w:rFonts w:ascii="Arial" w:eastAsia="Times New Roman" w:hAnsi="Arial" w:cs="Arial"/>
                <w:b/>
                <w:bCs/>
                <w:color w:val="000000"/>
                <w:lang w:val="es-ES" w:eastAsia="es-ES"/>
              </w:rPr>
            </w:pPr>
            <w:r w:rsidRPr="003E71A0">
              <w:rPr>
                <w:rFonts w:ascii="Arial" w:eastAsia="Times New Roman" w:hAnsi="Arial" w:cs="Arial"/>
                <w:b/>
                <w:bCs/>
                <w:color w:val="000000"/>
                <w:lang w:val="es-ES" w:eastAsia="es-ES"/>
              </w:rPr>
              <w:t>Clone</w:t>
            </w:r>
          </w:p>
        </w:tc>
        <w:tc>
          <w:tcPr>
            <w:tcW w:w="2500" w:type="dxa"/>
            <w:tcBorders>
              <w:top w:val="single" w:sz="8" w:space="0" w:color="auto"/>
              <w:left w:val="nil"/>
              <w:bottom w:val="single" w:sz="8" w:space="0" w:color="auto"/>
              <w:right w:val="single" w:sz="8" w:space="0" w:color="auto"/>
            </w:tcBorders>
            <w:shd w:val="clear" w:color="auto" w:fill="auto"/>
            <w:vAlign w:val="center"/>
            <w:hideMark/>
          </w:tcPr>
          <w:p w14:paraId="4E9F007A" w14:textId="77777777" w:rsidR="003E71A0" w:rsidRPr="003E71A0" w:rsidRDefault="003E71A0" w:rsidP="003E71A0">
            <w:pPr>
              <w:spacing w:after="0" w:line="240" w:lineRule="auto"/>
              <w:jc w:val="center"/>
              <w:rPr>
                <w:rFonts w:ascii="Arial" w:eastAsia="Times New Roman" w:hAnsi="Arial" w:cs="Arial"/>
                <w:b/>
                <w:bCs/>
                <w:color w:val="000000"/>
                <w:lang w:val="es-ES" w:eastAsia="es-ES"/>
              </w:rPr>
            </w:pPr>
            <w:r w:rsidRPr="003E71A0">
              <w:rPr>
                <w:rFonts w:ascii="Arial" w:eastAsia="Times New Roman" w:hAnsi="Arial" w:cs="Arial"/>
                <w:b/>
                <w:bCs/>
                <w:color w:val="000000"/>
                <w:lang w:val="es-ES" w:eastAsia="es-ES"/>
              </w:rPr>
              <w:t>Company</w:t>
            </w:r>
          </w:p>
        </w:tc>
      </w:tr>
      <w:tr w:rsidR="003E71A0" w:rsidRPr="003E71A0" w14:paraId="2EB35744" w14:textId="77777777" w:rsidTr="003E71A0">
        <w:trPr>
          <w:trHeight w:val="315"/>
          <w:jc w:val="center"/>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309903D6"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CD3-APC-A750</w:t>
            </w:r>
          </w:p>
        </w:tc>
        <w:tc>
          <w:tcPr>
            <w:tcW w:w="2200" w:type="dxa"/>
            <w:tcBorders>
              <w:top w:val="nil"/>
              <w:left w:val="nil"/>
              <w:bottom w:val="single" w:sz="8" w:space="0" w:color="auto"/>
              <w:right w:val="single" w:sz="8" w:space="0" w:color="auto"/>
            </w:tcBorders>
            <w:shd w:val="clear" w:color="auto" w:fill="auto"/>
            <w:vAlign w:val="center"/>
            <w:hideMark/>
          </w:tcPr>
          <w:p w14:paraId="7935025A"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UCHT1</w:t>
            </w:r>
          </w:p>
        </w:tc>
        <w:tc>
          <w:tcPr>
            <w:tcW w:w="2500" w:type="dxa"/>
            <w:tcBorders>
              <w:top w:val="nil"/>
              <w:left w:val="nil"/>
              <w:bottom w:val="single" w:sz="8" w:space="0" w:color="auto"/>
              <w:right w:val="single" w:sz="8" w:space="0" w:color="auto"/>
            </w:tcBorders>
            <w:shd w:val="clear" w:color="auto" w:fill="auto"/>
            <w:vAlign w:val="center"/>
            <w:hideMark/>
          </w:tcPr>
          <w:p w14:paraId="01A84031"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Beckman Coulter</w:t>
            </w:r>
          </w:p>
        </w:tc>
      </w:tr>
      <w:tr w:rsidR="003E71A0" w:rsidRPr="003E71A0" w14:paraId="5C1D6DE1" w14:textId="77777777" w:rsidTr="003E71A0">
        <w:trPr>
          <w:trHeight w:val="315"/>
          <w:jc w:val="center"/>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31279FC6"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CD4-PC5.5</w:t>
            </w:r>
          </w:p>
        </w:tc>
        <w:tc>
          <w:tcPr>
            <w:tcW w:w="2200" w:type="dxa"/>
            <w:tcBorders>
              <w:top w:val="nil"/>
              <w:left w:val="nil"/>
              <w:bottom w:val="single" w:sz="8" w:space="0" w:color="auto"/>
              <w:right w:val="single" w:sz="8" w:space="0" w:color="auto"/>
            </w:tcBorders>
            <w:shd w:val="clear" w:color="auto" w:fill="auto"/>
            <w:vAlign w:val="center"/>
            <w:hideMark/>
          </w:tcPr>
          <w:p w14:paraId="58294CA0"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13B8.2</w:t>
            </w:r>
          </w:p>
        </w:tc>
        <w:tc>
          <w:tcPr>
            <w:tcW w:w="2500" w:type="dxa"/>
            <w:tcBorders>
              <w:top w:val="nil"/>
              <w:left w:val="nil"/>
              <w:bottom w:val="single" w:sz="8" w:space="0" w:color="auto"/>
              <w:right w:val="single" w:sz="8" w:space="0" w:color="auto"/>
            </w:tcBorders>
            <w:shd w:val="clear" w:color="auto" w:fill="auto"/>
            <w:vAlign w:val="center"/>
            <w:hideMark/>
          </w:tcPr>
          <w:p w14:paraId="436D8894"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Beckman Coulter</w:t>
            </w:r>
          </w:p>
        </w:tc>
      </w:tr>
      <w:tr w:rsidR="003E71A0" w:rsidRPr="003E71A0" w14:paraId="5CB62F7E" w14:textId="77777777" w:rsidTr="003E71A0">
        <w:trPr>
          <w:trHeight w:val="315"/>
          <w:jc w:val="center"/>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700D41F4"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CD4-Krome Orange</w:t>
            </w:r>
          </w:p>
        </w:tc>
        <w:tc>
          <w:tcPr>
            <w:tcW w:w="2200" w:type="dxa"/>
            <w:tcBorders>
              <w:top w:val="nil"/>
              <w:left w:val="nil"/>
              <w:bottom w:val="single" w:sz="8" w:space="0" w:color="auto"/>
              <w:right w:val="single" w:sz="8" w:space="0" w:color="auto"/>
            </w:tcBorders>
            <w:shd w:val="clear" w:color="auto" w:fill="auto"/>
            <w:vAlign w:val="center"/>
            <w:hideMark/>
          </w:tcPr>
          <w:p w14:paraId="47A81916"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13B8.2</w:t>
            </w:r>
          </w:p>
        </w:tc>
        <w:tc>
          <w:tcPr>
            <w:tcW w:w="2500" w:type="dxa"/>
            <w:tcBorders>
              <w:top w:val="nil"/>
              <w:left w:val="nil"/>
              <w:bottom w:val="single" w:sz="8" w:space="0" w:color="auto"/>
              <w:right w:val="single" w:sz="8" w:space="0" w:color="auto"/>
            </w:tcBorders>
            <w:shd w:val="clear" w:color="auto" w:fill="auto"/>
            <w:vAlign w:val="center"/>
            <w:hideMark/>
          </w:tcPr>
          <w:p w14:paraId="16D74D1E"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Beckman Coulter</w:t>
            </w:r>
          </w:p>
        </w:tc>
      </w:tr>
      <w:tr w:rsidR="003E71A0" w:rsidRPr="003E71A0" w14:paraId="250F9D5F" w14:textId="77777777" w:rsidTr="003E71A0">
        <w:trPr>
          <w:trHeight w:val="315"/>
          <w:jc w:val="center"/>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5448EC6F"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CD5-PC7</w:t>
            </w:r>
          </w:p>
        </w:tc>
        <w:tc>
          <w:tcPr>
            <w:tcW w:w="2200" w:type="dxa"/>
            <w:tcBorders>
              <w:top w:val="nil"/>
              <w:left w:val="nil"/>
              <w:bottom w:val="single" w:sz="8" w:space="0" w:color="auto"/>
              <w:right w:val="single" w:sz="8" w:space="0" w:color="auto"/>
            </w:tcBorders>
            <w:shd w:val="clear" w:color="auto" w:fill="auto"/>
            <w:vAlign w:val="center"/>
            <w:hideMark/>
          </w:tcPr>
          <w:p w14:paraId="0CA33B3D"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BL1a</w:t>
            </w:r>
          </w:p>
        </w:tc>
        <w:tc>
          <w:tcPr>
            <w:tcW w:w="2500" w:type="dxa"/>
            <w:tcBorders>
              <w:top w:val="nil"/>
              <w:left w:val="nil"/>
              <w:bottom w:val="single" w:sz="8" w:space="0" w:color="auto"/>
              <w:right w:val="single" w:sz="8" w:space="0" w:color="auto"/>
            </w:tcBorders>
            <w:shd w:val="clear" w:color="auto" w:fill="auto"/>
            <w:vAlign w:val="center"/>
            <w:hideMark/>
          </w:tcPr>
          <w:p w14:paraId="6D244FA0"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Beckman Coulter</w:t>
            </w:r>
          </w:p>
        </w:tc>
      </w:tr>
      <w:tr w:rsidR="003E71A0" w:rsidRPr="003E71A0" w14:paraId="68230B15" w14:textId="77777777" w:rsidTr="003E71A0">
        <w:trPr>
          <w:trHeight w:val="315"/>
          <w:jc w:val="center"/>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6314FCE2"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CD8-Pacific Blue</w:t>
            </w:r>
          </w:p>
        </w:tc>
        <w:tc>
          <w:tcPr>
            <w:tcW w:w="2200" w:type="dxa"/>
            <w:tcBorders>
              <w:top w:val="nil"/>
              <w:left w:val="nil"/>
              <w:bottom w:val="single" w:sz="8" w:space="0" w:color="auto"/>
              <w:right w:val="single" w:sz="8" w:space="0" w:color="auto"/>
            </w:tcBorders>
            <w:shd w:val="clear" w:color="auto" w:fill="auto"/>
            <w:vAlign w:val="center"/>
            <w:hideMark/>
          </w:tcPr>
          <w:p w14:paraId="37364CDC"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B9.11</w:t>
            </w:r>
          </w:p>
        </w:tc>
        <w:tc>
          <w:tcPr>
            <w:tcW w:w="2500" w:type="dxa"/>
            <w:tcBorders>
              <w:top w:val="nil"/>
              <w:left w:val="nil"/>
              <w:bottom w:val="single" w:sz="8" w:space="0" w:color="auto"/>
              <w:right w:val="single" w:sz="8" w:space="0" w:color="auto"/>
            </w:tcBorders>
            <w:shd w:val="clear" w:color="auto" w:fill="auto"/>
            <w:vAlign w:val="center"/>
            <w:hideMark/>
          </w:tcPr>
          <w:p w14:paraId="392F56D5"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Beckman Coulter</w:t>
            </w:r>
          </w:p>
        </w:tc>
      </w:tr>
      <w:tr w:rsidR="003E71A0" w:rsidRPr="003E71A0" w14:paraId="362DCD29" w14:textId="77777777" w:rsidTr="003E71A0">
        <w:trPr>
          <w:trHeight w:val="315"/>
          <w:jc w:val="center"/>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236D1F70"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CD14-FITC</w:t>
            </w:r>
          </w:p>
        </w:tc>
        <w:tc>
          <w:tcPr>
            <w:tcW w:w="2200" w:type="dxa"/>
            <w:tcBorders>
              <w:top w:val="nil"/>
              <w:left w:val="nil"/>
              <w:bottom w:val="single" w:sz="8" w:space="0" w:color="auto"/>
              <w:right w:val="single" w:sz="8" w:space="0" w:color="auto"/>
            </w:tcBorders>
            <w:shd w:val="clear" w:color="auto" w:fill="auto"/>
            <w:vAlign w:val="center"/>
            <w:hideMark/>
          </w:tcPr>
          <w:p w14:paraId="2C5BDA5D" w14:textId="77777777" w:rsidR="003E71A0" w:rsidRPr="003E71A0" w:rsidRDefault="003E71A0" w:rsidP="003E71A0">
            <w:pPr>
              <w:spacing w:after="0" w:line="240" w:lineRule="auto"/>
              <w:jc w:val="both"/>
              <w:rPr>
                <w:rFonts w:ascii="Arial" w:eastAsia="Times New Roman" w:hAnsi="Arial" w:cs="Arial"/>
                <w:color w:val="333333"/>
                <w:lang w:val="es-ES" w:eastAsia="es-ES"/>
              </w:rPr>
            </w:pPr>
            <w:r w:rsidRPr="003E71A0">
              <w:rPr>
                <w:rFonts w:ascii="Arial" w:eastAsia="Times New Roman" w:hAnsi="Arial" w:cs="Arial"/>
                <w:color w:val="333333"/>
                <w:lang w:val="es-ES" w:eastAsia="es-ES"/>
              </w:rPr>
              <w:t>RMO52</w:t>
            </w:r>
          </w:p>
        </w:tc>
        <w:tc>
          <w:tcPr>
            <w:tcW w:w="2500" w:type="dxa"/>
            <w:tcBorders>
              <w:top w:val="nil"/>
              <w:left w:val="nil"/>
              <w:bottom w:val="single" w:sz="8" w:space="0" w:color="auto"/>
              <w:right w:val="single" w:sz="8" w:space="0" w:color="auto"/>
            </w:tcBorders>
            <w:shd w:val="clear" w:color="auto" w:fill="auto"/>
            <w:vAlign w:val="center"/>
            <w:hideMark/>
          </w:tcPr>
          <w:p w14:paraId="5AD4F0FC"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Beckman Coulter</w:t>
            </w:r>
          </w:p>
        </w:tc>
      </w:tr>
      <w:tr w:rsidR="003E71A0" w:rsidRPr="003E71A0" w14:paraId="5B594B6A" w14:textId="77777777" w:rsidTr="003E71A0">
        <w:trPr>
          <w:trHeight w:val="315"/>
          <w:jc w:val="center"/>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16248107"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CD19-APC-A750</w:t>
            </w:r>
          </w:p>
        </w:tc>
        <w:tc>
          <w:tcPr>
            <w:tcW w:w="2200" w:type="dxa"/>
            <w:tcBorders>
              <w:top w:val="nil"/>
              <w:left w:val="nil"/>
              <w:bottom w:val="single" w:sz="8" w:space="0" w:color="auto"/>
              <w:right w:val="single" w:sz="8" w:space="0" w:color="auto"/>
            </w:tcBorders>
            <w:shd w:val="clear" w:color="auto" w:fill="auto"/>
            <w:vAlign w:val="center"/>
            <w:hideMark/>
          </w:tcPr>
          <w:p w14:paraId="1176A8EF"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J3-119</w:t>
            </w:r>
          </w:p>
        </w:tc>
        <w:tc>
          <w:tcPr>
            <w:tcW w:w="2500" w:type="dxa"/>
            <w:tcBorders>
              <w:top w:val="nil"/>
              <w:left w:val="nil"/>
              <w:bottom w:val="single" w:sz="8" w:space="0" w:color="auto"/>
              <w:right w:val="single" w:sz="8" w:space="0" w:color="auto"/>
            </w:tcBorders>
            <w:shd w:val="clear" w:color="auto" w:fill="auto"/>
            <w:vAlign w:val="center"/>
            <w:hideMark/>
          </w:tcPr>
          <w:p w14:paraId="103BA5EE"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Beckman Coulter</w:t>
            </w:r>
          </w:p>
        </w:tc>
      </w:tr>
      <w:tr w:rsidR="003E71A0" w:rsidRPr="003E71A0" w14:paraId="4178C64B" w14:textId="77777777" w:rsidTr="003E71A0">
        <w:trPr>
          <w:trHeight w:val="315"/>
          <w:jc w:val="center"/>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0BAF04F1"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CD45-Krome Orange</w:t>
            </w:r>
          </w:p>
        </w:tc>
        <w:tc>
          <w:tcPr>
            <w:tcW w:w="2200" w:type="dxa"/>
            <w:tcBorders>
              <w:top w:val="nil"/>
              <w:left w:val="nil"/>
              <w:bottom w:val="single" w:sz="8" w:space="0" w:color="auto"/>
              <w:right w:val="single" w:sz="8" w:space="0" w:color="auto"/>
            </w:tcBorders>
            <w:shd w:val="clear" w:color="auto" w:fill="auto"/>
            <w:vAlign w:val="center"/>
            <w:hideMark/>
          </w:tcPr>
          <w:p w14:paraId="545D4673"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J33</w:t>
            </w:r>
          </w:p>
        </w:tc>
        <w:tc>
          <w:tcPr>
            <w:tcW w:w="2500" w:type="dxa"/>
            <w:tcBorders>
              <w:top w:val="nil"/>
              <w:left w:val="nil"/>
              <w:bottom w:val="single" w:sz="8" w:space="0" w:color="auto"/>
              <w:right w:val="single" w:sz="8" w:space="0" w:color="auto"/>
            </w:tcBorders>
            <w:shd w:val="clear" w:color="auto" w:fill="auto"/>
            <w:vAlign w:val="center"/>
            <w:hideMark/>
          </w:tcPr>
          <w:p w14:paraId="19648CC3"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Beckman Coulter</w:t>
            </w:r>
          </w:p>
        </w:tc>
      </w:tr>
      <w:tr w:rsidR="003E71A0" w:rsidRPr="003E71A0" w14:paraId="4431B8DD" w14:textId="77777777" w:rsidTr="003E71A0">
        <w:trPr>
          <w:trHeight w:val="315"/>
          <w:jc w:val="center"/>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515C0097"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CD45RA-Alexa Fluor 700</w:t>
            </w:r>
          </w:p>
        </w:tc>
        <w:tc>
          <w:tcPr>
            <w:tcW w:w="2200" w:type="dxa"/>
            <w:tcBorders>
              <w:top w:val="nil"/>
              <w:left w:val="nil"/>
              <w:bottom w:val="single" w:sz="8" w:space="0" w:color="auto"/>
              <w:right w:val="single" w:sz="8" w:space="0" w:color="auto"/>
            </w:tcBorders>
            <w:shd w:val="clear" w:color="auto" w:fill="auto"/>
            <w:vAlign w:val="center"/>
            <w:hideMark/>
          </w:tcPr>
          <w:p w14:paraId="518F766C"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2H4LDH11LDB9</w:t>
            </w:r>
          </w:p>
        </w:tc>
        <w:tc>
          <w:tcPr>
            <w:tcW w:w="2500" w:type="dxa"/>
            <w:tcBorders>
              <w:top w:val="nil"/>
              <w:left w:val="nil"/>
              <w:bottom w:val="single" w:sz="8" w:space="0" w:color="auto"/>
              <w:right w:val="single" w:sz="8" w:space="0" w:color="auto"/>
            </w:tcBorders>
            <w:shd w:val="clear" w:color="auto" w:fill="auto"/>
            <w:vAlign w:val="center"/>
            <w:hideMark/>
          </w:tcPr>
          <w:p w14:paraId="07BEF7B6"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Beckman Coulter</w:t>
            </w:r>
          </w:p>
        </w:tc>
      </w:tr>
      <w:tr w:rsidR="003E71A0" w:rsidRPr="003E71A0" w14:paraId="6561DAD3" w14:textId="77777777" w:rsidTr="003E71A0">
        <w:trPr>
          <w:trHeight w:val="315"/>
          <w:jc w:val="center"/>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428DD585"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CD197(CCR7)-PE</w:t>
            </w:r>
          </w:p>
        </w:tc>
        <w:tc>
          <w:tcPr>
            <w:tcW w:w="2200" w:type="dxa"/>
            <w:tcBorders>
              <w:top w:val="nil"/>
              <w:left w:val="nil"/>
              <w:bottom w:val="single" w:sz="8" w:space="0" w:color="auto"/>
              <w:right w:val="single" w:sz="8" w:space="0" w:color="auto"/>
            </w:tcBorders>
            <w:shd w:val="clear" w:color="auto" w:fill="auto"/>
            <w:vAlign w:val="center"/>
            <w:hideMark/>
          </w:tcPr>
          <w:p w14:paraId="564523FC"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G043H7</w:t>
            </w:r>
          </w:p>
        </w:tc>
        <w:tc>
          <w:tcPr>
            <w:tcW w:w="2500" w:type="dxa"/>
            <w:tcBorders>
              <w:top w:val="nil"/>
              <w:left w:val="nil"/>
              <w:bottom w:val="single" w:sz="8" w:space="0" w:color="auto"/>
              <w:right w:val="single" w:sz="8" w:space="0" w:color="auto"/>
            </w:tcBorders>
            <w:shd w:val="clear" w:color="auto" w:fill="auto"/>
            <w:vAlign w:val="center"/>
            <w:hideMark/>
          </w:tcPr>
          <w:p w14:paraId="35825E21"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Beckman Coulter</w:t>
            </w:r>
          </w:p>
        </w:tc>
      </w:tr>
      <w:tr w:rsidR="003E71A0" w:rsidRPr="003E71A0" w14:paraId="5F3A823C" w14:textId="77777777" w:rsidTr="003E71A0">
        <w:trPr>
          <w:trHeight w:val="315"/>
          <w:jc w:val="center"/>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7614AB63"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CD279(PD-1)-PC5.5</w:t>
            </w:r>
          </w:p>
        </w:tc>
        <w:tc>
          <w:tcPr>
            <w:tcW w:w="2200" w:type="dxa"/>
            <w:tcBorders>
              <w:top w:val="nil"/>
              <w:left w:val="nil"/>
              <w:bottom w:val="single" w:sz="8" w:space="0" w:color="auto"/>
              <w:right w:val="single" w:sz="8" w:space="0" w:color="auto"/>
            </w:tcBorders>
            <w:shd w:val="clear" w:color="auto" w:fill="auto"/>
            <w:vAlign w:val="center"/>
            <w:hideMark/>
          </w:tcPr>
          <w:p w14:paraId="11FFF3E6"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PD1.3</w:t>
            </w:r>
          </w:p>
        </w:tc>
        <w:tc>
          <w:tcPr>
            <w:tcW w:w="2500" w:type="dxa"/>
            <w:tcBorders>
              <w:top w:val="nil"/>
              <w:left w:val="nil"/>
              <w:bottom w:val="single" w:sz="8" w:space="0" w:color="auto"/>
              <w:right w:val="single" w:sz="8" w:space="0" w:color="auto"/>
            </w:tcBorders>
            <w:shd w:val="clear" w:color="auto" w:fill="auto"/>
            <w:vAlign w:val="center"/>
            <w:hideMark/>
          </w:tcPr>
          <w:p w14:paraId="233C66A5"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Beckman Coulter</w:t>
            </w:r>
          </w:p>
        </w:tc>
      </w:tr>
      <w:tr w:rsidR="003E71A0" w:rsidRPr="003E71A0" w14:paraId="6CC7ACA1" w14:textId="77777777" w:rsidTr="003E71A0">
        <w:trPr>
          <w:trHeight w:val="315"/>
          <w:jc w:val="center"/>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62A31DC6"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HLA-DR-PC5.5</w:t>
            </w:r>
          </w:p>
        </w:tc>
        <w:tc>
          <w:tcPr>
            <w:tcW w:w="2200" w:type="dxa"/>
            <w:tcBorders>
              <w:top w:val="nil"/>
              <w:left w:val="nil"/>
              <w:bottom w:val="single" w:sz="8" w:space="0" w:color="auto"/>
              <w:right w:val="single" w:sz="8" w:space="0" w:color="auto"/>
            </w:tcBorders>
            <w:shd w:val="clear" w:color="auto" w:fill="auto"/>
            <w:vAlign w:val="center"/>
            <w:hideMark/>
          </w:tcPr>
          <w:p w14:paraId="26BA16F0"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Immu357</w:t>
            </w:r>
          </w:p>
        </w:tc>
        <w:tc>
          <w:tcPr>
            <w:tcW w:w="2500" w:type="dxa"/>
            <w:tcBorders>
              <w:top w:val="nil"/>
              <w:left w:val="nil"/>
              <w:bottom w:val="single" w:sz="8" w:space="0" w:color="auto"/>
              <w:right w:val="single" w:sz="8" w:space="0" w:color="auto"/>
            </w:tcBorders>
            <w:shd w:val="clear" w:color="auto" w:fill="auto"/>
            <w:vAlign w:val="center"/>
            <w:hideMark/>
          </w:tcPr>
          <w:p w14:paraId="4C0EBF24"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Beckman Coulter</w:t>
            </w:r>
          </w:p>
        </w:tc>
      </w:tr>
      <w:tr w:rsidR="003E71A0" w:rsidRPr="003E71A0" w14:paraId="1E73C436" w14:textId="77777777" w:rsidTr="003E71A0">
        <w:trPr>
          <w:trHeight w:val="315"/>
          <w:jc w:val="center"/>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4336938D"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CD5-APC</w:t>
            </w:r>
          </w:p>
        </w:tc>
        <w:tc>
          <w:tcPr>
            <w:tcW w:w="2200" w:type="dxa"/>
            <w:tcBorders>
              <w:top w:val="nil"/>
              <w:left w:val="nil"/>
              <w:bottom w:val="single" w:sz="8" w:space="0" w:color="auto"/>
              <w:right w:val="single" w:sz="8" w:space="0" w:color="auto"/>
            </w:tcBorders>
            <w:shd w:val="clear" w:color="auto" w:fill="auto"/>
            <w:vAlign w:val="center"/>
            <w:hideMark/>
          </w:tcPr>
          <w:p w14:paraId="1FC753D4"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L17F12</w:t>
            </w:r>
          </w:p>
        </w:tc>
        <w:tc>
          <w:tcPr>
            <w:tcW w:w="2500" w:type="dxa"/>
            <w:tcBorders>
              <w:top w:val="nil"/>
              <w:left w:val="nil"/>
              <w:bottom w:val="single" w:sz="8" w:space="0" w:color="auto"/>
              <w:right w:val="single" w:sz="8" w:space="0" w:color="auto"/>
            </w:tcBorders>
            <w:shd w:val="clear" w:color="auto" w:fill="auto"/>
            <w:vAlign w:val="center"/>
            <w:hideMark/>
          </w:tcPr>
          <w:p w14:paraId="3CE7AA0F"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BD Biosciences</w:t>
            </w:r>
          </w:p>
        </w:tc>
      </w:tr>
      <w:tr w:rsidR="003E71A0" w:rsidRPr="003E71A0" w14:paraId="1EE1FE77" w14:textId="77777777" w:rsidTr="003E71A0">
        <w:trPr>
          <w:trHeight w:val="315"/>
          <w:jc w:val="center"/>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5A3B1F63"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CD160-Alexa Fluor 488</w:t>
            </w:r>
          </w:p>
        </w:tc>
        <w:tc>
          <w:tcPr>
            <w:tcW w:w="2200" w:type="dxa"/>
            <w:tcBorders>
              <w:top w:val="nil"/>
              <w:left w:val="nil"/>
              <w:bottom w:val="single" w:sz="8" w:space="0" w:color="auto"/>
              <w:right w:val="single" w:sz="8" w:space="0" w:color="auto"/>
            </w:tcBorders>
            <w:shd w:val="clear" w:color="auto" w:fill="auto"/>
            <w:vAlign w:val="center"/>
            <w:hideMark/>
          </w:tcPr>
          <w:p w14:paraId="292FF5A7"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BY55</w:t>
            </w:r>
          </w:p>
        </w:tc>
        <w:tc>
          <w:tcPr>
            <w:tcW w:w="2500" w:type="dxa"/>
            <w:tcBorders>
              <w:top w:val="nil"/>
              <w:left w:val="nil"/>
              <w:bottom w:val="single" w:sz="8" w:space="0" w:color="auto"/>
              <w:right w:val="single" w:sz="8" w:space="0" w:color="auto"/>
            </w:tcBorders>
            <w:shd w:val="clear" w:color="auto" w:fill="auto"/>
            <w:vAlign w:val="center"/>
            <w:hideMark/>
          </w:tcPr>
          <w:p w14:paraId="2FEFD598"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eBioscience</w:t>
            </w:r>
          </w:p>
        </w:tc>
      </w:tr>
      <w:tr w:rsidR="003E71A0" w:rsidRPr="003E71A0" w14:paraId="38E3A43C" w14:textId="77777777" w:rsidTr="003E71A0">
        <w:trPr>
          <w:trHeight w:val="315"/>
          <w:jc w:val="center"/>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5EEBD154"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CD160-PE</w:t>
            </w:r>
          </w:p>
        </w:tc>
        <w:tc>
          <w:tcPr>
            <w:tcW w:w="2200" w:type="dxa"/>
            <w:tcBorders>
              <w:top w:val="nil"/>
              <w:left w:val="nil"/>
              <w:bottom w:val="single" w:sz="8" w:space="0" w:color="auto"/>
              <w:right w:val="single" w:sz="8" w:space="0" w:color="auto"/>
            </w:tcBorders>
            <w:shd w:val="clear" w:color="auto" w:fill="auto"/>
            <w:vAlign w:val="center"/>
            <w:hideMark/>
          </w:tcPr>
          <w:p w14:paraId="17CA62E7"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BY55</w:t>
            </w:r>
          </w:p>
        </w:tc>
        <w:tc>
          <w:tcPr>
            <w:tcW w:w="2500" w:type="dxa"/>
            <w:tcBorders>
              <w:top w:val="nil"/>
              <w:left w:val="nil"/>
              <w:bottom w:val="single" w:sz="8" w:space="0" w:color="auto"/>
              <w:right w:val="single" w:sz="8" w:space="0" w:color="auto"/>
            </w:tcBorders>
            <w:shd w:val="clear" w:color="auto" w:fill="auto"/>
            <w:vAlign w:val="center"/>
            <w:hideMark/>
          </w:tcPr>
          <w:p w14:paraId="4A40F429"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eBioscience</w:t>
            </w:r>
          </w:p>
        </w:tc>
      </w:tr>
      <w:tr w:rsidR="003E71A0" w:rsidRPr="003E71A0" w14:paraId="02B6A191" w14:textId="77777777" w:rsidTr="003E71A0">
        <w:trPr>
          <w:trHeight w:val="315"/>
          <w:jc w:val="center"/>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10205563"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CD244-FITC</w:t>
            </w:r>
          </w:p>
        </w:tc>
        <w:tc>
          <w:tcPr>
            <w:tcW w:w="2200" w:type="dxa"/>
            <w:tcBorders>
              <w:top w:val="nil"/>
              <w:left w:val="nil"/>
              <w:bottom w:val="single" w:sz="8" w:space="0" w:color="auto"/>
              <w:right w:val="single" w:sz="8" w:space="0" w:color="auto"/>
            </w:tcBorders>
            <w:shd w:val="clear" w:color="auto" w:fill="auto"/>
            <w:vAlign w:val="center"/>
            <w:hideMark/>
          </w:tcPr>
          <w:p w14:paraId="4378644C"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eBioDM244</w:t>
            </w:r>
          </w:p>
        </w:tc>
        <w:tc>
          <w:tcPr>
            <w:tcW w:w="2500" w:type="dxa"/>
            <w:tcBorders>
              <w:top w:val="nil"/>
              <w:left w:val="nil"/>
              <w:bottom w:val="single" w:sz="8" w:space="0" w:color="auto"/>
              <w:right w:val="single" w:sz="8" w:space="0" w:color="auto"/>
            </w:tcBorders>
            <w:shd w:val="clear" w:color="auto" w:fill="auto"/>
            <w:vAlign w:val="center"/>
            <w:hideMark/>
          </w:tcPr>
          <w:p w14:paraId="7CAC8D53"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eBioscience</w:t>
            </w:r>
          </w:p>
        </w:tc>
      </w:tr>
      <w:tr w:rsidR="003E71A0" w:rsidRPr="003E71A0" w14:paraId="0BDF791E" w14:textId="77777777" w:rsidTr="00DD7E8B">
        <w:trPr>
          <w:trHeight w:val="315"/>
          <w:jc w:val="center"/>
        </w:trPr>
        <w:tc>
          <w:tcPr>
            <w:tcW w:w="2860" w:type="dxa"/>
            <w:tcBorders>
              <w:top w:val="nil"/>
              <w:left w:val="single" w:sz="8" w:space="0" w:color="auto"/>
              <w:bottom w:val="single" w:sz="8" w:space="0" w:color="auto"/>
              <w:right w:val="single" w:sz="8" w:space="0" w:color="auto"/>
            </w:tcBorders>
            <w:shd w:val="clear" w:color="auto" w:fill="auto"/>
            <w:vAlign w:val="center"/>
          </w:tcPr>
          <w:p w14:paraId="3360E742" w14:textId="7F91959E" w:rsidR="003E71A0" w:rsidRPr="003E71A0" w:rsidRDefault="003E71A0" w:rsidP="003E71A0">
            <w:pPr>
              <w:spacing w:after="0" w:line="240" w:lineRule="auto"/>
              <w:jc w:val="both"/>
              <w:rPr>
                <w:rFonts w:ascii="Arial" w:eastAsia="Times New Roman" w:hAnsi="Arial" w:cs="Arial"/>
                <w:color w:val="000000"/>
                <w:lang w:val="es-ES" w:eastAsia="es-ES"/>
              </w:rPr>
            </w:pPr>
          </w:p>
        </w:tc>
        <w:tc>
          <w:tcPr>
            <w:tcW w:w="2200" w:type="dxa"/>
            <w:tcBorders>
              <w:top w:val="nil"/>
              <w:left w:val="nil"/>
              <w:bottom w:val="single" w:sz="8" w:space="0" w:color="auto"/>
              <w:right w:val="single" w:sz="8" w:space="0" w:color="auto"/>
            </w:tcBorders>
            <w:shd w:val="clear" w:color="auto" w:fill="auto"/>
            <w:vAlign w:val="center"/>
          </w:tcPr>
          <w:p w14:paraId="27948F92" w14:textId="0F25CD8E" w:rsidR="003E71A0" w:rsidRPr="003E71A0" w:rsidRDefault="003E71A0" w:rsidP="003E71A0">
            <w:pPr>
              <w:spacing w:after="0" w:line="240" w:lineRule="auto"/>
              <w:jc w:val="both"/>
              <w:rPr>
                <w:rFonts w:ascii="Arial" w:eastAsia="Times New Roman" w:hAnsi="Arial" w:cs="Arial"/>
                <w:color w:val="000000"/>
                <w:lang w:val="es-ES" w:eastAsia="es-ES"/>
              </w:rPr>
            </w:pPr>
          </w:p>
        </w:tc>
        <w:tc>
          <w:tcPr>
            <w:tcW w:w="2500" w:type="dxa"/>
            <w:tcBorders>
              <w:top w:val="nil"/>
              <w:left w:val="nil"/>
              <w:bottom w:val="single" w:sz="8" w:space="0" w:color="auto"/>
              <w:right w:val="single" w:sz="8" w:space="0" w:color="auto"/>
            </w:tcBorders>
            <w:shd w:val="clear" w:color="auto" w:fill="auto"/>
            <w:vAlign w:val="center"/>
          </w:tcPr>
          <w:p w14:paraId="09548E30" w14:textId="384B7D81" w:rsidR="003E71A0" w:rsidRPr="003E71A0" w:rsidRDefault="003E71A0" w:rsidP="003E71A0">
            <w:pPr>
              <w:spacing w:after="0" w:line="240" w:lineRule="auto"/>
              <w:jc w:val="both"/>
              <w:rPr>
                <w:rFonts w:ascii="Arial" w:eastAsia="Times New Roman" w:hAnsi="Arial" w:cs="Arial"/>
                <w:color w:val="000000"/>
                <w:lang w:val="es-ES" w:eastAsia="es-ES"/>
              </w:rPr>
            </w:pPr>
          </w:p>
        </w:tc>
      </w:tr>
      <w:tr w:rsidR="003E71A0" w:rsidRPr="003E71A0" w14:paraId="5F679CE1" w14:textId="77777777" w:rsidTr="003E71A0">
        <w:trPr>
          <w:trHeight w:val="315"/>
          <w:jc w:val="center"/>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173637C9"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IL-10-PE</w:t>
            </w:r>
          </w:p>
        </w:tc>
        <w:tc>
          <w:tcPr>
            <w:tcW w:w="2200" w:type="dxa"/>
            <w:tcBorders>
              <w:top w:val="nil"/>
              <w:left w:val="nil"/>
              <w:bottom w:val="single" w:sz="8" w:space="0" w:color="auto"/>
              <w:right w:val="single" w:sz="8" w:space="0" w:color="auto"/>
            </w:tcBorders>
            <w:shd w:val="clear" w:color="auto" w:fill="auto"/>
            <w:vAlign w:val="center"/>
            <w:hideMark/>
          </w:tcPr>
          <w:p w14:paraId="1606E33A"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JES3-9D7</w:t>
            </w:r>
          </w:p>
        </w:tc>
        <w:tc>
          <w:tcPr>
            <w:tcW w:w="2500" w:type="dxa"/>
            <w:tcBorders>
              <w:top w:val="nil"/>
              <w:left w:val="nil"/>
              <w:bottom w:val="single" w:sz="8" w:space="0" w:color="auto"/>
              <w:right w:val="single" w:sz="8" w:space="0" w:color="auto"/>
            </w:tcBorders>
            <w:shd w:val="clear" w:color="auto" w:fill="auto"/>
            <w:vAlign w:val="center"/>
            <w:hideMark/>
          </w:tcPr>
          <w:p w14:paraId="2147ED4E"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eBioscience</w:t>
            </w:r>
          </w:p>
        </w:tc>
      </w:tr>
      <w:tr w:rsidR="003E71A0" w:rsidRPr="003E71A0" w14:paraId="3DF0F671" w14:textId="77777777" w:rsidTr="003E71A0">
        <w:trPr>
          <w:trHeight w:val="315"/>
          <w:jc w:val="center"/>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24FA51E3"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T-bet-PE</w:t>
            </w:r>
          </w:p>
        </w:tc>
        <w:tc>
          <w:tcPr>
            <w:tcW w:w="2200" w:type="dxa"/>
            <w:tcBorders>
              <w:top w:val="nil"/>
              <w:left w:val="nil"/>
              <w:bottom w:val="single" w:sz="8" w:space="0" w:color="auto"/>
              <w:right w:val="single" w:sz="8" w:space="0" w:color="auto"/>
            </w:tcBorders>
            <w:shd w:val="clear" w:color="auto" w:fill="auto"/>
            <w:vAlign w:val="center"/>
            <w:hideMark/>
          </w:tcPr>
          <w:p w14:paraId="32242564"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eBio4B10</w:t>
            </w:r>
          </w:p>
        </w:tc>
        <w:tc>
          <w:tcPr>
            <w:tcW w:w="2500" w:type="dxa"/>
            <w:tcBorders>
              <w:top w:val="nil"/>
              <w:left w:val="nil"/>
              <w:bottom w:val="single" w:sz="8" w:space="0" w:color="auto"/>
              <w:right w:val="single" w:sz="8" w:space="0" w:color="auto"/>
            </w:tcBorders>
            <w:shd w:val="clear" w:color="auto" w:fill="auto"/>
            <w:vAlign w:val="center"/>
            <w:hideMark/>
          </w:tcPr>
          <w:p w14:paraId="2FBB4273"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eBioscience</w:t>
            </w:r>
          </w:p>
        </w:tc>
      </w:tr>
      <w:tr w:rsidR="003E71A0" w:rsidRPr="003E71A0" w14:paraId="0F0FF4B6" w14:textId="77777777" w:rsidTr="003E71A0">
        <w:trPr>
          <w:trHeight w:val="315"/>
          <w:jc w:val="center"/>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602B1D86"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Eomes-eFluor 660</w:t>
            </w:r>
          </w:p>
        </w:tc>
        <w:tc>
          <w:tcPr>
            <w:tcW w:w="2200" w:type="dxa"/>
            <w:tcBorders>
              <w:top w:val="nil"/>
              <w:left w:val="nil"/>
              <w:bottom w:val="single" w:sz="8" w:space="0" w:color="auto"/>
              <w:right w:val="single" w:sz="8" w:space="0" w:color="auto"/>
            </w:tcBorders>
            <w:shd w:val="clear" w:color="auto" w:fill="auto"/>
            <w:vAlign w:val="center"/>
            <w:hideMark/>
          </w:tcPr>
          <w:p w14:paraId="71187AAA"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WD1928</w:t>
            </w:r>
          </w:p>
        </w:tc>
        <w:tc>
          <w:tcPr>
            <w:tcW w:w="2500" w:type="dxa"/>
            <w:tcBorders>
              <w:top w:val="nil"/>
              <w:left w:val="nil"/>
              <w:bottom w:val="single" w:sz="8" w:space="0" w:color="auto"/>
              <w:right w:val="single" w:sz="8" w:space="0" w:color="auto"/>
            </w:tcBorders>
            <w:shd w:val="clear" w:color="auto" w:fill="auto"/>
            <w:vAlign w:val="center"/>
            <w:hideMark/>
          </w:tcPr>
          <w:p w14:paraId="5326B58E"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eBioscience</w:t>
            </w:r>
          </w:p>
        </w:tc>
      </w:tr>
      <w:tr w:rsidR="003E71A0" w:rsidRPr="003E71A0" w14:paraId="5DD62A97" w14:textId="77777777" w:rsidTr="003E71A0">
        <w:trPr>
          <w:trHeight w:val="600"/>
          <w:jc w:val="center"/>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722BA1B6" w14:textId="77777777" w:rsidR="003E71A0" w:rsidRPr="003E71A0" w:rsidRDefault="003E71A0" w:rsidP="003E71A0">
            <w:pPr>
              <w:spacing w:after="0" w:line="240" w:lineRule="auto"/>
              <w:jc w:val="both"/>
              <w:rPr>
                <w:rFonts w:ascii="Arial" w:eastAsia="Times New Roman" w:hAnsi="Arial" w:cs="Arial"/>
                <w:color w:val="000000"/>
                <w:lang w:eastAsia="es-ES"/>
              </w:rPr>
            </w:pPr>
            <w:r w:rsidRPr="003E71A0">
              <w:rPr>
                <w:rFonts w:ascii="Arial" w:eastAsia="Times New Roman" w:hAnsi="Arial" w:cs="Arial"/>
                <w:color w:val="000000"/>
                <w:lang w:eastAsia="es-ES"/>
              </w:rPr>
              <w:t xml:space="preserve">rat IgG1 </w:t>
            </w:r>
            <w:r w:rsidRPr="003E71A0">
              <w:rPr>
                <w:rFonts w:ascii="Symbol" w:eastAsia="Times New Roman" w:hAnsi="Symbol" w:cs="Arial"/>
                <w:color w:val="000000"/>
                <w:lang w:val="es-ES" w:eastAsia="es-ES"/>
              </w:rPr>
              <w:t></w:t>
            </w:r>
            <w:r w:rsidRPr="003E71A0">
              <w:rPr>
                <w:rFonts w:ascii="Arial" w:eastAsia="Times New Roman" w:hAnsi="Arial" w:cs="Arial"/>
                <w:color w:val="000000"/>
                <w:lang w:eastAsia="es-ES"/>
              </w:rPr>
              <w:t xml:space="preserve"> isotype control-PE</w:t>
            </w:r>
          </w:p>
        </w:tc>
        <w:tc>
          <w:tcPr>
            <w:tcW w:w="2200" w:type="dxa"/>
            <w:tcBorders>
              <w:top w:val="nil"/>
              <w:left w:val="nil"/>
              <w:bottom w:val="single" w:sz="8" w:space="0" w:color="auto"/>
              <w:right w:val="single" w:sz="8" w:space="0" w:color="auto"/>
            </w:tcBorders>
            <w:shd w:val="clear" w:color="auto" w:fill="auto"/>
            <w:vAlign w:val="center"/>
            <w:hideMark/>
          </w:tcPr>
          <w:p w14:paraId="0EE7BAC8"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eBRG1</w:t>
            </w:r>
          </w:p>
        </w:tc>
        <w:tc>
          <w:tcPr>
            <w:tcW w:w="2500" w:type="dxa"/>
            <w:tcBorders>
              <w:top w:val="nil"/>
              <w:left w:val="nil"/>
              <w:bottom w:val="single" w:sz="8" w:space="0" w:color="auto"/>
              <w:right w:val="single" w:sz="8" w:space="0" w:color="auto"/>
            </w:tcBorders>
            <w:shd w:val="clear" w:color="auto" w:fill="auto"/>
            <w:vAlign w:val="center"/>
            <w:hideMark/>
          </w:tcPr>
          <w:p w14:paraId="6AF54147"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eBioscience</w:t>
            </w:r>
          </w:p>
        </w:tc>
      </w:tr>
      <w:tr w:rsidR="003E71A0" w:rsidRPr="003E71A0" w14:paraId="39F02C4B" w14:textId="77777777" w:rsidTr="003E71A0">
        <w:trPr>
          <w:trHeight w:val="600"/>
          <w:jc w:val="center"/>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7C2CCEF9" w14:textId="77777777" w:rsidR="003E71A0" w:rsidRPr="003E71A0" w:rsidRDefault="003E71A0" w:rsidP="003E71A0">
            <w:pPr>
              <w:spacing w:after="0" w:line="240" w:lineRule="auto"/>
              <w:jc w:val="both"/>
              <w:rPr>
                <w:rFonts w:ascii="Arial" w:eastAsia="Times New Roman" w:hAnsi="Arial" w:cs="Arial"/>
                <w:color w:val="000000"/>
                <w:lang w:eastAsia="es-ES"/>
              </w:rPr>
            </w:pPr>
            <w:r w:rsidRPr="003E71A0">
              <w:rPr>
                <w:rFonts w:ascii="Arial" w:eastAsia="Times New Roman" w:hAnsi="Arial" w:cs="Arial"/>
                <w:color w:val="000000"/>
                <w:lang w:eastAsia="es-ES"/>
              </w:rPr>
              <w:t xml:space="preserve">mouse IgG1 </w:t>
            </w:r>
            <w:r w:rsidRPr="003E71A0">
              <w:rPr>
                <w:rFonts w:ascii="Symbol" w:eastAsia="Times New Roman" w:hAnsi="Symbol" w:cs="Arial"/>
                <w:color w:val="000000"/>
                <w:lang w:val="es-ES" w:eastAsia="es-ES"/>
              </w:rPr>
              <w:t></w:t>
            </w:r>
            <w:r w:rsidRPr="003E71A0">
              <w:rPr>
                <w:rFonts w:ascii="Arial" w:eastAsia="Times New Roman" w:hAnsi="Arial" w:cs="Arial"/>
                <w:color w:val="000000"/>
                <w:lang w:eastAsia="es-ES"/>
              </w:rPr>
              <w:t xml:space="preserve"> isotype control-eFluor 660</w:t>
            </w:r>
          </w:p>
        </w:tc>
        <w:tc>
          <w:tcPr>
            <w:tcW w:w="2200" w:type="dxa"/>
            <w:tcBorders>
              <w:top w:val="nil"/>
              <w:left w:val="nil"/>
              <w:bottom w:val="single" w:sz="8" w:space="0" w:color="auto"/>
              <w:right w:val="single" w:sz="8" w:space="0" w:color="auto"/>
            </w:tcBorders>
            <w:shd w:val="clear" w:color="auto" w:fill="auto"/>
            <w:vAlign w:val="center"/>
            <w:hideMark/>
          </w:tcPr>
          <w:p w14:paraId="5E0D2AC7"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P3.6.2.8.1</w:t>
            </w:r>
          </w:p>
        </w:tc>
        <w:tc>
          <w:tcPr>
            <w:tcW w:w="2500" w:type="dxa"/>
            <w:tcBorders>
              <w:top w:val="nil"/>
              <w:left w:val="nil"/>
              <w:bottom w:val="single" w:sz="8" w:space="0" w:color="auto"/>
              <w:right w:val="single" w:sz="8" w:space="0" w:color="auto"/>
            </w:tcBorders>
            <w:shd w:val="clear" w:color="auto" w:fill="auto"/>
            <w:vAlign w:val="center"/>
            <w:hideMark/>
          </w:tcPr>
          <w:p w14:paraId="3A2F0C1B"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eBioscience</w:t>
            </w:r>
          </w:p>
        </w:tc>
      </w:tr>
      <w:tr w:rsidR="003E71A0" w:rsidRPr="003E71A0" w14:paraId="0B0A84B5" w14:textId="77777777" w:rsidTr="003E71A0">
        <w:trPr>
          <w:trHeight w:val="585"/>
          <w:jc w:val="center"/>
        </w:trPr>
        <w:tc>
          <w:tcPr>
            <w:tcW w:w="2860" w:type="dxa"/>
            <w:tcBorders>
              <w:top w:val="nil"/>
              <w:left w:val="single" w:sz="8" w:space="0" w:color="auto"/>
              <w:bottom w:val="single" w:sz="8" w:space="0" w:color="auto"/>
              <w:right w:val="single" w:sz="8" w:space="0" w:color="auto"/>
            </w:tcBorders>
            <w:shd w:val="clear" w:color="auto" w:fill="auto"/>
            <w:vAlign w:val="center"/>
            <w:hideMark/>
          </w:tcPr>
          <w:p w14:paraId="38584F3D"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CD279(PD-1)-Alexa Fluor 700</w:t>
            </w:r>
          </w:p>
        </w:tc>
        <w:tc>
          <w:tcPr>
            <w:tcW w:w="2200" w:type="dxa"/>
            <w:tcBorders>
              <w:top w:val="nil"/>
              <w:left w:val="nil"/>
              <w:bottom w:val="single" w:sz="8" w:space="0" w:color="auto"/>
              <w:right w:val="single" w:sz="8" w:space="0" w:color="auto"/>
            </w:tcBorders>
            <w:shd w:val="clear" w:color="auto" w:fill="auto"/>
            <w:vAlign w:val="center"/>
            <w:hideMark/>
          </w:tcPr>
          <w:p w14:paraId="2EE4B32C"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EH12.2H7</w:t>
            </w:r>
          </w:p>
        </w:tc>
        <w:tc>
          <w:tcPr>
            <w:tcW w:w="2500" w:type="dxa"/>
            <w:tcBorders>
              <w:top w:val="nil"/>
              <w:left w:val="nil"/>
              <w:bottom w:val="single" w:sz="8" w:space="0" w:color="auto"/>
              <w:right w:val="single" w:sz="8" w:space="0" w:color="auto"/>
            </w:tcBorders>
            <w:shd w:val="clear" w:color="auto" w:fill="auto"/>
            <w:vAlign w:val="center"/>
            <w:hideMark/>
          </w:tcPr>
          <w:p w14:paraId="16BA7AED" w14:textId="77777777" w:rsidR="003E71A0" w:rsidRPr="003E71A0" w:rsidRDefault="003E71A0" w:rsidP="003E71A0">
            <w:pPr>
              <w:spacing w:after="0" w:line="240" w:lineRule="auto"/>
              <w:jc w:val="both"/>
              <w:rPr>
                <w:rFonts w:ascii="Arial" w:eastAsia="Times New Roman" w:hAnsi="Arial" w:cs="Arial"/>
                <w:color w:val="000000"/>
                <w:lang w:val="es-ES" w:eastAsia="es-ES"/>
              </w:rPr>
            </w:pPr>
            <w:r w:rsidRPr="003E71A0">
              <w:rPr>
                <w:rFonts w:ascii="Arial" w:eastAsia="Times New Roman" w:hAnsi="Arial" w:cs="Arial"/>
                <w:color w:val="000000"/>
                <w:lang w:val="es-ES" w:eastAsia="es-ES"/>
              </w:rPr>
              <w:t>Biolegend</w:t>
            </w:r>
          </w:p>
        </w:tc>
      </w:tr>
    </w:tbl>
    <w:p w14:paraId="51DCF49E" w14:textId="77777777" w:rsidR="003E71A0" w:rsidRPr="003E71A0" w:rsidRDefault="003E71A0" w:rsidP="00BC2DA6">
      <w:pPr>
        <w:spacing w:line="480" w:lineRule="auto"/>
        <w:jc w:val="both"/>
        <w:rPr>
          <w:rFonts w:ascii="Arial" w:hAnsi="Arial" w:cs="Arial"/>
          <w:b/>
        </w:rPr>
      </w:pPr>
    </w:p>
    <w:p w14:paraId="0C23EBD8" w14:textId="77777777" w:rsidR="003E71A0" w:rsidRDefault="003E71A0" w:rsidP="003E71A0">
      <w:pPr>
        <w:spacing w:line="480" w:lineRule="auto"/>
        <w:jc w:val="both"/>
        <w:rPr>
          <w:rFonts w:ascii="Arial" w:hAnsi="Arial" w:cs="Arial"/>
          <w:b/>
        </w:rPr>
      </w:pPr>
    </w:p>
    <w:p w14:paraId="7516E544" w14:textId="77777777" w:rsidR="003E71A0" w:rsidRDefault="003E71A0" w:rsidP="003E71A0">
      <w:pPr>
        <w:spacing w:line="480" w:lineRule="auto"/>
        <w:jc w:val="both"/>
        <w:rPr>
          <w:rFonts w:ascii="Arial" w:hAnsi="Arial" w:cs="Arial"/>
          <w:b/>
        </w:rPr>
      </w:pPr>
    </w:p>
    <w:p w14:paraId="59C9CAB5" w14:textId="77777777" w:rsidR="003E71A0" w:rsidRDefault="003E71A0" w:rsidP="003E71A0">
      <w:pPr>
        <w:spacing w:line="480" w:lineRule="auto"/>
        <w:jc w:val="both"/>
        <w:rPr>
          <w:rFonts w:ascii="Arial" w:hAnsi="Arial" w:cs="Arial"/>
          <w:b/>
        </w:rPr>
      </w:pPr>
    </w:p>
    <w:p w14:paraId="4DFA5321" w14:textId="23324799" w:rsidR="003E71A0" w:rsidRPr="003E71A0" w:rsidRDefault="003803CA" w:rsidP="003E71A0">
      <w:pPr>
        <w:spacing w:line="480" w:lineRule="auto"/>
        <w:jc w:val="both"/>
        <w:rPr>
          <w:rFonts w:ascii="Arial" w:hAnsi="Arial" w:cs="Arial"/>
          <w:b/>
        </w:rPr>
      </w:pPr>
      <w:r>
        <w:rPr>
          <w:rFonts w:ascii="Arial" w:hAnsi="Arial" w:cs="Arial"/>
          <w:b/>
        </w:rPr>
        <w:t>Supplementary T</w:t>
      </w:r>
      <w:r w:rsidR="003E71A0" w:rsidRPr="003E71A0">
        <w:rPr>
          <w:rFonts w:ascii="Arial" w:hAnsi="Arial" w:cs="Arial"/>
          <w:b/>
        </w:rPr>
        <w:t xml:space="preserve">able </w:t>
      </w:r>
      <w:r>
        <w:rPr>
          <w:rFonts w:ascii="Arial" w:hAnsi="Arial" w:cs="Arial"/>
          <w:b/>
        </w:rPr>
        <w:t>S</w:t>
      </w:r>
      <w:r w:rsidR="003E71A0" w:rsidRPr="003E71A0">
        <w:rPr>
          <w:rFonts w:ascii="Arial" w:hAnsi="Arial" w:cs="Arial"/>
          <w:b/>
        </w:rPr>
        <w:t>7.</w:t>
      </w:r>
      <w:r w:rsidR="003E71A0">
        <w:rPr>
          <w:rFonts w:ascii="Arial" w:hAnsi="Arial" w:cs="Arial"/>
        </w:rPr>
        <w:t xml:space="preserve"> </w:t>
      </w:r>
      <w:r w:rsidR="003E71A0" w:rsidRPr="003E71A0">
        <w:rPr>
          <w:rFonts w:ascii="Arial" w:hAnsi="Arial" w:cs="Arial"/>
          <w:b/>
        </w:rPr>
        <w:t>Highlighted dysregulated genes in T-CLL cells at progression</w:t>
      </w:r>
      <w:r w:rsidR="003E71A0">
        <w:rPr>
          <w:rFonts w:ascii="Arial" w:hAnsi="Arial" w:cs="Arial"/>
          <w:b/>
        </w:rPr>
        <w:t>.</w:t>
      </w:r>
    </w:p>
    <w:tbl>
      <w:tblPr>
        <w:tblW w:w="8838" w:type="dxa"/>
        <w:jc w:val="center"/>
        <w:tblCellMar>
          <w:left w:w="70" w:type="dxa"/>
          <w:right w:w="70" w:type="dxa"/>
        </w:tblCellMar>
        <w:tblLook w:val="04A0" w:firstRow="1" w:lastRow="0" w:firstColumn="1" w:lastColumn="0" w:noHBand="0" w:noVBand="1"/>
      </w:tblPr>
      <w:tblGrid>
        <w:gridCol w:w="3941"/>
        <w:gridCol w:w="4897"/>
      </w:tblGrid>
      <w:tr w:rsidR="003E71A0" w:rsidRPr="003E71A0" w14:paraId="1B931CC8" w14:textId="77777777" w:rsidTr="003E71A0">
        <w:trPr>
          <w:trHeight w:val="360"/>
          <w:jc w:val="center"/>
        </w:trPr>
        <w:tc>
          <w:tcPr>
            <w:tcW w:w="3941" w:type="dxa"/>
            <w:tcBorders>
              <w:top w:val="nil"/>
              <w:left w:val="nil"/>
              <w:bottom w:val="nil"/>
              <w:right w:val="nil"/>
            </w:tcBorders>
            <w:shd w:val="clear" w:color="000000" w:fill="FFFFFF"/>
            <w:noWrap/>
            <w:vAlign w:val="bottom"/>
            <w:hideMark/>
          </w:tcPr>
          <w:p w14:paraId="56AF490F" w14:textId="77777777" w:rsidR="003E71A0" w:rsidRPr="003E71A0" w:rsidRDefault="003E71A0" w:rsidP="003E71A0">
            <w:pPr>
              <w:spacing w:after="0" w:line="240" w:lineRule="auto"/>
              <w:jc w:val="center"/>
              <w:rPr>
                <w:rFonts w:ascii="Calibri" w:eastAsia="Times New Roman" w:hAnsi="Calibri" w:cs="Calibri"/>
                <w:b/>
                <w:bCs/>
                <w:color w:val="000000"/>
                <w:lang w:val="es-ES" w:eastAsia="es-ES"/>
              </w:rPr>
            </w:pPr>
            <w:r w:rsidRPr="003E71A0">
              <w:rPr>
                <w:rFonts w:ascii="Calibri" w:eastAsia="Times New Roman" w:hAnsi="Calibri" w:cs="Calibri"/>
                <w:b/>
                <w:bCs/>
                <w:color w:val="000000"/>
                <w:lang w:val="es-ES" w:eastAsia="es-ES"/>
              </w:rPr>
              <w:t>Gene</w:t>
            </w:r>
            <w:r w:rsidRPr="003E71A0">
              <w:rPr>
                <w:rFonts w:ascii="Calibri" w:eastAsia="Times New Roman" w:hAnsi="Calibri" w:cs="Calibri"/>
                <w:b/>
                <w:bCs/>
                <w:color w:val="000000"/>
                <w:vertAlign w:val="superscript"/>
                <w:lang w:val="es-ES" w:eastAsia="es-ES"/>
              </w:rPr>
              <w:t>1</w:t>
            </w:r>
          </w:p>
        </w:tc>
        <w:tc>
          <w:tcPr>
            <w:tcW w:w="4897" w:type="dxa"/>
            <w:tcBorders>
              <w:top w:val="nil"/>
              <w:left w:val="nil"/>
              <w:bottom w:val="nil"/>
              <w:right w:val="nil"/>
            </w:tcBorders>
            <w:shd w:val="clear" w:color="000000" w:fill="FFFFFF"/>
            <w:noWrap/>
            <w:vAlign w:val="bottom"/>
            <w:hideMark/>
          </w:tcPr>
          <w:p w14:paraId="1D92960C" w14:textId="77777777" w:rsidR="003E71A0" w:rsidRPr="003E71A0" w:rsidRDefault="003E71A0" w:rsidP="003E71A0">
            <w:pPr>
              <w:spacing w:after="0" w:line="240" w:lineRule="auto"/>
              <w:jc w:val="center"/>
              <w:rPr>
                <w:rFonts w:ascii="Calibri" w:eastAsia="Times New Roman" w:hAnsi="Calibri" w:cs="Calibri"/>
                <w:b/>
                <w:bCs/>
                <w:color w:val="000000"/>
                <w:lang w:val="es-ES" w:eastAsia="es-ES"/>
              </w:rPr>
            </w:pPr>
            <w:r w:rsidRPr="003E71A0">
              <w:rPr>
                <w:rFonts w:ascii="Calibri" w:eastAsia="Times New Roman" w:hAnsi="Calibri" w:cs="Calibri"/>
                <w:b/>
                <w:bCs/>
                <w:color w:val="000000"/>
                <w:lang w:val="es-ES" w:eastAsia="es-ES"/>
              </w:rPr>
              <w:t>Function</w:t>
            </w:r>
          </w:p>
        </w:tc>
      </w:tr>
      <w:tr w:rsidR="003E71A0" w:rsidRPr="003E71A0" w14:paraId="47DAC4AC" w14:textId="77777777" w:rsidTr="003E71A0">
        <w:trPr>
          <w:trHeight w:val="300"/>
          <w:jc w:val="center"/>
        </w:trPr>
        <w:tc>
          <w:tcPr>
            <w:tcW w:w="3941" w:type="dxa"/>
            <w:tcBorders>
              <w:top w:val="single" w:sz="8" w:space="0" w:color="000000"/>
              <w:left w:val="nil"/>
              <w:bottom w:val="nil"/>
              <w:right w:val="single" w:sz="4" w:space="0" w:color="000000"/>
            </w:tcBorders>
            <w:shd w:val="clear" w:color="000000" w:fill="FFFFFF"/>
            <w:vAlign w:val="bottom"/>
            <w:hideMark/>
          </w:tcPr>
          <w:p w14:paraId="75C3F700" w14:textId="77777777" w:rsidR="003E71A0" w:rsidRPr="003E71A0" w:rsidRDefault="003E71A0" w:rsidP="003E71A0">
            <w:pPr>
              <w:spacing w:after="0" w:line="240" w:lineRule="auto"/>
              <w:jc w:val="center"/>
              <w:rPr>
                <w:rFonts w:ascii="Arial" w:eastAsia="Times New Roman" w:hAnsi="Arial" w:cs="Arial"/>
                <w:i/>
                <w:iCs/>
                <w:color w:val="FF0000"/>
                <w:lang w:val="es-ES" w:eastAsia="es-ES"/>
              </w:rPr>
            </w:pPr>
            <w:r w:rsidRPr="003E71A0">
              <w:rPr>
                <w:rFonts w:ascii="Arial" w:eastAsia="Times New Roman" w:hAnsi="Arial" w:cs="Arial"/>
                <w:i/>
                <w:iCs/>
                <w:color w:val="FF0000"/>
                <w:lang w:val="es-ES" w:eastAsia="es-ES"/>
              </w:rPr>
              <w:t>UBXN11</w:t>
            </w:r>
          </w:p>
        </w:tc>
        <w:tc>
          <w:tcPr>
            <w:tcW w:w="4897" w:type="dxa"/>
            <w:vMerge w:val="restart"/>
            <w:tcBorders>
              <w:top w:val="single" w:sz="8" w:space="0" w:color="000000"/>
              <w:left w:val="single" w:sz="4" w:space="0" w:color="000000"/>
              <w:bottom w:val="single" w:sz="4" w:space="0" w:color="000000"/>
              <w:right w:val="nil"/>
            </w:tcBorders>
            <w:shd w:val="clear" w:color="000000" w:fill="FFFFFF"/>
            <w:vAlign w:val="center"/>
            <w:hideMark/>
          </w:tcPr>
          <w:p w14:paraId="79E7ACBD" w14:textId="77777777" w:rsidR="003E71A0" w:rsidRPr="003E71A0" w:rsidRDefault="003E71A0" w:rsidP="003E71A0">
            <w:pPr>
              <w:spacing w:after="0" w:line="240" w:lineRule="auto"/>
              <w:jc w:val="center"/>
              <w:rPr>
                <w:rFonts w:ascii="Arial" w:eastAsia="Times New Roman" w:hAnsi="Arial" w:cs="Arial"/>
                <w:color w:val="000000"/>
                <w:lang w:eastAsia="es-ES"/>
              </w:rPr>
            </w:pPr>
            <w:r w:rsidRPr="003E71A0">
              <w:rPr>
                <w:rFonts w:ascii="Arial" w:eastAsia="Times New Roman" w:hAnsi="Arial" w:cs="Arial"/>
                <w:color w:val="000000"/>
                <w:lang w:eastAsia="es-ES"/>
              </w:rPr>
              <w:t xml:space="preserve">Actine, microtubule and Rho-GTPase binding proteins </w:t>
            </w:r>
          </w:p>
        </w:tc>
      </w:tr>
      <w:tr w:rsidR="003E71A0" w:rsidRPr="003E71A0" w14:paraId="38F2BC3B" w14:textId="77777777" w:rsidTr="003E71A0">
        <w:trPr>
          <w:trHeight w:val="300"/>
          <w:jc w:val="center"/>
        </w:trPr>
        <w:tc>
          <w:tcPr>
            <w:tcW w:w="3941" w:type="dxa"/>
            <w:tcBorders>
              <w:top w:val="nil"/>
              <w:left w:val="nil"/>
              <w:bottom w:val="nil"/>
              <w:right w:val="single" w:sz="4" w:space="0" w:color="000000"/>
            </w:tcBorders>
            <w:shd w:val="clear" w:color="000000" w:fill="FFFFFF"/>
            <w:vAlign w:val="bottom"/>
            <w:hideMark/>
          </w:tcPr>
          <w:p w14:paraId="2EB7D79F" w14:textId="77777777" w:rsidR="003E71A0" w:rsidRPr="003E71A0" w:rsidRDefault="003E71A0" w:rsidP="003E71A0">
            <w:pPr>
              <w:spacing w:after="0" w:line="240" w:lineRule="auto"/>
              <w:jc w:val="center"/>
              <w:rPr>
                <w:rFonts w:ascii="Arial" w:eastAsia="Times New Roman" w:hAnsi="Arial" w:cs="Arial"/>
                <w:i/>
                <w:iCs/>
                <w:color w:val="FF0000"/>
                <w:lang w:val="es-ES" w:eastAsia="es-ES"/>
              </w:rPr>
            </w:pPr>
            <w:r w:rsidRPr="003E71A0">
              <w:rPr>
                <w:rFonts w:ascii="Arial" w:eastAsia="Times New Roman" w:hAnsi="Arial" w:cs="Arial"/>
                <w:i/>
                <w:iCs/>
                <w:color w:val="FF0000"/>
                <w:lang w:val="es-ES" w:eastAsia="es-ES"/>
              </w:rPr>
              <w:t>CDC14A</w:t>
            </w:r>
          </w:p>
        </w:tc>
        <w:tc>
          <w:tcPr>
            <w:tcW w:w="4897" w:type="dxa"/>
            <w:vMerge/>
            <w:tcBorders>
              <w:top w:val="single" w:sz="8" w:space="0" w:color="000000"/>
              <w:left w:val="single" w:sz="4" w:space="0" w:color="000000"/>
              <w:bottom w:val="single" w:sz="4" w:space="0" w:color="000000"/>
              <w:right w:val="nil"/>
            </w:tcBorders>
            <w:vAlign w:val="center"/>
            <w:hideMark/>
          </w:tcPr>
          <w:p w14:paraId="5DD7C022" w14:textId="77777777" w:rsidR="003E71A0" w:rsidRPr="003E71A0" w:rsidRDefault="003E71A0" w:rsidP="003E71A0">
            <w:pPr>
              <w:spacing w:after="0" w:line="240" w:lineRule="auto"/>
              <w:rPr>
                <w:rFonts w:ascii="Arial" w:eastAsia="Times New Roman" w:hAnsi="Arial" w:cs="Arial"/>
                <w:color w:val="000000"/>
                <w:lang w:val="es-ES" w:eastAsia="es-ES"/>
              </w:rPr>
            </w:pPr>
          </w:p>
        </w:tc>
      </w:tr>
      <w:tr w:rsidR="003E71A0" w:rsidRPr="003E71A0" w14:paraId="7275F9BA" w14:textId="77777777" w:rsidTr="003E71A0">
        <w:trPr>
          <w:trHeight w:val="300"/>
          <w:jc w:val="center"/>
        </w:trPr>
        <w:tc>
          <w:tcPr>
            <w:tcW w:w="3941" w:type="dxa"/>
            <w:tcBorders>
              <w:top w:val="nil"/>
              <w:left w:val="nil"/>
              <w:bottom w:val="single" w:sz="4" w:space="0" w:color="000000"/>
              <w:right w:val="single" w:sz="4" w:space="0" w:color="000000"/>
            </w:tcBorders>
            <w:shd w:val="clear" w:color="000000" w:fill="FFFFFF"/>
            <w:vAlign w:val="bottom"/>
            <w:hideMark/>
          </w:tcPr>
          <w:p w14:paraId="532C0224" w14:textId="77777777" w:rsidR="003E71A0" w:rsidRPr="003E71A0" w:rsidRDefault="003E71A0" w:rsidP="003E71A0">
            <w:pPr>
              <w:spacing w:after="0" w:line="240" w:lineRule="auto"/>
              <w:jc w:val="center"/>
              <w:rPr>
                <w:rFonts w:ascii="Arial" w:eastAsia="Times New Roman" w:hAnsi="Arial" w:cs="Arial"/>
                <w:i/>
                <w:iCs/>
                <w:color w:val="FF0000"/>
                <w:lang w:val="es-ES" w:eastAsia="es-ES"/>
              </w:rPr>
            </w:pPr>
            <w:r w:rsidRPr="003E71A0">
              <w:rPr>
                <w:rFonts w:ascii="Arial" w:eastAsia="Times New Roman" w:hAnsi="Arial" w:cs="Arial"/>
                <w:i/>
                <w:iCs/>
                <w:color w:val="FF0000"/>
                <w:lang w:val="es-ES" w:eastAsia="es-ES"/>
              </w:rPr>
              <w:t>HOOK2</w:t>
            </w:r>
          </w:p>
        </w:tc>
        <w:tc>
          <w:tcPr>
            <w:tcW w:w="4897" w:type="dxa"/>
            <w:vMerge/>
            <w:tcBorders>
              <w:top w:val="single" w:sz="8" w:space="0" w:color="000000"/>
              <w:left w:val="single" w:sz="4" w:space="0" w:color="000000"/>
              <w:bottom w:val="single" w:sz="4" w:space="0" w:color="000000"/>
              <w:right w:val="nil"/>
            </w:tcBorders>
            <w:vAlign w:val="center"/>
            <w:hideMark/>
          </w:tcPr>
          <w:p w14:paraId="5A5B0FB2" w14:textId="77777777" w:rsidR="003E71A0" w:rsidRPr="003E71A0" w:rsidRDefault="003E71A0" w:rsidP="003E71A0">
            <w:pPr>
              <w:spacing w:after="0" w:line="240" w:lineRule="auto"/>
              <w:rPr>
                <w:rFonts w:ascii="Arial" w:eastAsia="Times New Roman" w:hAnsi="Arial" w:cs="Arial"/>
                <w:color w:val="000000"/>
                <w:lang w:val="es-ES" w:eastAsia="es-ES"/>
              </w:rPr>
            </w:pPr>
          </w:p>
        </w:tc>
      </w:tr>
      <w:tr w:rsidR="003E71A0" w:rsidRPr="003E71A0" w14:paraId="78A2B398" w14:textId="77777777" w:rsidTr="003E71A0">
        <w:trPr>
          <w:trHeight w:val="300"/>
          <w:jc w:val="center"/>
        </w:trPr>
        <w:tc>
          <w:tcPr>
            <w:tcW w:w="3941" w:type="dxa"/>
            <w:tcBorders>
              <w:top w:val="nil"/>
              <w:left w:val="nil"/>
              <w:bottom w:val="single" w:sz="4" w:space="0" w:color="000000"/>
              <w:right w:val="single" w:sz="4" w:space="0" w:color="000000"/>
            </w:tcBorders>
            <w:shd w:val="clear" w:color="000000" w:fill="FFFFFF"/>
            <w:vAlign w:val="bottom"/>
            <w:hideMark/>
          </w:tcPr>
          <w:p w14:paraId="32FA3B26" w14:textId="77777777" w:rsidR="003E71A0" w:rsidRPr="003E71A0" w:rsidRDefault="003E71A0" w:rsidP="003E71A0">
            <w:pPr>
              <w:spacing w:after="0" w:line="240" w:lineRule="auto"/>
              <w:jc w:val="center"/>
              <w:rPr>
                <w:rFonts w:ascii="Arial" w:eastAsia="Times New Roman" w:hAnsi="Arial" w:cs="Arial"/>
                <w:i/>
                <w:iCs/>
                <w:color w:val="FF0000"/>
                <w:lang w:val="es-ES" w:eastAsia="es-ES"/>
              </w:rPr>
            </w:pPr>
            <w:r w:rsidRPr="003E71A0">
              <w:rPr>
                <w:rFonts w:ascii="Arial" w:eastAsia="Times New Roman" w:hAnsi="Arial" w:cs="Arial"/>
                <w:i/>
                <w:iCs/>
                <w:color w:val="FF0000"/>
                <w:lang w:val="es-ES" w:eastAsia="es-ES"/>
              </w:rPr>
              <w:t>NOA1</w:t>
            </w:r>
          </w:p>
        </w:tc>
        <w:tc>
          <w:tcPr>
            <w:tcW w:w="4897" w:type="dxa"/>
            <w:tcBorders>
              <w:top w:val="nil"/>
              <w:left w:val="nil"/>
              <w:bottom w:val="single" w:sz="4" w:space="0" w:color="000000"/>
              <w:right w:val="nil"/>
            </w:tcBorders>
            <w:shd w:val="clear" w:color="000000" w:fill="FFFFFF"/>
            <w:vAlign w:val="bottom"/>
            <w:hideMark/>
          </w:tcPr>
          <w:p w14:paraId="44BBEDE8" w14:textId="77777777" w:rsidR="003E71A0" w:rsidRPr="003E71A0" w:rsidRDefault="003E71A0" w:rsidP="003E71A0">
            <w:pPr>
              <w:spacing w:after="0" w:line="240" w:lineRule="auto"/>
              <w:jc w:val="center"/>
              <w:rPr>
                <w:rFonts w:ascii="Arial" w:eastAsia="Times New Roman" w:hAnsi="Arial" w:cs="Arial"/>
                <w:color w:val="000000"/>
                <w:lang w:val="es-ES" w:eastAsia="es-ES"/>
              </w:rPr>
            </w:pPr>
            <w:r w:rsidRPr="003E71A0">
              <w:rPr>
                <w:rFonts w:ascii="Arial" w:eastAsia="Times New Roman" w:hAnsi="Arial" w:cs="Arial"/>
                <w:color w:val="000000"/>
                <w:lang w:val="es-ES" w:eastAsia="es-ES"/>
              </w:rPr>
              <w:t>Synthesis of nitric oxide</w:t>
            </w:r>
          </w:p>
        </w:tc>
      </w:tr>
      <w:tr w:rsidR="003E71A0" w:rsidRPr="003E71A0" w14:paraId="17F82D8D" w14:textId="77777777" w:rsidTr="003E71A0">
        <w:trPr>
          <w:trHeight w:val="300"/>
          <w:jc w:val="center"/>
        </w:trPr>
        <w:tc>
          <w:tcPr>
            <w:tcW w:w="3941" w:type="dxa"/>
            <w:tcBorders>
              <w:top w:val="nil"/>
              <w:left w:val="nil"/>
              <w:bottom w:val="nil"/>
              <w:right w:val="single" w:sz="4" w:space="0" w:color="000000"/>
            </w:tcBorders>
            <w:shd w:val="clear" w:color="000000" w:fill="FFFFFF"/>
            <w:vAlign w:val="bottom"/>
            <w:hideMark/>
          </w:tcPr>
          <w:p w14:paraId="14D0D804" w14:textId="77777777" w:rsidR="003E71A0" w:rsidRPr="003E71A0" w:rsidRDefault="003E71A0" w:rsidP="003E71A0">
            <w:pPr>
              <w:spacing w:after="0" w:line="240" w:lineRule="auto"/>
              <w:jc w:val="center"/>
              <w:rPr>
                <w:rFonts w:ascii="Arial" w:eastAsia="Times New Roman" w:hAnsi="Arial" w:cs="Arial"/>
                <w:i/>
                <w:iCs/>
                <w:color w:val="FF0000"/>
                <w:lang w:val="es-ES" w:eastAsia="es-ES"/>
              </w:rPr>
            </w:pPr>
            <w:r w:rsidRPr="003E71A0">
              <w:rPr>
                <w:rFonts w:ascii="Arial" w:eastAsia="Times New Roman" w:hAnsi="Arial" w:cs="Arial"/>
                <w:i/>
                <w:iCs/>
                <w:color w:val="FF0000"/>
                <w:lang w:val="es-ES" w:eastAsia="es-ES"/>
              </w:rPr>
              <w:t>ADAC8</w:t>
            </w:r>
          </w:p>
        </w:tc>
        <w:tc>
          <w:tcPr>
            <w:tcW w:w="4897" w:type="dxa"/>
            <w:vMerge w:val="restart"/>
            <w:tcBorders>
              <w:top w:val="nil"/>
              <w:left w:val="single" w:sz="4" w:space="0" w:color="000000"/>
              <w:bottom w:val="single" w:sz="4" w:space="0" w:color="000000"/>
              <w:right w:val="nil"/>
            </w:tcBorders>
            <w:shd w:val="clear" w:color="000000" w:fill="FFFFFF"/>
            <w:vAlign w:val="center"/>
            <w:hideMark/>
          </w:tcPr>
          <w:p w14:paraId="2AFBC66E" w14:textId="77777777" w:rsidR="003E71A0" w:rsidRPr="003E71A0" w:rsidRDefault="003E71A0" w:rsidP="003E71A0">
            <w:pPr>
              <w:spacing w:after="0" w:line="240" w:lineRule="auto"/>
              <w:jc w:val="center"/>
              <w:rPr>
                <w:rFonts w:ascii="Arial" w:eastAsia="Times New Roman" w:hAnsi="Arial" w:cs="Arial"/>
                <w:color w:val="000000"/>
                <w:lang w:eastAsia="es-ES"/>
              </w:rPr>
            </w:pPr>
            <w:r w:rsidRPr="003E71A0">
              <w:rPr>
                <w:rFonts w:ascii="Arial" w:eastAsia="Times New Roman" w:hAnsi="Arial" w:cs="Arial"/>
                <w:color w:val="000000"/>
                <w:lang w:eastAsia="es-ES"/>
              </w:rPr>
              <w:t>Fatty acids and amino acids catabolism</w:t>
            </w:r>
          </w:p>
        </w:tc>
      </w:tr>
      <w:tr w:rsidR="003E71A0" w:rsidRPr="003E71A0" w14:paraId="6D6CAA61" w14:textId="77777777" w:rsidTr="003E71A0">
        <w:trPr>
          <w:trHeight w:val="300"/>
          <w:jc w:val="center"/>
        </w:trPr>
        <w:tc>
          <w:tcPr>
            <w:tcW w:w="3941" w:type="dxa"/>
            <w:tcBorders>
              <w:top w:val="nil"/>
              <w:left w:val="nil"/>
              <w:bottom w:val="nil"/>
              <w:right w:val="single" w:sz="4" w:space="0" w:color="000000"/>
            </w:tcBorders>
            <w:shd w:val="clear" w:color="000000" w:fill="FFFFFF"/>
            <w:vAlign w:val="bottom"/>
            <w:hideMark/>
          </w:tcPr>
          <w:p w14:paraId="26F8278E" w14:textId="77777777" w:rsidR="003E71A0" w:rsidRPr="003E71A0" w:rsidRDefault="003E71A0" w:rsidP="003E71A0">
            <w:pPr>
              <w:spacing w:after="0" w:line="240" w:lineRule="auto"/>
              <w:jc w:val="center"/>
              <w:rPr>
                <w:rFonts w:ascii="Arial" w:eastAsia="Times New Roman" w:hAnsi="Arial" w:cs="Arial"/>
                <w:i/>
                <w:iCs/>
                <w:color w:val="FF0000"/>
                <w:lang w:val="es-ES" w:eastAsia="es-ES"/>
              </w:rPr>
            </w:pPr>
            <w:r w:rsidRPr="003E71A0">
              <w:rPr>
                <w:rFonts w:ascii="Arial" w:eastAsia="Times New Roman" w:hAnsi="Arial" w:cs="Arial"/>
                <w:i/>
                <w:iCs/>
                <w:color w:val="FF0000"/>
                <w:lang w:val="es-ES" w:eastAsia="es-ES"/>
              </w:rPr>
              <w:t>NAPSA</w:t>
            </w:r>
          </w:p>
        </w:tc>
        <w:tc>
          <w:tcPr>
            <w:tcW w:w="4897" w:type="dxa"/>
            <w:vMerge/>
            <w:tcBorders>
              <w:top w:val="nil"/>
              <w:left w:val="single" w:sz="4" w:space="0" w:color="000000"/>
              <w:bottom w:val="single" w:sz="4" w:space="0" w:color="000000"/>
              <w:right w:val="nil"/>
            </w:tcBorders>
            <w:vAlign w:val="center"/>
            <w:hideMark/>
          </w:tcPr>
          <w:p w14:paraId="1912484E" w14:textId="77777777" w:rsidR="003E71A0" w:rsidRPr="003E71A0" w:rsidRDefault="003E71A0" w:rsidP="003E71A0">
            <w:pPr>
              <w:spacing w:after="0" w:line="240" w:lineRule="auto"/>
              <w:rPr>
                <w:rFonts w:ascii="Arial" w:eastAsia="Times New Roman" w:hAnsi="Arial" w:cs="Arial"/>
                <w:color w:val="000000"/>
                <w:lang w:val="es-ES" w:eastAsia="es-ES"/>
              </w:rPr>
            </w:pPr>
          </w:p>
        </w:tc>
      </w:tr>
      <w:tr w:rsidR="003E71A0" w:rsidRPr="003E71A0" w14:paraId="049C0936" w14:textId="77777777" w:rsidTr="003E71A0">
        <w:trPr>
          <w:trHeight w:val="300"/>
          <w:jc w:val="center"/>
        </w:trPr>
        <w:tc>
          <w:tcPr>
            <w:tcW w:w="3941" w:type="dxa"/>
            <w:tcBorders>
              <w:top w:val="nil"/>
              <w:left w:val="nil"/>
              <w:bottom w:val="nil"/>
              <w:right w:val="single" w:sz="4" w:space="0" w:color="000000"/>
            </w:tcBorders>
            <w:shd w:val="clear" w:color="000000" w:fill="FFFFFF"/>
            <w:vAlign w:val="bottom"/>
            <w:hideMark/>
          </w:tcPr>
          <w:p w14:paraId="7CD14777" w14:textId="77777777" w:rsidR="003E71A0" w:rsidRPr="003E71A0" w:rsidRDefault="003E71A0" w:rsidP="003E71A0">
            <w:pPr>
              <w:spacing w:after="0" w:line="240" w:lineRule="auto"/>
              <w:jc w:val="center"/>
              <w:rPr>
                <w:rFonts w:ascii="Arial" w:eastAsia="Times New Roman" w:hAnsi="Arial" w:cs="Arial"/>
                <w:i/>
                <w:iCs/>
                <w:color w:val="FF0000"/>
                <w:lang w:val="es-ES" w:eastAsia="es-ES"/>
              </w:rPr>
            </w:pPr>
            <w:r w:rsidRPr="003E71A0">
              <w:rPr>
                <w:rFonts w:ascii="Arial" w:eastAsia="Times New Roman" w:hAnsi="Arial" w:cs="Arial"/>
                <w:i/>
                <w:iCs/>
                <w:color w:val="FF0000"/>
                <w:lang w:val="es-ES" w:eastAsia="es-ES"/>
              </w:rPr>
              <w:t>FUT8</w:t>
            </w:r>
          </w:p>
        </w:tc>
        <w:tc>
          <w:tcPr>
            <w:tcW w:w="4897" w:type="dxa"/>
            <w:vMerge/>
            <w:tcBorders>
              <w:top w:val="nil"/>
              <w:left w:val="single" w:sz="4" w:space="0" w:color="000000"/>
              <w:bottom w:val="single" w:sz="4" w:space="0" w:color="000000"/>
              <w:right w:val="nil"/>
            </w:tcBorders>
            <w:vAlign w:val="center"/>
            <w:hideMark/>
          </w:tcPr>
          <w:p w14:paraId="03AFA6BB" w14:textId="77777777" w:rsidR="003E71A0" w:rsidRPr="003E71A0" w:rsidRDefault="003E71A0" w:rsidP="003E71A0">
            <w:pPr>
              <w:spacing w:after="0" w:line="240" w:lineRule="auto"/>
              <w:rPr>
                <w:rFonts w:ascii="Arial" w:eastAsia="Times New Roman" w:hAnsi="Arial" w:cs="Arial"/>
                <w:color w:val="000000"/>
                <w:lang w:val="es-ES" w:eastAsia="es-ES"/>
              </w:rPr>
            </w:pPr>
          </w:p>
        </w:tc>
      </w:tr>
      <w:tr w:rsidR="003E71A0" w:rsidRPr="003E71A0" w14:paraId="29B5ED98" w14:textId="77777777" w:rsidTr="003E71A0">
        <w:trPr>
          <w:trHeight w:val="300"/>
          <w:jc w:val="center"/>
        </w:trPr>
        <w:tc>
          <w:tcPr>
            <w:tcW w:w="3941" w:type="dxa"/>
            <w:tcBorders>
              <w:top w:val="nil"/>
              <w:left w:val="nil"/>
              <w:bottom w:val="single" w:sz="4" w:space="0" w:color="000000"/>
              <w:right w:val="single" w:sz="4" w:space="0" w:color="000000"/>
            </w:tcBorders>
            <w:shd w:val="clear" w:color="000000" w:fill="FFFFFF"/>
            <w:vAlign w:val="bottom"/>
            <w:hideMark/>
          </w:tcPr>
          <w:p w14:paraId="711A15B6" w14:textId="77777777" w:rsidR="003E71A0" w:rsidRPr="003E71A0" w:rsidRDefault="003E71A0" w:rsidP="003E71A0">
            <w:pPr>
              <w:spacing w:after="0" w:line="240" w:lineRule="auto"/>
              <w:jc w:val="center"/>
              <w:rPr>
                <w:rFonts w:ascii="Arial" w:eastAsia="Times New Roman" w:hAnsi="Arial" w:cs="Arial"/>
                <w:i/>
                <w:iCs/>
                <w:color w:val="FF0000"/>
                <w:lang w:val="es-ES" w:eastAsia="es-ES"/>
              </w:rPr>
            </w:pPr>
            <w:r w:rsidRPr="003E71A0">
              <w:rPr>
                <w:rFonts w:ascii="Arial" w:eastAsia="Times New Roman" w:hAnsi="Arial" w:cs="Arial"/>
                <w:i/>
                <w:iCs/>
                <w:color w:val="FF0000"/>
                <w:lang w:val="es-ES" w:eastAsia="es-ES"/>
              </w:rPr>
              <w:t>PRSS12</w:t>
            </w:r>
          </w:p>
        </w:tc>
        <w:tc>
          <w:tcPr>
            <w:tcW w:w="4897" w:type="dxa"/>
            <w:vMerge/>
            <w:tcBorders>
              <w:top w:val="nil"/>
              <w:left w:val="single" w:sz="4" w:space="0" w:color="000000"/>
              <w:bottom w:val="single" w:sz="4" w:space="0" w:color="000000"/>
              <w:right w:val="nil"/>
            </w:tcBorders>
            <w:vAlign w:val="center"/>
            <w:hideMark/>
          </w:tcPr>
          <w:p w14:paraId="10BFD0B2" w14:textId="77777777" w:rsidR="003E71A0" w:rsidRPr="003E71A0" w:rsidRDefault="003E71A0" w:rsidP="003E71A0">
            <w:pPr>
              <w:spacing w:after="0" w:line="240" w:lineRule="auto"/>
              <w:rPr>
                <w:rFonts w:ascii="Arial" w:eastAsia="Times New Roman" w:hAnsi="Arial" w:cs="Arial"/>
                <w:color w:val="000000"/>
                <w:lang w:val="es-ES" w:eastAsia="es-ES"/>
              </w:rPr>
            </w:pPr>
          </w:p>
        </w:tc>
      </w:tr>
      <w:tr w:rsidR="003E71A0" w:rsidRPr="003E71A0" w14:paraId="77E06568" w14:textId="77777777" w:rsidTr="003E71A0">
        <w:trPr>
          <w:trHeight w:val="585"/>
          <w:jc w:val="center"/>
        </w:trPr>
        <w:tc>
          <w:tcPr>
            <w:tcW w:w="3941" w:type="dxa"/>
            <w:tcBorders>
              <w:top w:val="nil"/>
              <w:left w:val="nil"/>
              <w:bottom w:val="nil"/>
              <w:right w:val="single" w:sz="4" w:space="0" w:color="000000"/>
            </w:tcBorders>
            <w:shd w:val="clear" w:color="000000" w:fill="FFFFFF"/>
            <w:vAlign w:val="bottom"/>
            <w:hideMark/>
          </w:tcPr>
          <w:p w14:paraId="4368AB26" w14:textId="77777777" w:rsidR="003E71A0" w:rsidRPr="003E71A0" w:rsidRDefault="003E71A0" w:rsidP="003E71A0">
            <w:pPr>
              <w:spacing w:after="0" w:line="240" w:lineRule="auto"/>
              <w:jc w:val="center"/>
              <w:rPr>
                <w:rFonts w:ascii="Arial" w:eastAsia="Times New Roman" w:hAnsi="Arial" w:cs="Arial"/>
                <w:i/>
                <w:iCs/>
                <w:color w:val="FF0000"/>
                <w:lang w:val="es-ES" w:eastAsia="es-ES"/>
              </w:rPr>
            </w:pPr>
            <w:r w:rsidRPr="003E71A0">
              <w:rPr>
                <w:rFonts w:ascii="Arial" w:eastAsia="Times New Roman" w:hAnsi="Arial" w:cs="Arial"/>
                <w:i/>
                <w:iCs/>
                <w:color w:val="FF0000"/>
                <w:lang w:val="es-ES" w:eastAsia="es-ES"/>
              </w:rPr>
              <w:t>SLC2A3/GLUT3</w:t>
            </w:r>
          </w:p>
        </w:tc>
        <w:tc>
          <w:tcPr>
            <w:tcW w:w="4897" w:type="dxa"/>
            <w:vMerge w:val="restart"/>
            <w:tcBorders>
              <w:top w:val="nil"/>
              <w:left w:val="single" w:sz="4" w:space="0" w:color="000000"/>
              <w:bottom w:val="single" w:sz="4" w:space="0" w:color="000000"/>
              <w:right w:val="nil"/>
            </w:tcBorders>
            <w:shd w:val="clear" w:color="000000" w:fill="FFFFFF"/>
            <w:vAlign w:val="center"/>
            <w:hideMark/>
          </w:tcPr>
          <w:p w14:paraId="217A9CDC" w14:textId="77777777" w:rsidR="003E71A0" w:rsidRPr="003E71A0" w:rsidRDefault="003E71A0" w:rsidP="003E71A0">
            <w:pPr>
              <w:spacing w:after="0" w:line="240" w:lineRule="auto"/>
              <w:jc w:val="center"/>
              <w:rPr>
                <w:rFonts w:ascii="Arial" w:eastAsia="Times New Roman" w:hAnsi="Arial" w:cs="Arial"/>
                <w:color w:val="000000"/>
                <w:lang w:val="es-ES" w:eastAsia="es-ES"/>
              </w:rPr>
            </w:pPr>
            <w:r w:rsidRPr="003E71A0">
              <w:rPr>
                <w:rFonts w:ascii="Arial" w:eastAsia="Times New Roman" w:hAnsi="Arial" w:cs="Arial"/>
                <w:color w:val="000000"/>
                <w:lang w:val="es-ES" w:eastAsia="es-ES"/>
              </w:rPr>
              <w:t>Glucose transporters</w:t>
            </w:r>
          </w:p>
        </w:tc>
      </w:tr>
      <w:tr w:rsidR="003E71A0" w:rsidRPr="003E71A0" w14:paraId="2BAA1675" w14:textId="77777777" w:rsidTr="003E71A0">
        <w:trPr>
          <w:trHeight w:val="300"/>
          <w:jc w:val="center"/>
        </w:trPr>
        <w:tc>
          <w:tcPr>
            <w:tcW w:w="3941" w:type="dxa"/>
            <w:tcBorders>
              <w:top w:val="nil"/>
              <w:left w:val="nil"/>
              <w:bottom w:val="single" w:sz="4" w:space="0" w:color="000000"/>
              <w:right w:val="single" w:sz="4" w:space="0" w:color="000000"/>
            </w:tcBorders>
            <w:shd w:val="clear" w:color="000000" w:fill="FFFFFF"/>
            <w:vAlign w:val="bottom"/>
            <w:hideMark/>
          </w:tcPr>
          <w:p w14:paraId="769F3D8A" w14:textId="77777777" w:rsidR="003E71A0" w:rsidRPr="003E71A0" w:rsidRDefault="003E71A0" w:rsidP="003E71A0">
            <w:pPr>
              <w:spacing w:after="0" w:line="240" w:lineRule="auto"/>
              <w:jc w:val="center"/>
              <w:rPr>
                <w:rFonts w:ascii="Arial" w:eastAsia="Times New Roman" w:hAnsi="Arial" w:cs="Arial"/>
                <w:i/>
                <w:iCs/>
                <w:color w:val="FF0000"/>
                <w:lang w:val="es-ES" w:eastAsia="es-ES"/>
              </w:rPr>
            </w:pPr>
            <w:r w:rsidRPr="003E71A0">
              <w:rPr>
                <w:rFonts w:ascii="Arial" w:eastAsia="Times New Roman" w:hAnsi="Arial" w:cs="Arial"/>
                <w:i/>
                <w:iCs/>
                <w:color w:val="FF0000"/>
                <w:lang w:val="es-ES" w:eastAsia="es-ES"/>
              </w:rPr>
              <w:t>SLC35A3</w:t>
            </w:r>
          </w:p>
        </w:tc>
        <w:tc>
          <w:tcPr>
            <w:tcW w:w="4897" w:type="dxa"/>
            <w:vMerge/>
            <w:tcBorders>
              <w:top w:val="nil"/>
              <w:left w:val="single" w:sz="4" w:space="0" w:color="000000"/>
              <w:bottom w:val="single" w:sz="4" w:space="0" w:color="000000"/>
              <w:right w:val="nil"/>
            </w:tcBorders>
            <w:vAlign w:val="center"/>
            <w:hideMark/>
          </w:tcPr>
          <w:p w14:paraId="5608D396" w14:textId="77777777" w:rsidR="003E71A0" w:rsidRPr="003E71A0" w:rsidRDefault="003E71A0" w:rsidP="003E71A0">
            <w:pPr>
              <w:spacing w:after="0" w:line="240" w:lineRule="auto"/>
              <w:rPr>
                <w:rFonts w:ascii="Arial" w:eastAsia="Times New Roman" w:hAnsi="Arial" w:cs="Arial"/>
                <w:color w:val="000000"/>
                <w:lang w:val="es-ES" w:eastAsia="es-ES"/>
              </w:rPr>
            </w:pPr>
          </w:p>
        </w:tc>
      </w:tr>
      <w:tr w:rsidR="003E71A0" w:rsidRPr="003E71A0" w14:paraId="49D1F5A9" w14:textId="77777777" w:rsidTr="003E71A0">
        <w:trPr>
          <w:trHeight w:val="300"/>
          <w:jc w:val="center"/>
        </w:trPr>
        <w:tc>
          <w:tcPr>
            <w:tcW w:w="3941" w:type="dxa"/>
            <w:tcBorders>
              <w:top w:val="nil"/>
              <w:left w:val="nil"/>
              <w:bottom w:val="nil"/>
              <w:right w:val="single" w:sz="4" w:space="0" w:color="000000"/>
            </w:tcBorders>
            <w:shd w:val="clear" w:color="000000" w:fill="FFFFFF"/>
            <w:vAlign w:val="bottom"/>
            <w:hideMark/>
          </w:tcPr>
          <w:p w14:paraId="372C4EBC" w14:textId="77777777" w:rsidR="003E71A0" w:rsidRPr="003E71A0" w:rsidRDefault="003E71A0" w:rsidP="003E71A0">
            <w:pPr>
              <w:spacing w:after="0" w:line="240" w:lineRule="auto"/>
              <w:jc w:val="center"/>
              <w:rPr>
                <w:rFonts w:ascii="Arial" w:eastAsia="Times New Roman" w:hAnsi="Arial" w:cs="Arial"/>
                <w:i/>
                <w:iCs/>
                <w:color w:val="FF0000"/>
                <w:lang w:val="es-ES" w:eastAsia="es-ES"/>
              </w:rPr>
            </w:pPr>
            <w:r w:rsidRPr="003E71A0">
              <w:rPr>
                <w:rFonts w:ascii="Arial" w:eastAsia="Times New Roman" w:hAnsi="Arial" w:cs="Arial"/>
                <w:i/>
                <w:iCs/>
                <w:color w:val="FF0000"/>
                <w:lang w:val="es-ES" w:eastAsia="es-ES"/>
              </w:rPr>
              <w:t>PTCD1</w:t>
            </w:r>
          </w:p>
        </w:tc>
        <w:tc>
          <w:tcPr>
            <w:tcW w:w="4897" w:type="dxa"/>
            <w:vMerge w:val="restart"/>
            <w:tcBorders>
              <w:top w:val="nil"/>
              <w:left w:val="single" w:sz="4" w:space="0" w:color="000000"/>
              <w:bottom w:val="single" w:sz="4" w:space="0" w:color="000000"/>
              <w:right w:val="nil"/>
            </w:tcBorders>
            <w:shd w:val="clear" w:color="000000" w:fill="FFFFFF"/>
            <w:vAlign w:val="center"/>
            <w:hideMark/>
          </w:tcPr>
          <w:p w14:paraId="39D56008" w14:textId="77777777" w:rsidR="003E71A0" w:rsidRPr="003E71A0" w:rsidRDefault="003E71A0" w:rsidP="003E71A0">
            <w:pPr>
              <w:spacing w:after="0" w:line="240" w:lineRule="auto"/>
              <w:jc w:val="center"/>
              <w:rPr>
                <w:rFonts w:ascii="Arial" w:eastAsia="Times New Roman" w:hAnsi="Arial" w:cs="Arial"/>
                <w:color w:val="000000"/>
                <w:lang w:val="es-ES" w:eastAsia="es-ES"/>
              </w:rPr>
            </w:pPr>
            <w:r w:rsidRPr="003E71A0">
              <w:rPr>
                <w:rFonts w:ascii="Arial" w:eastAsia="Times New Roman" w:hAnsi="Arial" w:cs="Arial"/>
                <w:color w:val="000000"/>
                <w:lang w:val="es-ES" w:eastAsia="es-ES"/>
              </w:rPr>
              <w:t>RNA processing mechanisms</w:t>
            </w:r>
          </w:p>
        </w:tc>
      </w:tr>
      <w:tr w:rsidR="003E71A0" w:rsidRPr="003E71A0" w14:paraId="66225B75" w14:textId="77777777" w:rsidTr="003E71A0">
        <w:trPr>
          <w:trHeight w:val="300"/>
          <w:jc w:val="center"/>
        </w:trPr>
        <w:tc>
          <w:tcPr>
            <w:tcW w:w="3941" w:type="dxa"/>
            <w:tcBorders>
              <w:top w:val="nil"/>
              <w:left w:val="nil"/>
              <w:bottom w:val="single" w:sz="4" w:space="0" w:color="000000"/>
              <w:right w:val="single" w:sz="4" w:space="0" w:color="000000"/>
            </w:tcBorders>
            <w:shd w:val="clear" w:color="000000" w:fill="FFFFFF"/>
            <w:vAlign w:val="bottom"/>
            <w:hideMark/>
          </w:tcPr>
          <w:p w14:paraId="16CA3DAC" w14:textId="77777777" w:rsidR="003E71A0" w:rsidRPr="003E71A0" w:rsidRDefault="003E71A0" w:rsidP="003E71A0">
            <w:pPr>
              <w:spacing w:after="0" w:line="240" w:lineRule="auto"/>
              <w:jc w:val="center"/>
              <w:rPr>
                <w:rFonts w:ascii="Arial" w:eastAsia="Times New Roman" w:hAnsi="Arial" w:cs="Arial"/>
                <w:i/>
                <w:iCs/>
                <w:color w:val="FF0000"/>
                <w:lang w:val="es-ES" w:eastAsia="es-ES"/>
              </w:rPr>
            </w:pPr>
            <w:r w:rsidRPr="003E71A0">
              <w:rPr>
                <w:rFonts w:ascii="Arial" w:eastAsia="Times New Roman" w:hAnsi="Arial" w:cs="Arial"/>
                <w:i/>
                <w:iCs/>
                <w:color w:val="FF0000"/>
                <w:lang w:val="es-ES" w:eastAsia="es-ES"/>
              </w:rPr>
              <w:t xml:space="preserve">NSUN4 </w:t>
            </w:r>
          </w:p>
        </w:tc>
        <w:tc>
          <w:tcPr>
            <w:tcW w:w="4897" w:type="dxa"/>
            <w:vMerge/>
            <w:tcBorders>
              <w:top w:val="nil"/>
              <w:left w:val="single" w:sz="4" w:space="0" w:color="000000"/>
              <w:bottom w:val="single" w:sz="4" w:space="0" w:color="000000"/>
              <w:right w:val="nil"/>
            </w:tcBorders>
            <w:vAlign w:val="center"/>
            <w:hideMark/>
          </w:tcPr>
          <w:p w14:paraId="67ACAAD3" w14:textId="77777777" w:rsidR="003E71A0" w:rsidRPr="003E71A0" w:rsidRDefault="003E71A0" w:rsidP="003E71A0">
            <w:pPr>
              <w:spacing w:after="0" w:line="240" w:lineRule="auto"/>
              <w:rPr>
                <w:rFonts w:ascii="Arial" w:eastAsia="Times New Roman" w:hAnsi="Arial" w:cs="Arial"/>
                <w:color w:val="000000"/>
                <w:lang w:val="es-ES" w:eastAsia="es-ES"/>
              </w:rPr>
            </w:pPr>
          </w:p>
        </w:tc>
      </w:tr>
      <w:tr w:rsidR="003E71A0" w:rsidRPr="003E71A0" w14:paraId="5B8EA947" w14:textId="77777777" w:rsidTr="003E71A0">
        <w:trPr>
          <w:trHeight w:val="300"/>
          <w:jc w:val="center"/>
        </w:trPr>
        <w:tc>
          <w:tcPr>
            <w:tcW w:w="3941" w:type="dxa"/>
            <w:tcBorders>
              <w:top w:val="nil"/>
              <w:left w:val="nil"/>
              <w:bottom w:val="nil"/>
              <w:right w:val="single" w:sz="4" w:space="0" w:color="000000"/>
            </w:tcBorders>
            <w:shd w:val="clear" w:color="000000" w:fill="FFFFFF"/>
            <w:vAlign w:val="bottom"/>
            <w:hideMark/>
          </w:tcPr>
          <w:p w14:paraId="4F1B8C8B" w14:textId="77777777" w:rsidR="003E71A0" w:rsidRPr="003E71A0" w:rsidRDefault="003E71A0" w:rsidP="003E71A0">
            <w:pPr>
              <w:spacing w:after="0" w:line="240" w:lineRule="auto"/>
              <w:jc w:val="center"/>
              <w:rPr>
                <w:rFonts w:ascii="Arial" w:eastAsia="Times New Roman" w:hAnsi="Arial" w:cs="Arial"/>
                <w:i/>
                <w:iCs/>
                <w:color w:val="FF0000"/>
                <w:lang w:val="es-ES" w:eastAsia="es-ES"/>
              </w:rPr>
            </w:pPr>
            <w:r w:rsidRPr="003E71A0">
              <w:rPr>
                <w:rFonts w:ascii="Arial" w:eastAsia="Times New Roman" w:hAnsi="Arial" w:cs="Arial"/>
                <w:i/>
                <w:iCs/>
                <w:color w:val="FF0000"/>
                <w:lang w:val="es-ES" w:eastAsia="es-ES"/>
              </w:rPr>
              <w:t>FOSB</w:t>
            </w:r>
          </w:p>
        </w:tc>
        <w:tc>
          <w:tcPr>
            <w:tcW w:w="4897" w:type="dxa"/>
            <w:vMerge w:val="restart"/>
            <w:tcBorders>
              <w:top w:val="nil"/>
              <w:left w:val="single" w:sz="4" w:space="0" w:color="000000"/>
              <w:bottom w:val="single" w:sz="4" w:space="0" w:color="000000"/>
              <w:right w:val="nil"/>
            </w:tcBorders>
            <w:shd w:val="clear" w:color="000000" w:fill="FFFFFF"/>
            <w:vAlign w:val="center"/>
            <w:hideMark/>
          </w:tcPr>
          <w:p w14:paraId="6EEB7FB1" w14:textId="77777777" w:rsidR="003E71A0" w:rsidRPr="003E71A0" w:rsidRDefault="003E71A0" w:rsidP="003E71A0">
            <w:pPr>
              <w:spacing w:after="0" w:line="240" w:lineRule="auto"/>
              <w:jc w:val="center"/>
              <w:rPr>
                <w:rFonts w:ascii="Arial" w:eastAsia="Times New Roman" w:hAnsi="Arial" w:cs="Arial"/>
                <w:color w:val="000000"/>
                <w:lang w:val="es-ES" w:eastAsia="es-ES"/>
              </w:rPr>
            </w:pPr>
            <w:r w:rsidRPr="003E71A0">
              <w:rPr>
                <w:rFonts w:ascii="Arial" w:eastAsia="Times New Roman" w:hAnsi="Arial" w:cs="Arial"/>
                <w:color w:val="000000"/>
                <w:lang w:val="es-ES" w:eastAsia="es-ES"/>
              </w:rPr>
              <w:t>Immune response and exhaustion</w:t>
            </w:r>
          </w:p>
        </w:tc>
      </w:tr>
      <w:tr w:rsidR="003E71A0" w:rsidRPr="003E71A0" w14:paraId="4BD16283" w14:textId="77777777" w:rsidTr="003E71A0">
        <w:trPr>
          <w:trHeight w:val="300"/>
          <w:jc w:val="center"/>
        </w:trPr>
        <w:tc>
          <w:tcPr>
            <w:tcW w:w="3941" w:type="dxa"/>
            <w:tcBorders>
              <w:top w:val="nil"/>
              <w:left w:val="nil"/>
              <w:bottom w:val="nil"/>
              <w:right w:val="single" w:sz="4" w:space="0" w:color="000000"/>
            </w:tcBorders>
            <w:shd w:val="clear" w:color="000000" w:fill="FFFFFF"/>
            <w:vAlign w:val="bottom"/>
            <w:hideMark/>
          </w:tcPr>
          <w:p w14:paraId="0B00EBED" w14:textId="77777777" w:rsidR="003E71A0" w:rsidRPr="003E71A0" w:rsidRDefault="003E71A0" w:rsidP="003E71A0">
            <w:pPr>
              <w:spacing w:after="0" w:line="240" w:lineRule="auto"/>
              <w:jc w:val="center"/>
              <w:rPr>
                <w:rFonts w:ascii="Arial" w:eastAsia="Times New Roman" w:hAnsi="Arial" w:cs="Arial"/>
                <w:i/>
                <w:iCs/>
                <w:color w:val="FF0000"/>
                <w:lang w:val="es-ES" w:eastAsia="es-ES"/>
              </w:rPr>
            </w:pPr>
            <w:r w:rsidRPr="003E71A0">
              <w:rPr>
                <w:rFonts w:ascii="Arial" w:eastAsia="Times New Roman" w:hAnsi="Arial" w:cs="Arial"/>
                <w:i/>
                <w:iCs/>
                <w:color w:val="FF0000"/>
                <w:lang w:val="es-ES" w:eastAsia="es-ES"/>
              </w:rPr>
              <w:t>JUN</w:t>
            </w:r>
          </w:p>
        </w:tc>
        <w:tc>
          <w:tcPr>
            <w:tcW w:w="4897" w:type="dxa"/>
            <w:vMerge/>
            <w:tcBorders>
              <w:top w:val="nil"/>
              <w:left w:val="single" w:sz="4" w:space="0" w:color="000000"/>
              <w:bottom w:val="single" w:sz="4" w:space="0" w:color="000000"/>
              <w:right w:val="nil"/>
            </w:tcBorders>
            <w:vAlign w:val="center"/>
            <w:hideMark/>
          </w:tcPr>
          <w:p w14:paraId="3D67A27D" w14:textId="77777777" w:rsidR="003E71A0" w:rsidRPr="003E71A0" w:rsidRDefault="003E71A0" w:rsidP="003E71A0">
            <w:pPr>
              <w:spacing w:after="0" w:line="240" w:lineRule="auto"/>
              <w:rPr>
                <w:rFonts w:ascii="Arial" w:eastAsia="Times New Roman" w:hAnsi="Arial" w:cs="Arial"/>
                <w:color w:val="000000"/>
                <w:lang w:val="es-ES" w:eastAsia="es-ES"/>
              </w:rPr>
            </w:pPr>
          </w:p>
        </w:tc>
      </w:tr>
      <w:tr w:rsidR="003E71A0" w:rsidRPr="003E71A0" w14:paraId="71412561" w14:textId="77777777" w:rsidTr="003E71A0">
        <w:trPr>
          <w:trHeight w:val="300"/>
          <w:jc w:val="center"/>
        </w:trPr>
        <w:tc>
          <w:tcPr>
            <w:tcW w:w="3941" w:type="dxa"/>
            <w:tcBorders>
              <w:top w:val="nil"/>
              <w:left w:val="nil"/>
              <w:bottom w:val="nil"/>
              <w:right w:val="single" w:sz="4" w:space="0" w:color="000000"/>
            </w:tcBorders>
            <w:shd w:val="clear" w:color="000000" w:fill="FFFFFF"/>
            <w:vAlign w:val="bottom"/>
            <w:hideMark/>
          </w:tcPr>
          <w:p w14:paraId="3ABD11E8" w14:textId="77777777" w:rsidR="003E71A0" w:rsidRPr="003E71A0" w:rsidRDefault="003E71A0" w:rsidP="003E71A0">
            <w:pPr>
              <w:spacing w:after="0" w:line="240" w:lineRule="auto"/>
              <w:jc w:val="center"/>
              <w:rPr>
                <w:rFonts w:ascii="Arial" w:eastAsia="Times New Roman" w:hAnsi="Arial" w:cs="Arial"/>
                <w:i/>
                <w:iCs/>
                <w:color w:val="FF0000"/>
                <w:lang w:val="es-ES" w:eastAsia="es-ES"/>
              </w:rPr>
            </w:pPr>
            <w:r w:rsidRPr="003E71A0">
              <w:rPr>
                <w:rFonts w:ascii="Arial" w:eastAsia="Times New Roman" w:hAnsi="Arial" w:cs="Arial"/>
                <w:i/>
                <w:iCs/>
                <w:color w:val="FF0000"/>
                <w:lang w:val="es-ES" w:eastAsia="es-ES"/>
              </w:rPr>
              <w:t>PRSS12</w:t>
            </w:r>
          </w:p>
        </w:tc>
        <w:tc>
          <w:tcPr>
            <w:tcW w:w="4897" w:type="dxa"/>
            <w:vMerge/>
            <w:tcBorders>
              <w:top w:val="nil"/>
              <w:left w:val="single" w:sz="4" w:space="0" w:color="000000"/>
              <w:bottom w:val="single" w:sz="4" w:space="0" w:color="000000"/>
              <w:right w:val="nil"/>
            </w:tcBorders>
            <w:vAlign w:val="center"/>
            <w:hideMark/>
          </w:tcPr>
          <w:p w14:paraId="0264D4B7" w14:textId="77777777" w:rsidR="003E71A0" w:rsidRPr="003E71A0" w:rsidRDefault="003E71A0" w:rsidP="003E71A0">
            <w:pPr>
              <w:spacing w:after="0" w:line="240" w:lineRule="auto"/>
              <w:rPr>
                <w:rFonts w:ascii="Arial" w:eastAsia="Times New Roman" w:hAnsi="Arial" w:cs="Arial"/>
                <w:color w:val="000000"/>
                <w:lang w:val="es-ES" w:eastAsia="es-ES"/>
              </w:rPr>
            </w:pPr>
          </w:p>
        </w:tc>
      </w:tr>
      <w:tr w:rsidR="003E71A0" w:rsidRPr="003E71A0" w14:paraId="5195C39C" w14:textId="77777777" w:rsidTr="003E71A0">
        <w:trPr>
          <w:trHeight w:val="300"/>
          <w:jc w:val="center"/>
        </w:trPr>
        <w:tc>
          <w:tcPr>
            <w:tcW w:w="3941" w:type="dxa"/>
            <w:tcBorders>
              <w:top w:val="nil"/>
              <w:left w:val="nil"/>
              <w:bottom w:val="nil"/>
              <w:right w:val="single" w:sz="4" w:space="0" w:color="000000"/>
            </w:tcBorders>
            <w:shd w:val="clear" w:color="000000" w:fill="FFFFFF"/>
            <w:vAlign w:val="bottom"/>
            <w:hideMark/>
          </w:tcPr>
          <w:p w14:paraId="6B43DD38" w14:textId="77777777" w:rsidR="003E71A0" w:rsidRPr="003E71A0" w:rsidRDefault="003E71A0" w:rsidP="003E71A0">
            <w:pPr>
              <w:spacing w:after="0" w:line="240" w:lineRule="auto"/>
              <w:jc w:val="center"/>
              <w:rPr>
                <w:rFonts w:ascii="Arial" w:eastAsia="Times New Roman" w:hAnsi="Arial" w:cs="Arial"/>
                <w:i/>
                <w:iCs/>
                <w:color w:val="FF0000"/>
                <w:lang w:val="es-ES" w:eastAsia="es-ES"/>
              </w:rPr>
            </w:pPr>
            <w:r w:rsidRPr="003E71A0">
              <w:rPr>
                <w:rFonts w:ascii="Arial" w:eastAsia="Times New Roman" w:hAnsi="Arial" w:cs="Arial"/>
                <w:i/>
                <w:iCs/>
                <w:color w:val="FF0000"/>
                <w:lang w:val="es-ES" w:eastAsia="es-ES"/>
              </w:rPr>
              <w:t>FAM46C</w:t>
            </w:r>
          </w:p>
        </w:tc>
        <w:tc>
          <w:tcPr>
            <w:tcW w:w="4897" w:type="dxa"/>
            <w:vMerge/>
            <w:tcBorders>
              <w:top w:val="nil"/>
              <w:left w:val="single" w:sz="4" w:space="0" w:color="000000"/>
              <w:bottom w:val="single" w:sz="4" w:space="0" w:color="000000"/>
              <w:right w:val="nil"/>
            </w:tcBorders>
            <w:vAlign w:val="center"/>
            <w:hideMark/>
          </w:tcPr>
          <w:p w14:paraId="258A9C2A" w14:textId="77777777" w:rsidR="003E71A0" w:rsidRPr="003E71A0" w:rsidRDefault="003E71A0" w:rsidP="003E71A0">
            <w:pPr>
              <w:spacing w:after="0" w:line="240" w:lineRule="auto"/>
              <w:rPr>
                <w:rFonts w:ascii="Arial" w:eastAsia="Times New Roman" w:hAnsi="Arial" w:cs="Arial"/>
                <w:color w:val="000000"/>
                <w:lang w:val="es-ES" w:eastAsia="es-ES"/>
              </w:rPr>
            </w:pPr>
          </w:p>
        </w:tc>
      </w:tr>
      <w:tr w:rsidR="003E71A0" w:rsidRPr="003E71A0" w14:paraId="2B6874AB" w14:textId="77777777" w:rsidTr="003E71A0">
        <w:trPr>
          <w:trHeight w:val="300"/>
          <w:jc w:val="center"/>
        </w:trPr>
        <w:tc>
          <w:tcPr>
            <w:tcW w:w="3941" w:type="dxa"/>
            <w:tcBorders>
              <w:top w:val="nil"/>
              <w:left w:val="nil"/>
              <w:bottom w:val="single" w:sz="4" w:space="0" w:color="auto"/>
              <w:right w:val="single" w:sz="4" w:space="0" w:color="000000"/>
            </w:tcBorders>
            <w:shd w:val="clear" w:color="000000" w:fill="FFFFFF"/>
            <w:vAlign w:val="bottom"/>
            <w:hideMark/>
          </w:tcPr>
          <w:p w14:paraId="797E1508" w14:textId="77777777" w:rsidR="003E71A0" w:rsidRPr="003E71A0" w:rsidRDefault="003E71A0" w:rsidP="003E71A0">
            <w:pPr>
              <w:spacing w:after="0" w:line="240" w:lineRule="auto"/>
              <w:jc w:val="center"/>
              <w:rPr>
                <w:rFonts w:ascii="Arial" w:eastAsia="Times New Roman" w:hAnsi="Arial" w:cs="Arial"/>
                <w:i/>
                <w:iCs/>
                <w:color w:val="FF0000"/>
                <w:lang w:val="es-ES" w:eastAsia="es-ES"/>
              </w:rPr>
            </w:pPr>
            <w:r w:rsidRPr="003E71A0">
              <w:rPr>
                <w:rFonts w:ascii="Arial" w:eastAsia="Times New Roman" w:hAnsi="Arial" w:cs="Arial"/>
                <w:i/>
                <w:iCs/>
                <w:color w:val="FF0000"/>
                <w:lang w:val="es-ES" w:eastAsia="es-ES"/>
              </w:rPr>
              <w:t>NAPSA</w:t>
            </w:r>
          </w:p>
        </w:tc>
        <w:tc>
          <w:tcPr>
            <w:tcW w:w="4897" w:type="dxa"/>
            <w:vMerge/>
            <w:tcBorders>
              <w:top w:val="nil"/>
              <w:left w:val="single" w:sz="4" w:space="0" w:color="000000"/>
              <w:bottom w:val="single" w:sz="4" w:space="0" w:color="000000"/>
              <w:right w:val="nil"/>
            </w:tcBorders>
            <w:vAlign w:val="center"/>
            <w:hideMark/>
          </w:tcPr>
          <w:p w14:paraId="74F9BA2E" w14:textId="77777777" w:rsidR="003E71A0" w:rsidRPr="003E71A0" w:rsidRDefault="003E71A0" w:rsidP="003E71A0">
            <w:pPr>
              <w:spacing w:after="0" w:line="240" w:lineRule="auto"/>
              <w:rPr>
                <w:rFonts w:ascii="Arial" w:eastAsia="Times New Roman" w:hAnsi="Arial" w:cs="Arial"/>
                <w:color w:val="000000"/>
                <w:lang w:val="es-ES" w:eastAsia="es-ES"/>
              </w:rPr>
            </w:pPr>
          </w:p>
        </w:tc>
      </w:tr>
      <w:tr w:rsidR="003E71A0" w:rsidRPr="003E71A0" w14:paraId="525161FA" w14:textId="77777777" w:rsidTr="003E71A0">
        <w:trPr>
          <w:trHeight w:val="300"/>
          <w:jc w:val="center"/>
        </w:trPr>
        <w:tc>
          <w:tcPr>
            <w:tcW w:w="3941" w:type="dxa"/>
            <w:tcBorders>
              <w:top w:val="nil"/>
              <w:left w:val="nil"/>
              <w:bottom w:val="nil"/>
              <w:right w:val="single" w:sz="4" w:space="0" w:color="000000"/>
            </w:tcBorders>
            <w:shd w:val="clear" w:color="000000" w:fill="FFFFFF"/>
            <w:vAlign w:val="bottom"/>
            <w:hideMark/>
          </w:tcPr>
          <w:p w14:paraId="615084A2" w14:textId="77777777" w:rsidR="003E71A0" w:rsidRPr="003E71A0" w:rsidRDefault="003E71A0" w:rsidP="003E71A0">
            <w:pPr>
              <w:spacing w:after="0" w:line="240" w:lineRule="auto"/>
              <w:jc w:val="center"/>
              <w:rPr>
                <w:rFonts w:ascii="Arial" w:eastAsia="Times New Roman" w:hAnsi="Arial" w:cs="Arial"/>
                <w:i/>
                <w:iCs/>
                <w:color w:val="70AD47"/>
                <w:lang w:val="es-ES" w:eastAsia="es-ES"/>
              </w:rPr>
            </w:pPr>
            <w:r w:rsidRPr="003E71A0">
              <w:rPr>
                <w:rFonts w:ascii="Arial" w:eastAsia="Times New Roman" w:hAnsi="Arial" w:cs="Arial"/>
                <w:i/>
                <w:iCs/>
                <w:color w:val="70AD47"/>
                <w:lang w:val="es-ES" w:eastAsia="es-ES"/>
              </w:rPr>
              <w:t>TNS2</w:t>
            </w:r>
          </w:p>
        </w:tc>
        <w:tc>
          <w:tcPr>
            <w:tcW w:w="4897" w:type="dxa"/>
            <w:vMerge w:val="restart"/>
            <w:tcBorders>
              <w:top w:val="nil"/>
              <w:left w:val="single" w:sz="4" w:space="0" w:color="000000"/>
              <w:bottom w:val="single" w:sz="4" w:space="0" w:color="000000"/>
              <w:right w:val="nil"/>
            </w:tcBorders>
            <w:shd w:val="clear" w:color="000000" w:fill="FFFFFF"/>
            <w:vAlign w:val="center"/>
            <w:hideMark/>
          </w:tcPr>
          <w:p w14:paraId="68FD23C0" w14:textId="77777777" w:rsidR="003E71A0" w:rsidRPr="003E71A0" w:rsidRDefault="003E71A0" w:rsidP="003E71A0">
            <w:pPr>
              <w:spacing w:after="0" w:line="240" w:lineRule="auto"/>
              <w:jc w:val="center"/>
              <w:rPr>
                <w:rFonts w:ascii="Arial" w:eastAsia="Times New Roman" w:hAnsi="Arial" w:cs="Arial"/>
                <w:color w:val="000000"/>
                <w:lang w:val="es-ES" w:eastAsia="es-ES"/>
              </w:rPr>
            </w:pPr>
            <w:r w:rsidRPr="003E71A0">
              <w:rPr>
                <w:rFonts w:ascii="Arial" w:eastAsia="Times New Roman" w:hAnsi="Arial" w:cs="Arial"/>
                <w:color w:val="000000"/>
                <w:lang w:val="es-ES" w:eastAsia="es-ES"/>
              </w:rPr>
              <w:t xml:space="preserve">Adhesion molecules </w:t>
            </w:r>
          </w:p>
        </w:tc>
      </w:tr>
      <w:tr w:rsidR="003E71A0" w:rsidRPr="003E71A0" w14:paraId="652E835E" w14:textId="77777777" w:rsidTr="003E71A0">
        <w:trPr>
          <w:trHeight w:val="300"/>
          <w:jc w:val="center"/>
        </w:trPr>
        <w:tc>
          <w:tcPr>
            <w:tcW w:w="3941" w:type="dxa"/>
            <w:tcBorders>
              <w:top w:val="nil"/>
              <w:left w:val="nil"/>
              <w:bottom w:val="single" w:sz="4" w:space="0" w:color="000000"/>
              <w:right w:val="single" w:sz="4" w:space="0" w:color="000000"/>
            </w:tcBorders>
            <w:shd w:val="clear" w:color="000000" w:fill="FFFFFF"/>
            <w:vAlign w:val="bottom"/>
            <w:hideMark/>
          </w:tcPr>
          <w:p w14:paraId="17289CDF" w14:textId="77777777" w:rsidR="003E71A0" w:rsidRPr="003E71A0" w:rsidRDefault="003E71A0" w:rsidP="003E71A0">
            <w:pPr>
              <w:spacing w:after="0" w:line="240" w:lineRule="auto"/>
              <w:jc w:val="center"/>
              <w:rPr>
                <w:rFonts w:ascii="Arial" w:eastAsia="Times New Roman" w:hAnsi="Arial" w:cs="Arial"/>
                <w:i/>
                <w:iCs/>
                <w:color w:val="70AD47"/>
                <w:lang w:val="es-ES" w:eastAsia="es-ES"/>
              </w:rPr>
            </w:pPr>
            <w:r w:rsidRPr="003E71A0">
              <w:rPr>
                <w:rFonts w:ascii="Arial" w:eastAsia="Times New Roman" w:hAnsi="Arial" w:cs="Arial"/>
                <w:i/>
                <w:iCs/>
                <w:color w:val="70AD47"/>
                <w:lang w:val="es-ES" w:eastAsia="es-ES"/>
              </w:rPr>
              <w:t>FARP2</w:t>
            </w:r>
          </w:p>
        </w:tc>
        <w:tc>
          <w:tcPr>
            <w:tcW w:w="4897" w:type="dxa"/>
            <w:vMerge/>
            <w:tcBorders>
              <w:top w:val="nil"/>
              <w:left w:val="single" w:sz="4" w:space="0" w:color="000000"/>
              <w:bottom w:val="single" w:sz="4" w:space="0" w:color="000000"/>
              <w:right w:val="nil"/>
            </w:tcBorders>
            <w:vAlign w:val="center"/>
            <w:hideMark/>
          </w:tcPr>
          <w:p w14:paraId="0C16E3D1" w14:textId="77777777" w:rsidR="003E71A0" w:rsidRPr="003E71A0" w:rsidRDefault="003E71A0" w:rsidP="003E71A0">
            <w:pPr>
              <w:spacing w:after="0" w:line="240" w:lineRule="auto"/>
              <w:rPr>
                <w:rFonts w:ascii="Arial" w:eastAsia="Times New Roman" w:hAnsi="Arial" w:cs="Arial"/>
                <w:color w:val="000000"/>
                <w:lang w:val="es-ES" w:eastAsia="es-ES"/>
              </w:rPr>
            </w:pPr>
          </w:p>
        </w:tc>
      </w:tr>
      <w:tr w:rsidR="003E71A0" w:rsidRPr="003E71A0" w14:paraId="30E44478" w14:textId="77777777" w:rsidTr="003E71A0">
        <w:trPr>
          <w:trHeight w:val="300"/>
          <w:jc w:val="center"/>
        </w:trPr>
        <w:tc>
          <w:tcPr>
            <w:tcW w:w="3941" w:type="dxa"/>
            <w:tcBorders>
              <w:top w:val="nil"/>
              <w:left w:val="nil"/>
              <w:bottom w:val="nil"/>
              <w:right w:val="single" w:sz="4" w:space="0" w:color="000000"/>
            </w:tcBorders>
            <w:shd w:val="clear" w:color="000000" w:fill="FFFFFF"/>
            <w:vAlign w:val="bottom"/>
            <w:hideMark/>
          </w:tcPr>
          <w:p w14:paraId="4472A110" w14:textId="77777777" w:rsidR="003E71A0" w:rsidRPr="003E71A0" w:rsidRDefault="003E71A0" w:rsidP="003E71A0">
            <w:pPr>
              <w:spacing w:after="0" w:line="240" w:lineRule="auto"/>
              <w:jc w:val="center"/>
              <w:rPr>
                <w:rFonts w:ascii="Arial" w:eastAsia="Times New Roman" w:hAnsi="Arial" w:cs="Arial"/>
                <w:i/>
                <w:iCs/>
                <w:color w:val="70AD47"/>
                <w:lang w:val="es-ES" w:eastAsia="es-ES"/>
              </w:rPr>
            </w:pPr>
            <w:r w:rsidRPr="003E71A0">
              <w:rPr>
                <w:rFonts w:ascii="Arial" w:eastAsia="Times New Roman" w:hAnsi="Arial" w:cs="Arial"/>
                <w:i/>
                <w:iCs/>
                <w:color w:val="70AD47"/>
                <w:lang w:val="es-ES" w:eastAsia="es-ES"/>
              </w:rPr>
              <w:t>SPG7</w:t>
            </w:r>
          </w:p>
        </w:tc>
        <w:tc>
          <w:tcPr>
            <w:tcW w:w="4897" w:type="dxa"/>
            <w:vMerge w:val="restart"/>
            <w:tcBorders>
              <w:top w:val="nil"/>
              <w:left w:val="single" w:sz="4" w:space="0" w:color="000000"/>
              <w:bottom w:val="single" w:sz="4" w:space="0" w:color="000000"/>
              <w:right w:val="nil"/>
            </w:tcBorders>
            <w:shd w:val="clear" w:color="000000" w:fill="FFFFFF"/>
            <w:vAlign w:val="center"/>
            <w:hideMark/>
          </w:tcPr>
          <w:p w14:paraId="7C99BC93" w14:textId="77777777" w:rsidR="003E71A0" w:rsidRPr="003E71A0" w:rsidRDefault="003E71A0" w:rsidP="003E71A0">
            <w:pPr>
              <w:spacing w:after="0" w:line="240" w:lineRule="auto"/>
              <w:jc w:val="center"/>
              <w:rPr>
                <w:rFonts w:ascii="Arial" w:eastAsia="Times New Roman" w:hAnsi="Arial" w:cs="Arial"/>
                <w:color w:val="000000"/>
                <w:lang w:val="es-ES" w:eastAsia="es-ES"/>
              </w:rPr>
            </w:pPr>
            <w:r w:rsidRPr="003E71A0">
              <w:rPr>
                <w:rFonts w:ascii="Arial" w:eastAsia="Times New Roman" w:hAnsi="Arial" w:cs="Arial"/>
                <w:color w:val="000000"/>
                <w:lang w:val="es-ES" w:eastAsia="es-ES"/>
              </w:rPr>
              <w:t>Maintenance of OXPHOS</w:t>
            </w:r>
          </w:p>
        </w:tc>
      </w:tr>
      <w:tr w:rsidR="003E71A0" w:rsidRPr="003E71A0" w14:paraId="2CC41690" w14:textId="77777777" w:rsidTr="003E71A0">
        <w:trPr>
          <w:trHeight w:val="300"/>
          <w:jc w:val="center"/>
        </w:trPr>
        <w:tc>
          <w:tcPr>
            <w:tcW w:w="3941" w:type="dxa"/>
            <w:tcBorders>
              <w:top w:val="nil"/>
              <w:left w:val="nil"/>
              <w:bottom w:val="nil"/>
              <w:right w:val="single" w:sz="4" w:space="0" w:color="000000"/>
            </w:tcBorders>
            <w:shd w:val="clear" w:color="000000" w:fill="FFFFFF"/>
            <w:vAlign w:val="bottom"/>
            <w:hideMark/>
          </w:tcPr>
          <w:p w14:paraId="40238D2E" w14:textId="77777777" w:rsidR="003E71A0" w:rsidRPr="003E71A0" w:rsidRDefault="003E71A0" w:rsidP="003E71A0">
            <w:pPr>
              <w:spacing w:after="0" w:line="240" w:lineRule="auto"/>
              <w:jc w:val="center"/>
              <w:rPr>
                <w:rFonts w:ascii="Arial" w:eastAsia="Times New Roman" w:hAnsi="Arial" w:cs="Arial"/>
                <w:i/>
                <w:iCs/>
                <w:color w:val="70AD47"/>
                <w:lang w:val="es-ES" w:eastAsia="es-ES"/>
              </w:rPr>
            </w:pPr>
            <w:r w:rsidRPr="003E71A0">
              <w:rPr>
                <w:rFonts w:ascii="Arial" w:eastAsia="Times New Roman" w:hAnsi="Arial" w:cs="Arial"/>
                <w:i/>
                <w:iCs/>
                <w:color w:val="70AD47"/>
                <w:lang w:val="es-ES" w:eastAsia="es-ES"/>
              </w:rPr>
              <w:t>C8orf41</w:t>
            </w:r>
          </w:p>
        </w:tc>
        <w:tc>
          <w:tcPr>
            <w:tcW w:w="4897" w:type="dxa"/>
            <w:vMerge/>
            <w:tcBorders>
              <w:top w:val="nil"/>
              <w:left w:val="single" w:sz="4" w:space="0" w:color="000000"/>
              <w:bottom w:val="single" w:sz="4" w:space="0" w:color="000000"/>
              <w:right w:val="nil"/>
            </w:tcBorders>
            <w:vAlign w:val="center"/>
            <w:hideMark/>
          </w:tcPr>
          <w:p w14:paraId="2EEBF288" w14:textId="77777777" w:rsidR="003E71A0" w:rsidRPr="003E71A0" w:rsidRDefault="003E71A0" w:rsidP="003E71A0">
            <w:pPr>
              <w:spacing w:after="0" w:line="240" w:lineRule="auto"/>
              <w:rPr>
                <w:rFonts w:ascii="Arial" w:eastAsia="Times New Roman" w:hAnsi="Arial" w:cs="Arial"/>
                <w:color w:val="000000"/>
                <w:lang w:val="es-ES" w:eastAsia="es-ES"/>
              </w:rPr>
            </w:pPr>
          </w:p>
        </w:tc>
      </w:tr>
      <w:tr w:rsidR="003E71A0" w:rsidRPr="003E71A0" w14:paraId="139AC62B" w14:textId="77777777" w:rsidTr="003E71A0">
        <w:trPr>
          <w:trHeight w:val="300"/>
          <w:jc w:val="center"/>
        </w:trPr>
        <w:tc>
          <w:tcPr>
            <w:tcW w:w="3941" w:type="dxa"/>
            <w:tcBorders>
              <w:top w:val="nil"/>
              <w:left w:val="nil"/>
              <w:bottom w:val="nil"/>
              <w:right w:val="single" w:sz="4" w:space="0" w:color="000000"/>
            </w:tcBorders>
            <w:shd w:val="clear" w:color="000000" w:fill="FFFFFF"/>
            <w:vAlign w:val="bottom"/>
            <w:hideMark/>
          </w:tcPr>
          <w:p w14:paraId="79A24CE7" w14:textId="77777777" w:rsidR="003E71A0" w:rsidRPr="003E71A0" w:rsidRDefault="003E71A0" w:rsidP="003E71A0">
            <w:pPr>
              <w:spacing w:after="0" w:line="240" w:lineRule="auto"/>
              <w:jc w:val="center"/>
              <w:rPr>
                <w:rFonts w:ascii="Arial" w:eastAsia="Times New Roman" w:hAnsi="Arial" w:cs="Arial"/>
                <w:i/>
                <w:iCs/>
                <w:color w:val="70AD47"/>
                <w:lang w:val="es-ES" w:eastAsia="es-ES"/>
              </w:rPr>
            </w:pPr>
            <w:r w:rsidRPr="003E71A0">
              <w:rPr>
                <w:rFonts w:ascii="Arial" w:eastAsia="Times New Roman" w:hAnsi="Arial" w:cs="Arial"/>
                <w:i/>
                <w:iCs/>
                <w:color w:val="70AD47"/>
                <w:lang w:val="es-ES" w:eastAsia="es-ES"/>
              </w:rPr>
              <w:t>DDX23</w:t>
            </w:r>
          </w:p>
        </w:tc>
        <w:tc>
          <w:tcPr>
            <w:tcW w:w="4897" w:type="dxa"/>
            <w:vMerge/>
            <w:tcBorders>
              <w:top w:val="nil"/>
              <w:left w:val="single" w:sz="4" w:space="0" w:color="000000"/>
              <w:bottom w:val="single" w:sz="4" w:space="0" w:color="000000"/>
              <w:right w:val="nil"/>
            </w:tcBorders>
            <w:vAlign w:val="center"/>
            <w:hideMark/>
          </w:tcPr>
          <w:p w14:paraId="626D3BC4" w14:textId="77777777" w:rsidR="003E71A0" w:rsidRPr="003E71A0" w:rsidRDefault="003E71A0" w:rsidP="003E71A0">
            <w:pPr>
              <w:spacing w:after="0" w:line="240" w:lineRule="auto"/>
              <w:rPr>
                <w:rFonts w:ascii="Arial" w:eastAsia="Times New Roman" w:hAnsi="Arial" w:cs="Arial"/>
                <w:color w:val="000000"/>
                <w:lang w:val="es-ES" w:eastAsia="es-ES"/>
              </w:rPr>
            </w:pPr>
          </w:p>
        </w:tc>
      </w:tr>
      <w:tr w:rsidR="003E71A0" w:rsidRPr="003E71A0" w14:paraId="3E620D54" w14:textId="77777777" w:rsidTr="003E71A0">
        <w:trPr>
          <w:trHeight w:val="300"/>
          <w:jc w:val="center"/>
        </w:trPr>
        <w:tc>
          <w:tcPr>
            <w:tcW w:w="3941" w:type="dxa"/>
            <w:tcBorders>
              <w:top w:val="nil"/>
              <w:left w:val="nil"/>
              <w:bottom w:val="single" w:sz="4" w:space="0" w:color="000000"/>
              <w:right w:val="single" w:sz="4" w:space="0" w:color="000000"/>
            </w:tcBorders>
            <w:shd w:val="clear" w:color="000000" w:fill="FFFFFF"/>
            <w:vAlign w:val="bottom"/>
            <w:hideMark/>
          </w:tcPr>
          <w:p w14:paraId="33B10BAE" w14:textId="77777777" w:rsidR="003E71A0" w:rsidRPr="003E71A0" w:rsidRDefault="003E71A0" w:rsidP="003E71A0">
            <w:pPr>
              <w:spacing w:after="0" w:line="240" w:lineRule="auto"/>
              <w:jc w:val="center"/>
              <w:rPr>
                <w:rFonts w:ascii="Arial" w:eastAsia="Times New Roman" w:hAnsi="Arial" w:cs="Arial"/>
                <w:i/>
                <w:iCs/>
                <w:color w:val="70AD47"/>
                <w:lang w:val="es-ES" w:eastAsia="es-ES"/>
              </w:rPr>
            </w:pPr>
            <w:r w:rsidRPr="003E71A0">
              <w:rPr>
                <w:rFonts w:ascii="Arial" w:eastAsia="Times New Roman" w:hAnsi="Arial" w:cs="Arial"/>
                <w:i/>
                <w:iCs/>
                <w:color w:val="70AD47"/>
                <w:lang w:val="es-ES" w:eastAsia="es-ES"/>
              </w:rPr>
              <w:t>ERMP1</w:t>
            </w:r>
          </w:p>
        </w:tc>
        <w:tc>
          <w:tcPr>
            <w:tcW w:w="4897" w:type="dxa"/>
            <w:vMerge/>
            <w:tcBorders>
              <w:top w:val="nil"/>
              <w:left w:val="single" w:sz="4" w:space="0" w:color="000000"/>
              <w:bottom w:val="single" w:sz="4" w:space="0" w:color="000000"/>
              <w:right w:val="nil"/>
            </w:tcBorders>
            <w:vAlign w:val="center"/>
            <w:hideMark/>
          </w:tcPr>
          <w:p w14:paraId="2A19E48F" w14:textId="77777777" w:rsidR="003E71A0" w:rsidRPr="003E71A0" w:rsidRDefault="003E71A0" w:rsidP="003E71A0">
            <w:pPr>
              <w:spacing w:after="0" w:line="240" w:lineRule="auto"/>
              <w:rPr>
                <w:rFonts w:ascii="Arial" w:eastAsia="Times New Roman" w:hAnsi="Arial" w:cs="Arial"/>
                <w:color w:val="000000"/>
                <w:lang w:val="es-ES" w:eastAsia="es-ES"/>
              </w:rPr>
            </w:pPr>
          </w:p>
        </w:tc>
      </w:tr>
      <w:tr w:rsidR="003E71A0" w:rsidRPr="003E71A0" w14:paraId="16C31F6A" w14:textId="77777777" w:rsidTr="003E71A0">
        <w:trPr>
          <w:trHeight w:val="300"/>
          <w:jc w:val="center"/>
        </w:trPr>
        <w:tc>
          <w:tcPr>
            <w:tcW w:w="3941" w:type="dxa"/>
            <w:tcBorders>
              <w:top w:val="nil"/>
              <w:left w:val="nil"/>
              <w:bottom w:val="nil"/>
              <w:right w:val="single" w:sz="4" w:space="0" w:color="000000"/>
            </w:tcBorders>
            <w:shd w:val="clear" w:color="000000" w:fill="FFFFFF"/>
            <w:vAlign w:val="bottom"/>
            <w:hideMark/>
          </w:tcPr>
          <w:p w14:paraId="52A61F04" w14:textId="77777777" w:rsidR="003E71A0" w:rsidRPr="003E71A0" w:rsidRDefault="003E71A0" w:rsidP="003E71A0">
            <w:pPr>
              <w:spacing w:after="0" w:line="240" w:lineRule="auto"/>
              <w:jc w:val="center"/>
              <w:rPr>
                <w:rFonts w:ascii="Arial" w:eastAsia="Times New Roman" w:hAnsi="Arial" w:cs="Arial"/>
                <w:i/>
                <w:iCs/>
                <w:color w:val="70AD47"/>
                <w:lang w:val="es-ES" w:eastAsia="es-ES"/>
              </w:rPr>
            </w:pPr>
            <w:r w:rsidRPr="003E71A0">
              <w:rPr>
                <w:rFonts w:ascii="Arial" w:eastAsia="Times New Roman" w:hAnsi="Arial" w:cs="Arial"/>
                <w:i/>
                <w:iCs/>
                <w:color w:val="70AD47"/>
                <w:lang w:val="es-ES" w:eastAsia="es-ES"/>
              </w:rPr>
              <w:t>SGPP2</w:t>
            </w:r>
          </w:p>
        </w:tc>
        <w:tc>
          <w:tcPr>
            <w:tcW w:w="4897" w:type="dxa"/>
            <w:vMerge w:val="restart"/>
            <w:tcBorders>
              <w:top w:val="nil"/>
              <w:left w:val="single" w:sz="4" w:space="0" w:color="000000"/>
              <w:bottom w:val="single" w:sz="4" w:space="0" w:color="000000"/>
              <w:right w:val="nil"/>
            </w:tcBorders>
            <w:shd w:val="clear" w:color="000000" w:fill="FFFFFF"/>
            <w:vAlign w:val="center"/>
            <w:hideMark/>
          </w:tcPr>
          <w:p w14:paraId="4A00AB94" w14:textId="77777777" w:rsidR="003E71A0" w:rsidRPr="003E71A0" w:rsidRDefault="003E71A0" w:rsidP="003E71A0">
            <w:pPr>
              <w:spacing w:after="0" w:line="240" w:lineRule="auto"/>
              <w:jc w:val="center"/>
              <w:rPr>
                <w:rFonts w:ascii="Arial" w:eastAsia="Times New Roman" w:hAnsi="Arial" w:cs="Arial"/>
                <w:color w:val="000000"/>
                <w:lang w:val="es-ES" w:eastAsia="es-ES"/>
              </w:rPr>
            </w:pPr>
            <w:r w:rsidRPr="003E71A0">
              <w:rPr>
                <w:rFonts w:ascii="Arial" w:eastAsia="Times New Roman" w:hAnsi="Arial" w:cs="Arial"/>
                <w:color w:val="000000"/>
                <w:lang w:val="es-ES" w:eastAsia="es-ES"/>
              </w:rPr>
              <w:t xml:space="preserve">Synthesis of cellular components </w:t>
            </w:r>
          </w:p>
        </w:tc>
      </w:tr>
      <w:tr w:rsidR="003E71A0" w:rsidRPr="003E71A0" w14:paraId="1749012A" w14:textId="77777777" w:rsidTr="003E71A0">
        <w:trPr>
          <w:trHeight w:val="300"/>
          <w:jc w:val="center"/>
        </w:trPr>
        <w:tc>
          <w:tcPr>
            <w:tcW w:w="3941" w:type="dxa"/>
            <w:tcBorders>
              <w:top w:val="nil"/>
              <w:left w:val="nil"/>
              <w:bottom w:val="single" w:sz="4" w:space="0" w:color="000000"/>
              <w:right w:val="single" w:sz="4" w:space="0" w:color="000000"/>
            </w:tcBorders>
            <w:shd w:val="clear" w:color="000000" w:fill="FFFFFF"/>
            <w:vAlign w:val="bottom"/>
            <w:hideMark/>
          </w:tcPr>
          <w:p w14:paraId="5698E665" w14:textId="77777777" w:rsidR="003E71A0" w:rsidRPr="003E71A0" w:rsidRDefault="003E71A0" w:rsidP="003E71A0">
            <w:pPr>
              <w:spacing w:after="0" w:line="240" w:lineRule="auto"/>
              <w:jc w:val="center"/>
              <w:rPr>
                <w:rFonts w:ascii="Arial" w:eastAsia="Times New Roman" w:hAnsi="Arial" w:cs="Arial"/>
                <w:i/>
                <w:iCs/>
                <w:color w:val="70AD47"/>
                <w:lang w:val="es-ES" w:eastAsia="es-ES"/>
              </w:rPr>
            </w:pPr>
            <w:r w:rsidRPr="003E71A0">
              <w:rPr>
                <w:rFonts w:ascii="Arial" w:eastAsia="Times New Roman" w:hAnsi="Arial" w:cs="Arial"/>
                <w:i/>
                <w:iCs/>
                <w:color w:val="70AD47"/>
                <w:lang w:val="es-ES" w:eastAsia="es-ES"/>
              </w:rPr>
              <w:t>MGAT4B</w:t>
            </w:r>
          </w:p>
        </w:tc>
        <w:tc>
          <w:tcPr>
            <w:tcW w:w="4897" w:type="dxa"/>
            <w:vMerge/>
            <w:tcBorders>
              <w:top w:val="nil"/>
              <w:left w:val="single" w:sz="4" w:space="0" w:color="000000"/>
              <w:bottom w:val="single" w:sz="4" w:space="0" w:color="000000"/>
              <w:right w:val="nil"/>
            </w:tcBorders>
            <w:vAlign w:val="center"/>
            <w:hideMark/>
          </w:tcPr>
          <w:p w14:paraId="42CB9612" w14:textId="77777777" w:rsidR="003E71A0" w:rsidRPr="003E71A0" w:rsidRDefault="003E71A0" w:rsidP="003E71A0">
            <w:pPr>
              <w:spacing w:after="0" w:line="240" w:lineRule="auto"/>
              <w:rPr>
                <w:rFonts w:ascii="Arial" w:eastAsia="Times New Roman" w:hAnsi="Arial" w:cs="Arial"/>
                <w:color w:val="000000"/>
                <w:lang w:val="es-ES" w:eastAsia="es-ES"/>
              </w:rPr>
            </w:pPr>
          </w:p>
        </w:tc>
      </w:tr>
      <w:tr w:rsidR="003E71A0" w:rsidRPr="003E71A0" w14:paraId="5EFEAE8E" w14:textId="77777777" w:rsidTr="003E71A0">
        <w:trPr>
          <w:trHeight w:val="300"/>
          <w:jc w:val="center"/>
        </w:trPr>
        <w:tc>
          <w:tcPr>
            <w:tcW w:w="3941" w:type="dxa"/>
            <w:tcBorders>
              <w:top w:val="nil"/>
              <w:left w:val="nil"/>
              <w:bottom w:val="single" w:sz="4" w:space="0" w:color="000000"/>
              <w:right w:val="single" w:sz="4" w:space="0" w:color="000000"/>
            </w:tcBorders>
            <w:shd w:val="clear" w:color="000000" w:fill="FFFFFF"/>
            <w:vAlign w:val="bottom"/>
            <w:hideMark/>
          </w:tcPr>
          <w:p w14:paraId="66BE6CD1" w14:textId="77777777" w:rsidR="003E71A0" w:rsidRPr="003E71A0" w:rsidRDefault="003E71A0" w:rsidP="003E71A0">
            <w:pPr>
              <w:spacing w:after="0" w:line="240" w:lineRule="auto"/>
              <w:jc w:val="center"/>
              <w:rPr>
                <w:rFonts w:ascii="Arial" w:eastAsia="Times New Roman" w:hAnsi="Arial" w:cs="Arial"/>
                <w:i/>
                <w:iCs/>
                <w:color w:val="70AD47"/>
                <w:lang w:val="es-ES" w:eastAsia="es-ES"/>
              </w:rPr>
            </w:pPr>
            <w:r w:rsidRPr="003E71A0">
              <w:rPr>
                <w:rFonts w:ascii="Arial" w:eastAsia="Times New Roman" w:hAnsi="Arial" w:cs="Arial"/>
                <w:i/>
                <w:iCs/>
                <w:color w:val="70AD47"/>
                <w:lang w:val="es-ES" w:eastAsia="es-ES"/>
              </w:rPr>
              <w:t>DDX23</w:t>
            </w:r>
          </w:p>
        </w:tc>
        <w:tc>
          <w:tcPr>
            <w:tcW w:w="4897" w:type="dxa"/>
            <w:tcBorders>
              <w:top w:val="nil"/>
              <w:left w:val="nil"/>
              <w:bottom w:val="single" w:sz="4" w:space="0" w:color="000000"/>
              <w:right w:val="nil"/>
            </w:tcBorders>
            <w:shd w:val="clear" w:color="000000" w:fill="FFFFFF"/>
            <w:vAlign w:val="bottom"/>
            <w:hideMark/>
          </w:tcPr>
          <w:p w14:paraId="32616F7C" w14:textId="77777777" w:rsidR="003E71A0" w:rsidRPr="003E71A0" w:rsidRDefault="003E71A0" w:rsidP="003E71A0">
            <w:pPr>
              <w:spacing w:after="0" w:line="240" w:lineRule="auto"/>
              <w:jc w:val="center"/>
              <w:rPr>
                <w:rFonts w:ascii="Arial" w:eastAsia="Times New Roman" w:hAnsi="Arial" w:cs="Arial"/>
                <w:color w:val="000000"/>
                <w:lang w:val="es-ES" w:eastAsia="es-ES"/>
              </w:rPr>
            </w:pPr>
            <w:r w:rsidRPr="003E71A0">
              <w:rPr>
                <w:rFonts w:ascii="Arial" w:eastAsia="Times New Roman" w:hAnsi="Arial" w:cs="Arial"/>
                <w:color w:val="000000"/>
                <w:lang w:val="es-ES" w:eastAsia="es-ES"/>
              </w:rPr>
              <w:t>RNA processing mechanisms</w:t>
            </w:r>
          </w:p>
        </w:tc>
      </w:tr>
      <w:tr w:rsidR="003E71A0" w:rsidRPr="003E71A0" w14:paraId="57D088CB" w14:textId="77777777" w:rsidTr="003E71A0">
        <w:trPr>
          <w:trHeight w:val="300"/>
          <w:jc w:val="center"/>
        </w:trPr>
        <w:tc>
          <w:tcPr>
            <w:tcW w:w="3941" w:type="dxa"/>
            <w:tcBorders>
              <w:top w:val="nil"/>
              <w:left w:val="nil"/>
              <w:bottom w:val="nil"/>
              <w:right w:val="single" w:sz="4" w:space="0" w:color="000000"/>
            </w:tcBorders>
            <w:shd w:val="clear" w:color="000000" w:fill="FFFFFF"/>
            <w:noWrap/>
            <w:vAlign w:val="bottom"/>
            <w:hideMark/>
          </w:tcPr>
          <w:p w14:paraId="6B7B5480" w14:textId="77777777" w:rsidR="003E71A0" w:rsidRPr="003E71A0" w:rsidRDefault="003E71A0" w:rsidP="003E71A0">
            <w:pPr>
              <w:spacing w:after="0" w:line="240" w:lineRule="auto"/>
              <w:rPr>
                <w:rFonts w:ascii="Arial" w:eastAsia="Times New Roman" w:hAnsi="Arial" w:cs="Arial"/>
                <w:sz w:val="20"/>
                <w:szCs w:val="20"/>
                <w:lang w:eastAsia="es-ES"/>
              </w:rPr>
            </w:pPr>
            <w:r w:rsidRPr="003E71A0">
              <w:rPr>
                <w:rFonts w:ascii="Arial" w:eastAsia="Times New Roman" w:hAnsi="Arial" w:cs="Arial"/>
                <w:sz w:val="20"/>
                <w:szCs w:val="20"/>
                <w:lang w:eastAsia="es-ES"/>
              </w:rPr>
              <w:t>(1) Red: up-regulated genes; green: down-regulated genes</w:t>
            </w:r>
          </w:p>
        </w:tc>
        <w:tc>
          <w:tcPr>
            <w:tcW w:w="4897" w:type="dxa"/>
            <w:tcBorders>
              <w:top w:val="nil"/>
              <w:left w:val="nil"/>
              <w:bottom w:val="nil"/>
              <w:right w:val="nil"/>
            </w:tcBorders>
            <w:shd w:val="clear" w:color="000000" w:fill="FFFFFF"/>
            <w:noWrap/>
            <w:vAlign w:val="bottom"/>
            <w:hideMark/>
          </w:tcPr>
          <w:p w14:paraId="7565A74F" w14:textId="77777777" w:rsidR="003E71A0" w:rsidRPr="003E71A0" w:rsidRDefault="003E71A0" w:rsidP="003E71A0">
            <w:pPr>
              <w:spacing w:after="0" w:line="240" w:lineRule="auto"/>
              <w:rPr>
                <w:rFonts w:ascii="Calibri" w:eastAsia="Times New Roman" w:hAnsi="Calibri" w:cs="Calibri"/>
                <w:color w:val="000000"/>
                <w:lang w:eastAsia="es-ES"/>
              </w:rPr>
            </w:pPr>
            <w:r w:rsidRPr="003E71A0">
              <w:rPr>
                <w:rFonts w:ascii="Calibri" w:eastAsia="Times New Roman" w:hAnsi="Calibri" w:cs="Calibri"/>
                <w:color w:val="000000"/>
                <w:lang w:eastAsia="es-ES"/>
              </w:rPr>
              <w:t> </w:t>
            </w:r>
          </w:p>
        </w:tc>
      </w:tr>
    </w:tbl>
    <w:p w14:paraId="367CB78B" w14:textId="77777777" w:rsidR="003E71A0" w:rsidRDefault="003E71A0" w:rsidP="00BC2DA6">
      <w:pPr>
        <w:spacing w:line="480" w:lineRule="auto"/>
        <w:jc w:val="both"/>
        <w:rPr>
          <w:rFonts w:ascii="Arial" w:hAnsi="Arial" w:cs="Arial"/>
          <w:bCs/>
        </w:rPr>
      </w:pPr>
    </w:p>
    <w:p w14:paraId="2019CB05" w14:textId="77777777" w:rsidR="003E71A0" w:rsidRDefault="003E71A0" w:rsidP="00BC2DA6">
      <w:pPr>
        <w:spacing w:line="480" w:lineRule="auto"/>
        <w:jc w:val="both"/>
        <w:rPr>
          <w:rFonts w:ascii="Arial" w:hAnsi="Arial" w:cs="Arial"/>
          <w:bCs/>
        </w:rPr>
      </w:pPr>
    </w:p>
    <w:p w14:paraId="54DEE134" w14:textId="77777777" w:rsidR="003E71A0" w:rsidRDefault="003E71A0" w:rsidP="00BC2DA6">
      <w:pPr>
        <w:spacing w:line="480" w:lineRule="auto"/>
        <w:jc w:val="both"/>
        <w:rPr>
          <w:rFonts w:ascii="Arial" w:hAnsi="Arial" w:cs="Arial"/>
          <w:bCs/>
        </w:rPr>
      </w:pPr>
    </w:p>
    <w:p w14:paraId="7FC46556" w14:textId="77777777" w:rsidR="003E71A0" w:rsidRDefault="003E71A0" w:rsidP="00BC2DA6">
      <w:pPr>
        <w:spacing w:line="480" w:lineRule="auto"/>
        <w:jc w:val="both"/>
        <w:rPr>
          <w:rFonts w:ascii="Arial" w:hAnsi="Arial" w:cs="Arial"/>
          <w:bCs/>
        </w:rPr>
      </w:pPr>
    </w:p>
    <w:p w14:paraId="0149B576" w14:textId="77777777" w:rsidR="003E71A0" w:rsidRDefault="003E71A0" w:rsidP="00BC2DA6">
      <w:pPr>
        <w:spacing w:line="480" w:lineRule="auto"/>
        <w:jc w:val="both"/>
        <w:rPr>
          <w:rFonts w:ascii="Arial" w:hAnsi="Arial" w:cs="Arial"/>
          <w:bCs/>
        </w:rPr>
      </w:pPr>
    </w:p>
    <w:p w14:paraId="1EE40557" w14:textId="77777777" w:rsidR="003E71A0" w:rsidRDefault="003E71A0" w:rsidP="00BC2DA6">
      <w:pPr>
        <w:spacing w:line="480" w:lineRule="auto"/>
        <w:jc w:val="both"/>
        <w:rPr>
          <w:rFonts w:ascii="Arial" w:hAnsi="Arial" w:cs="Arial"/>
          <w:bCs/>
        </w:rPr>
      </w:pPr>
    </w:p>
    <w:p w14:paraId="004EE07B" w14:textId="0536040E" w:rsidR="00002B8B" w:rsidRDefault="00606623" w:rsidP="00446D01">
      <w:pPr>
        <w:spacing w:line="480" w:lineRule="auto"/>
        <w:rPr>
          <w:rFonts w:ascii="Arial" w:hAnsi="Arial" w:cs="Arial"/>
          <w:b/>
          <w:bCs/>
        </w:rPr>
      </w:pPr>
      <w:r w:rsidRPr="00446D01">
        <w:rPr>
          <w:rFonts w:ascii="Arial" w:hAnsi="Arial" w:cs="Arial"/>
          <w:b/>
          <w:bCs/>
        </w:rPr>
        <w:t>S</w:t>
      </w:r>
      <w:r w:rsidR="00A03B83" w:rsidRPr="00D26B40">
        <w:rPr>
          <w:rFonts w:ascii="Arial" w:hAnsi="Arial" w:cs="Arial"/>
          <w:b/>
          <w:bCs/>
        </w:rPr>
        <w:t>UPPLEMENTA</w:t>
      </w:r>
      <w:r w:rsidR="000372C5">
        <w:rPr>
          <w:rFonts w:ascii="Arial" w:hAnsi="Arial" w:cs="Arial"/>
          <w:b/>
          <w:bCs/>
        </w:rPr>
        <w:t>RY</w:t>
      </w:r>
      <w:r w:rsidR="00A03B83" w:rsidRPr="00D26B40">
        <w:rPr>
          <w:rFonts w:ascii="Arial" w:hAnsi="Arial" w:cs="Arial"/>
          <w:b/>
          <w:bCs/>
        </w:rPr>
        <w:t xml:space="preserve"> FIGURE</w:t>
      </w:r>
      <w:r w:rsidR="003E71A0">
        <w:rPr>
          <w:rFonts w:ascii="Arial" w:hAnsi="Arial" w:cs="Arial"/>
          <w:b/>
          <w:bCs/>
        </w:rPr>
        <w:t>S AND</w:t>
      </w:r>
      <w:r w:rsidR="00A03B83" w:rsidRPr="00D26B40">
        <w:rPr>
          <w:rFonts w:ascii="Arial" w:hAnsi="Arial" w:cs="Arial"/>
          <w:b/>
          <w:bCs/>
        </w:rPr>
        <w:t xml:space="preserve"> LEGENDS</w:t>
      </w:r>
    </w:p>
    <w:p w14:paraId="6166724D" w14:textId="386174C5" w:rsidR="00EA0E57" w:rsidRPr="00D26B40" w:rsidRDefault="00EA0E57" w:rsidP="00446D01">
      <w:pPr>
        <w:spacing w:line="480" w:lineRule="auto"/>
        <w:rPr>
          <w:rFonts w:ascii="Arial" w:hAnsi="Arial" w:cs="Arial"/>
          <w:b/>
          <w:bCs/>
        </w:rPr>
      </w:pPr>
      <w:r>
        <w:rPr>
          <w:rFonts w:ascii="Arial" w:hAnsi="Arial" w:cs="Arial"/>
          <w:b/>
          <w:bCs/>
          <w:noProof/>
        </w:rPr>
        <w:drawing>
          <wp:inline distT="0" distB="0" distL="0" distR="0" wp14:anchorId="4E5EED83" wp14:editId="61BC23C6">
            <wp:extent cx="6390000" cy="3506400"/>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90000" cy="3506400"/>
                    </a:xfrm>
                    <a:prstGeom prst="rect">
                      <a:avLst/>
                    </a:prstGeom>
                    <a:noFill/>
                  </pic:spPr>
                </pic:pic>
              </a:graphicData>
            </a:graphic>
          </wp:inline>
        </w:drawing>
      </w:r>
    </w:p>
    <w:p w14:paraId="2AC8FD3E" w14:textId="732B8F55" w:rsidR="00A03B83" w:rsidRDefault="00A03B83" w:rsidP="00A03B83">
      <w:pPr>
        <w:spacing w:line="480" w:lineRule="auto"/>
        <w:jc w:val="both"/>
        <w:rPr>
          <w:rFonts w:ascii="Arial" w:hAnsi="Arial" w:cs="Arial"/>
        </w:rPr>
      </w:pPr>
      <w:r w:rsidRPr="00421D64">
        <w:rPr>
          <w:rFonts w:ascii="Arial" w:hAnsi="Arial" w:cs="Arial"/>
          <w:b/>
          <w:bCs/>
        </w:rPr>
        <w:t>Supplementa</w:t>
      </w:r>
      <w:r w:rsidR="000372C5">
        <w:rPr>
          <w:rFonts w:ascii="Arial" w:hAnsi="Arial" w:cs="Arial"/>
          <w:b/>
          <w:bCs/>
        </w:rPr>
        <w:t>ry</w:t>
      </w:r>
      <w:r w:rsidRPr="00421D64">
        <w:rPr>
          <w:rFonts w:ascii="Arial" w:hAnsi="Arial" w:cs="Arial"/>
          <w:b/>
          <w:bCs/>
        </w:rPr>
        <w:t xml:space="preserve"> Figure </w:t>
      </w:r>
      <w:r w:rsidR="003803CA">
        <w:rPr>
          <w:rFonts w:ascii="Arial" w:hAnsi="Arial" w:cs="Arial"/>
          <w:b/>
          <w:bCs/>
        </w:rPr>
        <w:t>S</w:t>
      </w:r>
      <w:r w:rsidRPr="00421D64">
        <w:rPr>
          <w:rFonts w:ascii="Arial" w:hAnsi="Arial" w:cs="Arial"/>
          <w:b/>
          <w:bCs/>
        </w:rPr>
        <w:t xml:space="preserve">1. </w:t>
      </w:r>
      <w:r w:rsidRPr="00421D64">
        <w:rPr>
          <w:rFonts w:ascii="Arial" w:hAnsi="Arial" w:cs="Arial"/>
          <w:b/>
        </w:rPr>
        <w:t xml:space="preserve">Longitudinal analysis of the CCF of CNVs from paired B-CLL cells at diagnosis and progression before treatment. </w:t>
      </w:r>
      <w:r w:rsidRPr="00421D64">
        <w:rPr>
          <w:rFonts w:ascii="Arial" w:hAnsi="Arial" w:cs="Arial"/>
        </w:rPr>
        <w:t xml:space="preserve">Comparison of the CCF with 95% CI for each </w:t>
      </w:r>
      <w:r w:rsidR="00E3039F">
        <w:rPr>
          <w:rFonts w:ascii="Arial" w:hAnsi="Arial" w:cs="Arial"/>
        </w:rPr>
        <w:t>CNV</w:t>
      </w:r>
      <w:r w:rsidR="00EA0E57">
        <w:rPr>
          <w:rFonts w:ascii="Arial" w:hAnsi="Arial" w:cs="Arial"/>
        </w:rPr>
        <w:t xml:space="preserve"> detected per patient (n=10</w:t>
      </w:r>
      <w:r w:rsidRPr="00421D64">
        <w:rPr>
          <w:rFonts w:ascii="Arial" w:hAnsi="Arial" w:cs="Arial"/>
        </w:rPr>
        <w:t>) between diagnosis and progression. Significantly increased (red</w:t>
      </w:r>
      <w:r>
        <w:rPr>
          <w:rFonts w:ascii="Arial" w:hAnsi="Arial" w:cs="Arial"/>
        </w:rPr>
        <w:t xml:space="preserve"> lines</w:t>
      </w:r>
      <w:r w:rsidRPr="00421D64">
        <w:rPr>
          <w:rFonts w:ascii="Arial" w:hAnsi="Arial" w:cs="Arial"/>
        </w:rPr>
        <w:t>) and stable CCF (grey</w:t>
      </w:r>
      <w:r>
        <w:rPr>
          <w:rFonts w:ascii="Arial" w:hAnsi="Arial" w:cs="Arial"/>
        </w:rPr>
        <w:t xml:space="preserve"> lines</w:t>
      </w:r>
      <w:r w:rsidRPr="00421D64">
        <w:rPr>
          <w:rFonts w:ascii="Arial" w:hAnsi="Arial" w:cs="Arial"/>
        </w:rPr>
        <w:t>) are shown. Recurrent CNVs in CLL (del(13q), del(</w:t>
      </w:r>
      <w:r>
        <w:rPr>
          <w:rFonts w:ascii="Arial" w:hAnsi="Arial" w:cs="Arial"/>
        </w:rPr>
        <w:t>11q), del(17p) and tri(12)) are</w:t>
      </w:r>
      <w:r w:rsidRPr="00421D64">
        <w:rPr>
          <w:rFonts w:ascii="Arial" w:hAnsi="Arial" w:cs="Arial"/>
        </w:rPr>
        <w:t xml:space="preserve"> plotted with bold lines and labeled with CNV name: stable CCF (bold black) </w:t>
      </w:r>
      <w:r>
        <w:rPr>
          <w:rFonts w:ascii="Arial" w:hAnsi="Arial" w:cs="Arial"/>
        </w:rPr>
        <w:t>is</w:t>
      </w:r>
      <w:r w:rsidRPr="00421D64">
        <w:rPr>
          <w:rFonts w:ascii="Arial" w:hAnsi="Arial" w:cs="Arial"/>
        </w:rPr>
        <w:t xml:space="preserve"> shown.</w:t>
      </w:r>
    </w:p>
    <w:p w14:paraId="5EA32612" w14:textId="7D7E5638" w:rsidR="00EA0E57" w:rsidRPr="00421D64" w:rsidRDefault="00DA49CA" w:rsidP="00A03B83">
      <w:pPr>
        <w:spacing w:line="480" w:lineRule="auto"/>
        <w:jc w:val="both"/>
        <w:rPr>
          <w:rFonts w:ascii="Arial" w:hAnsi="Arial" w:cs="Arial"/>
          <w:b/>
          <w:bCs/>
        </w:rPr>
      </w:pPr>
      <w:r w:rsidRPr="00DA49CA">
        <w:rPr>
          <w:noProof/>
        </w:rPr>
        <w:lastRenderedPageBreak/>
        <w:drawing>
          <wp:inline distT="0" distB="0" distL="0" distR="0" wp14:anchorId="4F7356BD" wp14:editId="20E6789C">
            <wp:extent cx="5399666" cy="862012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5150"/>
                    <a:stretch/>
                  </pic:blipFill>
                  <pic:spPr bwMode="auto">
                    <a:xfrm>
                      <a:off x="0" y="0"/>
                      <a:ext cx="5400040" cy="8620722"/>
                    </a:xfrm>
                    <a:prstGeom prst="rect">
                      <a:avLst/>
                    </a:prstGeom>
                    <a:noFill/>
                    <a:ln>
                      <a:noFill/>
                    </a:ln>
                    <a:extLst>
                      <a:ext uri="{53640926-AAD7-44D8-BBD7-CCE9431645EC}">
                        <a14:shadowObscured xmlns:a14="http://schemas.microsoft.com/office/drawing/2010/main"/>
                      </a:ext>
                    </a:extLst>
                  </pic:spPr>
                </pic:pic>
              </a:graphicData>
            </a:graphic>
          </wp:inline>
        </w:drawing>
      </w:r>
    </w:p>
    <w:p w14:paraId="55939DCF" w14:textId="21FBF70F" w:rsidR="008A2DF3" w:rsidRPr="008A2DF3" w:rsidRDefault="00A03B83" w:rsidP="00A03B83">
      <w:pPr>
        <w:spacing w:line="480" w:lineRule="auto"/>
        <w:jc w:val="both"/>
        <w:rPr>
          <w:rFonts w:ascii="Arial" w:hAnsi="Arial" w:cs="Arial"/>
        </w:rPr>
      </w:pPr>
      <w:r w:rsidRPr="00421D64">
        <w:rPr>
          <w:rFonts w:ascii="Arial" w:hAnsi="Arial" w:cs="Arial"/>
          <w:b/>
          <w:bCs/>
        </w:rPr>
        <w:lastRenderedPageBreak/>
        <w:t>Supplementa</w:t>
      </w:r>
      <w:r w:rsidR="000372C5">
        <w:rPr>
          <w:rFonts w:ascii="Arial" w:hAnsi="Arial" w:cs="Arial"/>
          <w:b/>
          <w:bCs/>
        </w:rPr>
        <w:t>ry</w:t>
      </w:r>
      <w:r w:rsidRPr="00421D64">
        <w:rPr>
          <w:rFonts w:ascii="Arial" w:hAnsi="Arial" w:cs="Arial"/>
          <w:b/>
          <w:bCs/>
        </w:rPr>
        <w:t xml:space="preserve"> Figure </w:t>
      </w:r>
      <w:r w:rsidR="003803CA">
        <w:rPr>
          <w:rFonts w:ascii="Arial" w:hAnsi="Arial" w:cs="Arial"/>
          <w:b/>
          <w:bCs/>
        </w:rPr>
        <w:t>S</w:t>
      </w:r>
      <w:r w:rsidRPr="00421D64">
        <w:rPr>
          <w:rFonts w:ascii="Arial" w:hAnsi="Arial" w:cs="Arial"/>
          <w:b/>
          <w:bCs/>
        </w:rPr>
        <w:t>2. CD8</w:t>
      </w:r>
      <w:r w:rsidRPr="00421D64">
        <w:rPr>
          <w:rFonts w:ascii="Arial" w:hAnsi="Arial" w:cs="Arial"/>
          <w:b/>
          <w:bCs/>
          <w:vertAlign w:val="superscript"/>
        </w:rPr>
        <w:t>+</w:t>
      </w:r>
      <w:r w:rsidRPr="00421D64">
        <w:rPr>
          <w:rFonts w:ascii="Arial" w:hAnsi="Arial" w:cs="Arial"/>
          <w:b/>
          <w:bCs/>
        </w:rPr>
        <w:t xml:space="preserve"> T-cell differentiation subsets and PD1 expression in CD8</w:t>
      </w:r>
      <w:r w:rsidRPr="00421D64">
        <w:rPr>
          <w:rFonts w:ascii="Arial" w:hAnsi="Arial" w:cs="Arial"/>
          <w:b/>
          <w:bCs/>
          <w:vertAlign w:val="superscript"/>
        </w:rPr>
        <w:t>+</w:t>
      </w:r>
      <w:r w:rsidRPr="00421D64">
        <w:rPr>
          <w:rFonts w:ascii="Arial" w:hAnsi="Arial" w:cs="Arial"/>
          <w:b/>
          <w:bCs/>
        </w:rPr>
        <w:t xml:space="preserve"> T cells from progressing and non-progressing CLL patients. </w:t>
      </w:r>
      <w:r w:rsidR="008A2DF3">
        <w:rPr>
          <w:rFonts w:ascii="Arial" w:hAnsi="Arial" w:cs="Arial"/>
          <w:b/>
          <w:bCs/>
        </w:rPr>
        <w:t>a</w:t>
      </w:r>
      <w:r w:rsidRPr="00421D64">
        <w:rPr>
          <w:rFonts w:ascii="Arial" w:hAnsi="Arial" w:cs="Arial"/>
          <w:bCs/>
        </w:rPr>
        <w:t xml:space="preserve"> CD4/CD8 </w:t>
      </w:r>
      <w:r w:rsidR="00176966">
        <w:rPr>
          <w:rFonts w:ascii="Arial" w:hAnsi="Arial" w:cs="Arial"/>
          <w:bCs/>
        </w:rPr>
        <w:t>ratio</w:t>
      </w:r>
      <w:r w:rsidRPr="00421D64">
        <w:rPr>
          <w:rFonts w:ascii="Arial" w:hAnsi="Arial" w:cs="Arial"/>
          <w:bCs/>
        </w:rPr>
        <w:t xml:space="preserve"> in progressing (n=19) and non-progressing patients (n=10) at diagnosis and progression or non-progression.</w:t>
      </w:r>
      <w:r w:rsidRPr="00421D64">
        <w:rPr>
          <w:rFonts w:ascii="Arial" w:hAnsi="Arial" w:cs="Arial"/>
        </w:rPr>
        <w:t xml:space="preserve"> </w:t>
      </w:r>
      <w:r w:rsidR="008A2DF3">
        <w:rPr>
          <w:rFonts w:ascii="Arial" w:hAnsi="Arial" w:cs="Arial"/>
          <w:b/>
        </w:rPr>
        <w:t>b</w:t>
      </w:r>
      <w:r w:rsidRPr="00421D64">
        <w:rPr>
          <w:rFonts w:ascii="Arial" w:hAnsi="Arial" w:cs="Arial"/>
        </w:rPr>
        <w:t xml:space="preserve"> Absolute numbers of CD8</w:t>
      </w:r>
      <w:r w:rsidRPr="00421D64">
        <w:rPr>
          <w:rFonts w:ascii="Arial" w:hAnsi="Arial" w:cs="Arial"/>
          <w:vertAlign w:val="superscript"/>
        </w:rPr>
        <w:t>+</w:t>
      </w:r>
      <w:r w:rsidRPr="00421D64">
        <w:rPr>
          <w:rFonts w:ascii="Arial" w:hAnsi="Arial" w:cs="Arial"/>
        </w:rPr>
        <w:t xml:space="preserve"> T-cell differentiation subsets</w:t>
      </w:r>
      <w:r w:rsidRPr="00421D64">
        <w:rPr>
          <w:rFonts w:ascii="Arial" w:hAnsi="Arial" w:cs="Arial"/>
          <w:bCs/>
        </w:rPr>
        <w:t xml:space="preserve"> </w:t>
      </w:r>
      <w:r w:rsidRPr="00421D64">
        <w:rPr>
          <w:rFonts w:ascii="Arial" w:hAnsi="Arial" w:cs="Arial"/>
        </w:rPr>
        <w:t>(naïve: CCR7</w:t>
      </w:r>
      <w:r w:rsidRPr="00421D64">
        <w:rPr>
          <w:rFonts w:ascii="Arial" w:hAnsi="Arial" w:cs="Arial"/>
          <w:vertAlign w:val="superscript"/>
        </w:rPr>
        <w:t>+</w:t>
      </w:r>
      <w:r w:rsidRPr="00421D64">
        <w:rPr>
          <w:rFonts w:ascii="Arial" w:hAnsi="Arial" w:cs="Arial"/>
        </w:rPr>
        <w:t>CD45RA</w:t>
      </w:r>
      <w:r w:rsidRPr="00421D64">
        <w:rPr>
          <w:rFonts w:ascii="Arial" w:hAnsi="Arial" w:cs="Arial"/>
          <w:vertAlign w:val="superscript"/>
        </w:rPr>
        <w:t>+</w:t>
      </w:r>
      <w:r w:rsidRPr="00421D64">
        <w:rPr>
          <w:rFonts w:ascii="Arial" w:hAnsi="Arial" w:cs="Arial"/>
        </w:rPr>
        <w:t>; central memory, CM: CCR7</w:t>
      </w:r>
      <w:r w:rsidRPr="00421D64">
        <w:rPr>
          <w:rFonts w:ascii="Arial" w:hAnsi="Arial" w:cs="Arial"/>
          <w:vertAlign w:val="superscript"/>
        </w:rPr>
        <w:t>+</w:t>
      </w:r>
      <w:r w:rsidRPr="00421D64">
        <w:rPr>
          <w:rFonts w:ascii="Arial" w:hAnsi="Arial" w:cs="Arial"/>
        </w:rPr>
        <w:t>CD45RA</w:t>
      </w:r>
      <w:r w:rsidRPr="00421D64">
        <w:rPr>
          <w:rFonts w:ascii="Arial" w:hAnsi="Arial" w:cs="Arial"/>
          <w:vertAlign w:val="superscript"/>
        </w:rPr>
        <w:t>-</w:t>
      </w:r>
      <w:r w:rsidRPr="00421D64">
        <w:rPr>
          <w:rFonts w:ascii="Arial" w:hAnsi="Arial" w:cs="Arial"/>
        </w:rPr>
        <w:t>; effector memory, EM: CCR7</w:t>
      </w:r>
      <w:r w:rsidRPr="00421D64">
        <w:rPr>
          <w:rFonts w:ascii="Arial" w:hAnsi="Arial" w:cs="Arial"/>
          <w:vertAlign w:val="superscript"/>
        </w:rPr>
        <w:t>-</w:t>
      </w:r>
      <w:r w:rsidRPr="00421D64">
        <w:rPr>
          <w:rFonts w:ascii="Arial" w:hAnsi="Arial" w:cs="Arial"/>
        </w:rPr>
        <w:t>CD45RA</w:t>
      </w:r>
      <w:r w:rsidRPr="00421D64">
        <w:rPr>
          <w:rFonts w:ascii="Arial" w:hAnsi="Arial" w:cs="Arial"/>
          <w:vertAlign w:val="superscript"/>
        </w:rPr>
        <w:t>-</w:t>
      </w:r>
      <w:r w:rsidRPr="00421D64">
        <w:rPr>
          <w:rFonts w:ascii="Arial" w:hAnsi="Arial" w:cs="Arial"/>
        </w:rPr>
        <w:t xml:space="preserve"> and EM CD45RA</w:t>
      </w:r>
      <w:r w:rsidRPr="00421D64">
        <w:rPr>
          <w:rFonts w:ascii="Arial" w:hAnsi="Arial" w:cs="Arial"/>
          <w:vertAlign w:val="superscript"/>
        </w:rPr>
        <w:t>+</w:t>
      </w:r>
      <w:r w:rsidRPr="00421D64">
        <w:rPr>
          <w:rFonts w:ascii="Arial" w:hAnsi="Arial" w:cs="Arial"/>
        </w:rPr>
        <w:t>, EMRA: CCR7</w:t>
      </w:r>
      <w:r w:rsidRPr="00421D64">
        <w:rPr>
          <w:rFonts w:ascii="Arial" w:hAnsi="Arial" w:cs="Arial"/>
          <w:vertAlign w:val="superscript"/>
        </w:rPr>
        <w:t>-</w:t>
      </w:r>
      <w:r w:rsidRPr="00421D64">
        <w:rPr>
          <w:rFonts w:ascii="Arial" w:hAnsi="Arial" w:cs="Arial"/>
        </w:rPr>
        <w:t>CD45RA</w:t>
      </w:r>
      <w:r w:rsidRPr="00421D64">
        <w:rPr>
          <w:rFonts w:ascii="Arial" w:hAnsi="Arial" w:cs="Arial"/>
          <w:vertAlign w:val="superscript"/>
        </w:rPr>
        <w:t>+</w:t>
      </w:r>
      <w:r w:rsidRPr="00421D64">
        <w:rPr>
          <w:rFonts w:ascii="Arial" w:hAnsi="Arial" w:cs="Arial"/>
        </w:rPr>
        <w:t xml:space="preserve">) </w:t>
      </w:r>
      <w:r w:rsidRPr="00421D64">
        <w:rPr>
          <w:rFonts w:ascii="Arial" w:hAnsi="Arial" w:cs="Arial"/>
          <w:bCs/>
        </w:rPr>
        <w:t>in progressing (n=19) and non-progressing patients (n=10) at diagnosis and progression or non-progression</w:t>
      </w:r>
      <w:r w:rsidR="00176966" w:rsidRPr="00176966">
        <w:rPr>
          <w:rFonts w:ascii="Arial" w:hAnsi="Arial" w:cs="Arial"/>
          <w:bCs/>
        </w:rPr>
        <w:t>.</w:t>
      </w:r>
      <w:r w:rsidRPr="00421D64">
        <w:rPr>
          <w:rFonts w:ascii="Arial" w:hAnsi="Arial" w:cs="Arial"/>
        </w:rPr>
        <w:t xml:space="preserve"> </w:t>
      </w:r>
      <w:r w:rsidR="008A2DF3">
        <w:rPr>
          <w:rFonts w:ascii="Arial" w:hAnsi="Arial" w:cs="Arial"/>
          <w:b/>
        </w:rPr>
        <w:t>c</w:t>
      </w:r>
      <w:r w:rsidRPr="00421D64">
        <w:rPr>
          <w:rFonts w:ascii="Arial" w:hAnsi="Arial" w:cs="Arial"/>
        </w:rPr>
        <w:t xml:space="preserve"> Absolute numbers of PD1</w:t>
      </w:r>
      <w:r w:rsidRPr="00421D64">
        <w:rPr>
          <w:rFonts w:ascii="Arial" w:hAnsi="Arial" w:cs="Arial"/>
          <w:vertAlign w:val="superscript"/>
        </w:rPr>
        <w:t>+</w:t>
      </w:r>
      <w:r w:rsidRPr="00421D64">
        <w:rPr>
          <w:rFonts w:ascii="Arial" w:hAnsi="Arial" w:cs="Arial"/>
        </w:rPr>
        <w:t>CD8</w:t>
      </w:r>
      <w:r w:rsidRPr="00421D64">
        <w:rPr>
          <w:rFonts w:ascii="Arial" w:hAnsi="Arial" w:cs="Arial"/>
          <w:vertAlign w:val="superscript"/>
        </w:rPr>
        <w:t>+</w:t>
      </w:r>
      <w:r w:rsidRPr="00421D64">
        <w:rPr>
          <w:rFonts w:ascii="Arial" w:hAnsi="Arial" w:cs="Arial"/>
        </w:rPr>
        <w:t xml:space="preserve"> T cells</w:t>
      </w:r>
      <w:r w:rsidRPr="00421D64">
        <w:rPr>
          <w:rFonts w:ascii="Arial" w:hAnsi="Arial" w:cs="Arial"/>
          <w:bCs/>
        </w:rPr>
        <w:t xml:space="preserve"> in progressing (left, n=19) and non-progressing patients (middle, n=10) at diagnosis and progression or non-progression.</w:t>
      </w:r>
      <w:r w:rsidRPr="00421D64">
        <w:rPr>
          <w:rFonts w:ascii="Arial" w:hAnsi="Arial" w:cs="Arial"/>
        </w:rPr>
        <w:t xml:space="preserve"> Fold change of PD1</w:t>
      </w:r>
      <w:r w:rsidRPr="00421D64">
        <w:rPr>
          <w:rFonts w:ascii="Arial" w:hAnsi="Arial" w:cs="Arial"/>
          <w:vertAlign w:val="superscript"/>
        </w:rPr>
        <w:t>+</w:t>
      </w:r>
      <w:r w:rsidRPr="00421D64">
        <w:rPr>
          <w:rFonts w:ascii="Arial" w:hAnsi="Arial" w:cs="Arial"/>
        </w:rPr>
        <w:t>CD8</w:t>
      </w:r>
      <w:r w:rsidRPr="00421D64">
        <w:rPr>
          <w:rFonts w:ascii="Arial" w:hAnsi="Arial" w:cs="Arial"/>
          <w:vertAlign w:val="superscript"/>
        </w:rPr>
        <w:t>+</w:t>
      </w:r>
      <w:r w:rsidRPr="00421D64">
        <w:rPr>
          <w:rFonts w:ascii="Arial" w:hAnsi="Arial" w:cs="Arial"/>
        </w:rPr>
        <w:t xml:space="preserve"> T cells</w:t>
      </w:r>
      <w:r w:rsidRPr="00421D64">
        <w:rPr>
          <w:rFonts w:ascii="Arial" w:hAnsi="Arial" w:cs="Arial"/>
          <w:bCs/>
        </w:rPr>
        <w:t xml:space="preserve"> </w:t>
      </w:r>
      <w:r>
        <w:rPr>
          <w:rFonts w:ascii="Arial" w:hAnsi="Arial" w:cs="Arial"/>
          <w:bCs/>
        </w:rPr>
        <w:t xml:space="preserve">between time points </w:t>
      </w:r>
      <w:r w:rsidRPr="00421D64">
        <w:rPr>
          <w:rFonts w:ascii="Arial" w:hAnsi="Arial" w:cs="Arial"/>
        </w:rPr>
        <w:t xml:space="preserve">comparing progressing and non-progressing patients (right). </w:t>
      </w:r>
      <w:r w:rsidR="008A2DF3" w:rsidRPr="008A2DF3">
        <w:rPr>
          <w:rFonts w:ascii="Arial" w:hAnsi="Arial" w:cs="Arial"/>
          <w:b/>
        </w:rPr>
        <w:t>d</w:t>
      </w:r>
      <w:r w:rsidR="008A2DF3">
        <w:rPr>
          <w:rFonts w:ascii="Arial" w:hAnsi="Arial" w:cs="Arial"/>
        </w:rPr>
        <w:t xml:space="preserve"> Percentage of PD1</w:t>
      </w:r>
      <w:r w:rsidR="008A2DF3" w:rsidRPr="004B5E8B">
        <w:rPr>
          <w:rFonts w:ascii="Arial" w:hAnsi="Arial" w:cs="Arial"/>
          <w:vertAlign w:val="superscript"/>
        </w:rPr>
        <w:t>+</w:t>
      </w:r>
      <w:r w:rsidR="008A2DF3">
        <w:rPr>
          <w:rFonts w:ascii="Arial" w:hAnsi="Arial" w:cs="Arial"/>
        </w:rPr>
        <w:t>CD244</w:t>
      </w:r>
      <w:r w:rsidR="008A2DF3" w:rsidRPr="004B5E8B">
        <w:rPr>
          <w:rFonts w:ascii="Arial" w:hAnsi="Arial" w:cs="Arial"/>
          <w:vertAlign w:val="superscript"/>
        </w:rPr>
        <w:t>+</w:t>
      </w:r>
      <w:r w:rsidR="008A2DF3">
        <w:rPr>
          <w:rFonts w:ascii="Arial" w:hAnsi="Arial" w:cs="Arial"/>
        </w:rPr>
        <w:t xml:space="preserve"> CD8</w:t>
      </w:r>
      <w:r w:rsidR="008A2DF3" w:rsidRPr="004B5E8B">
        <w:rPr>
          <w:rFonts w:ascii="Arial" w:hAnsi="Arial" w:cs="Arial"/>
          <w:vertAlign w:val="superscript"/>
        </w:rPr>
        <w:t>+</w:t>
      </w:r>
      <w:r w:rsidR="008A2DF3">
        <w:rPr>
          <w:rFonts w:ascii="Arial" w:hAnsi="Arial" w:cs="Arial"/>
        </w:rPr>
        <w:t xml:space="preserve"> T cells in </w:t>
      </w:r>
      <w:r w:rsidR="008A2DF3" w:rsidRPr="00421D64">
        <w:rPr>
          <w:rFonts w:ascii="Arial" w:hAnsi="Arial" w:cs="Arial"/>
          <w:bCs/>
        </w:rPr>
        <w:t>progressing (left, n=1</w:t>
      </w:r>
      <w:r w:rsidR="008A2DF3">
        <w:rPr>
          <w:rFonts w:ascii="Arial" w:hAnsi="Arial" w:cs="Arial"/>
          <w:bCs/>
        </w:rPr>
        <w:t>2</w:t>
      </w:r>
      <w:r w:rsidR="008A2DF3" w:rsidRPr="00421D64">
        <w:rPr>
          <w:rFonts w:ascii="Arial" w:hAnsi="Arial" w:cs="Arial"/>
          <w:bCs/>
        </w:rPr>
        <w:t>) and non-progressing patients (middle, n=</w:t>
      </w:r>
      <w:r w:rsidR="008A2DF3">
        <w:rPr>
          <w:rFonts w:ascii="Arial" w:hAnsi="Arial" w:cs="Arial"/>
          <w:bCs/>
        </w:rPr>
        <w:t>9</w:t>
      </w:r>
      <w:r w:rsidR="008A2DF3" w:rsidRPr="00421D64">
        <w:rPr>
          <w:rFonts w:ascii="Arial" w:hAnsi="Arial" w:cs="Arial"/>
          <w:bCs/>
        </w:rPr>
        <w:t>) at diagnosis and progression or non-progression.</w:t>
      </w:r>
      <w:r w:rsidR="008A2DF3" w:rsidRPr="00421D64">
        <w:rPr>
          <w:rFonts w:ascii="Arial" w:hAnsi="Arial" w:cs="Arial"/>
        </w:rPr>
        <w:t xml:space="preserve"> Fold change of PD1</w:t>
      </w:r>
      <w:r w:rsidR="008A2DF3" w:rsidRPr="00421D64">
        <w:rPr>
          <w:rFonts w:ascii="Arial" w:hAnsi="Arial" w:cs="Arial"/>
          <w:vertAlign w:val="superscript"/>
        </w:rPr>
        <w:t>+</w:t>
      </w:r>
      <w:r w:rsidR="008A2DF3" w:rsidRPr="004B5E8B">
        <w:rPr>
          <w:rFonts w:ascii="Arial" w:hAnsi="Arial" w:cs="Arial"/>
        </w:rPr>
        <w:t>CD244</w:t>
      </w:r>
      <w:r w:rsidR="008A2DF3">
        <w:rPr>
          <w:rFonts w:ascii="Arial" w:hAnsi="Arial" w:cs="Arial"/>
          <w:vertAlign w:val="superscript"/>
        </w:rPr>
        <w:t>+</w:t>
      </w:r>
      <w:r w:rsidR="008A2DF3" w:rsidRPr="00421D64">
        <w:rPr>
          <w:rFonts w:ascii="Arial" w:hAnsi="Arial" w:cs="Arial"/>
        </w:rPr>
        <w:t>CD8</w:t>
      </w:r>
      <w:r w:rsidR="008A2DF3" w:rsidRPr="00421D64">
        <w:rPr>
          <w:rFonts w:ascii="Arial" w:hAnsi="Arial" w:cs="Arial"/>
          <w:vertAlign w:val="superscript"/>
        </w:rPr>
        <w:t>+</w:t>
      </w:r>
      <w:r w:rsidR="008A2DF3" w:rsidRPr="00421D64">
        <w:rPr>
          <w:rFonts w:ascii="Arial" w:hAnsi="Arial" w:cs="Arial"/>
        </w:rPr>
        <w:t xml:space="preserve"> T cells</w:t>
      </w:r>
      <w:r w:rsidR="008A2DF3" w:rsidRPr="00421D64">
        <w:rPr>
          <w:rFonts w:ascii="Arial" w:hAnsi="Arial" w:cs="Arial"/>
          <w:bCs/>
        </w:rPr>
        <w:t xml:space="preserve"> </w:t>
      </w:r>
      <w:r w:rsidR="008A2DF3">
        <w:rPr>
          <w:rFonts w:ascii="Arial" w:hAnsi="Arial" w:cs="Arial"/>
          <w:bCs/>
        </w:rPr>
        <w:t xml:space="preserve">between time points </w:t>
      </w:r>
      <w:r w:rsidR="008A2DF3" w:rsidRPr="00421D64">
        <w:rPr>
          <w:rFonts w:ascii="Arial" w:hAnsi="Arial" w:cs="Arial"/>
        </w:rPr>
        <w:t>comparing progressing and non-progressing patients (right)</w:t>
      </w:r>
      <w:r w:rsidR="008A2DF3">
        <w:rPr>
          <w:rFonts w:ascii="Arial" w:hAnsi="Arial" w:cs="Arial"/>
        </w:rPr>
        <w:t xml:space="preserve">. </w:t>
      </w:r>
      <w:r w:rsidR="008A2DF3" w:rsidRPr="008A2DF3">
        <w:rPr>
          <w:rFonts w:ascii="Arial" w:hAnsi="Arial" w:cs="Arial"/>
          <w:b/>
        </w:rPr>
        <w:t>e</w:t>
      </w:r>
      <w:r w:rsidR="008A2DF3">
        <w:rPr>
          <w:rFonts w:ascii="Arial" w:hAnsi="Arial" w:cs="Arial"/>
        </w:rPr>
        <w:t xml:space="preserve"> Percentage of PD1</w:t>
      </w:r>
      <w:r w:rsidR="008A2DF3" w:rsidRPr="004B5E8B">
        <w:rPr>
          <w:rFonts w:ascii="Arial" w:hAnsi="Arial" w:cs="Arial"/>
          <w:vertAlign w:val="superscript"/>
        </w:rPr>
        <w:t>+</w:t>
      </w:r>
      <w:r w:rsidR="008A2DF3">
        <w:rPr>
          <w:rFonts w:ascii="Arial" w:hAnsi="Arial" w:cs="Arial"/>
        </w:rPr>
        <w:t>160</w:t>
      </w:r>
      <w:r w:rsidR="008A2DF3" w:rsidRPr="004B5E8B">
        <w:rPr>
          <w:rFonts w:ascii="Arial" w:hAnsi="Arial" w:cs="Arial"/>
          <w:vertAlign w:val="superscript"/>
        </w:rPr>
        <w:t>+</w:t>
      </w:r>
      <w:r w:rsidR="008A2DF3">
        <w:rPr>
          <w:rFonts w:ascii="Arial" w:hAnsi="Arial" w:cs="Arial"/>
        </w:rPr>
        <w:t xml:space="preserve"> CD8</w:t>
      </w:r>
      <w:r w:rsidR="008A2DF3" w:rsidRPr="004B5E8B">
        <w:rPr>
          <w:rFonts w:ascii="Arial" w:hAnsi="Arial" w:cs="Arial"/>
          <w:vertAlign w:val="superscript"/>
        </w:rPr>
        <w:t>+</w:t>
      </w:r>
      <w:r w:rsidR="00E26106">
        <w:rPr>
          <w:rFonts w:ascii="Arial" w:hAnsi="Arial" w:cs="Arial"/>
        </w:rPr>
        <w:t xml:space="preserve"> T cells in </w:t>
      </w:r>
      <w:r w:rsidR="008A2DF3" w:rsidRPr="00421D64">
        <w:rPr>
          <w:rFonts w:ascii="Arial" w:hAnsi="Arial" w:cs="Arial"/>
          <w:bCs/>
        </w:rPr>
        <w:t>progressing (left, n=1</w:t>
      </w:r>
      <w:r w:rsidR="008A2DF3">
        <w:rPr>
          <w:rFonts w:ascii="Arial" w:hAnsi="Arial" w:cs="Arial"/>
          <w:bCs/>
        </w:rPr>
        <w:t>2</w:t>
      </w:r>
      <w:r w:rsidR="008A2DF3" w:rsidRPr="00421D64">
        <w:rPr>
          <w:rFonts w:ascii="Arial" w:hAnsi="Arial" w:cs="Arial"/>
          <w:bCs/>
        </w:rPr>
        <w:t>) and non-progressing patients (middle, n=</w:t>
      </w:r>
      <w:r w:rsidR="008A2DF3">
        <w:rPr>
          <w:rFonts w:ascii="Arial" w:hAnsi="Arial" w:cs="Arial"/>
          <w:bCs/>
        </w:rPr>
        <w:t>9</w:t>
      </w:r>
      <w:r w:rsidR="00E26106">
        <w:rPr>
          <w:rFonts w:ascii="Arial" w:hAnsi="Arial" w:cs="Arial"/>
          <w:bCs/>
        </w:rPr>
        <w:t xml:space="preserve">) </w:t>
      </w:r>
      <w:r w:rsidR="008A2DF3" w:rsidRPr="00421D64">
        <w:rPr>
          <w:rFonts w:ascii="Arial" w:hAnsi="Arial" w:cs="Arial"/>
          <w:bCs/>
        </w:rPr>
        <w:t>at diagnosis and progression or non-progression.</w:t>
      </w:r>
      <w:r w:rsidR="00E26106">
        <w:rPr>
          <w:rFonts w:ascii="Arial" w:hAnsi="Arial" w:cs="Arial"/>
          <w:bCs/>
        </w:rPr>
        <w:t xml:space="preserve"> </w:t>
      </w:r>
      <w:r w:rsidR="008A2DF3" w:rsidRPr="00421D64">
        <w:rPr>
          <w:rFonts w:ascii="Arial" w:hAnsi="Arial" w:cs="Arial"/>
        </w:rPr>
        <w:t>Fold change of PD1</w:t>
      </w:r>
      <w:r w:rsidR="008A2DF3" w:rsidRPr="00421D64">
        <w:rPr>
          <w:rFonts w:ascii="Arial" w:hAnsi="Arial" w:cs="Arial"/>
          <w:vertAlign w:val="superscript"/>
        </w:rPr>
        <w:t>+</w:t>
      </w:r>
      <w:r w:rsidR="008A2DF3" w:rsidRPr="004B5E8B">
        <w:rPr>
          <w:rFonts w:ascii="Arial" w:hAnsi="Arial" w:cs="Arial"/>
        </w:rPr>
        <w:t>CD160</w:t>
      </w:r>
      <w:r w:rsidR="008A2DF3">
        <w:rPr>
          <w:rFonts w:ascii="Arial" w:hAnsi="Arial" w:cs="Arial"/>
          <w:vertAlign w:val="superscript"/>
        </w:rPr>
        <w:t>+</w:t>
      </w:r>
      <w:r w:rsidR="008A2DF3" w:rsidRPr="00421D64">
        <w:rPr>
          <w:rFonts w:ascii="Arial" w:hAnsi="Arial" w:cs="Arial"/>
        </w:rPr>
        <w:t>CD8</w:t>
      </w:r>
      <w:r w:rsidR="008A2DF3" w:rsidRPr="00421D64">
        <w:rPr>
          <w:rFonts w:ascii="Arial" w:hAnsi="Arial" w:cs="Arial"/>
          <w:vertAlign w:val="superscript"/>
        </w:rPr>
        <w:t>+</w:t>
      </w:r>
      <w:r w:rsidR="008A2DF3" w:rsidRPr="00421D64">
        <w:rPr>
          <w:rFonts w:ascii="Arial" w:hAnsi="Arial" w:cs="Arial"/>
        </w:rPr>
        <w:t xml:space="preserve"> T cells</w:t>
      </w:r>
      <w:r w:rsidR="008A2DF3" w:rsidRPr="00421D64">
        <w:rPr>
          <w:rFonts w:ascii="Arial" w:hAnsi="Arial" w:cs="Arial"/>
          <w:bCs/>
        </w:rPr>
        <w:t xml:space="preserve"> </w:t>
      </w:r>
      <w:r w:rsidR="008A2DF3">
        <w:rPr>
          <w:rFonts w:ascii="Arial" w:hAnsi="Arial" w:cs="Arial"/>
          <w:bCs/>
        </w:rPr>
        <w:t xml:space="preserve">between time points </w:t>
      </w:r>
      <w:r w:rsidR="008A2DF3" w:rsidRPr="00421D64">
        <w:rPr>
          <w:rFonts w:ascii="Arial" w:hAnsi="Arial" w:cs="Arial"/>
        </w:rPr>
        <w:t>comparing progressing and non-progressing patients (right)</w:t>
      </w:r>
      <w:r w:rsidR="008A2DF3">
        <w:rPr>
          <w:rFonts w:ascii="Arial" w:hAnsi="Arial" w:cs="Arial"/>
        </w:rPr>
        <w:t xml:space="preserve">. </w:t>
      </w:r>
      <w:r w:rsidR="008A2DF3" w:rsidRPr="008A2DF3">
        <w:rPr>
          <w:rFonts w:ascii="Arial" w:hAnsi="Arial" w:cs="Arial"/>
          <w:b/>
        </w:rPr>
        <w:t>f</w:t>
      </w:r>
      <w:r w:rsidR="008A2DF3">
        <w:rPr>
          <w:rFonts w:ascii="Arial" w:hAnsi="Arial" w:cs="Arial"/>
          <w:b/>
        </w:rPr>
        <w:t xml:space="preserve"> </w:t>
      </w:r>
      <w:r w:rsidR="008A2DF3">
        <w:rPr>
          <w:rFonts w:ascii="Arial" w:hAnsi="Arial" w:cs="Arial"/>
        </w:rPr>
        <w:t>Density plots of PD1</w:t>
      </w:r>
      <w:r w:rsidR="004B5E8B">
        <w:rPr>
          <w:rFonts w:ascii="Arial" w:hAnsi="Arial" w:cs="Arial"/>
        </w:rPr>
        <w:t>,</w:t>
      </w:r>
      <w:r w:rsidR="008A2DF3">
        <w:rPr>
          <w:rFonts w:ascii="Arial" w:hAnsi="Arial" w:cs="Arial"/>
        </w:rPr>
        <w:t xml:space="preserve"> CD160 and CD244 coexpression in </w:t>
      </w:r>
      <w:r w:rsidR="00E46674" w:rsidRPr="00421D64">
        <w:rPr>
          <w:rFonts w:ascii="Arial" w:hAnsi="Arial" w:cs="Arial"/>
        </w:rPr>
        <w:t>CD8</w:t>
      </w:r>
      <w:r w:rsidR="00E46674" w:rsidRPr="00421D64">
        <w:rPr>
          <w:rFonts w:ascii="Arial" w:hAnsi="Arial" w:cs="Arial"/>
          <w:vertAlign w:val="superscript"/>
        </w:rPr>
        <w:t>+</w:t>
      </w:r>
      <w:r w:rsidR="00E46674">
        <w:rPr>
          <w:rFonts w:ascii="Arial" w:hAnsi="Arial" w:cs="Arial"/>
          <w:vertAlign w:val="superscript"/>
        </w:rPr>
        <w:t xml:space="preserve"> </w:t>
      </w:r>
      <w:r w:rsidR="008A2DF3">
        <w:rPr>
          <w:rFonts w:ascii="Arial" w:hAnsi="Arial" w:cs="Arial"/>
        </w:rPr>
        <w:t xml:space="preserve">T cells in representative patients at diagnosis and progression and at diagnosis and non-progression. </w:t>
      </w:r>
      <w:r w:rsidR="00C511B6">
        <w:rPr>
          <w:rFonts w:ascii="Arial" w:hAnsi="Arial" w:cs="Arial"/>
        </w:rPr>
        <w:t>Graphs show mean ± SEM or paired values (</w:t>
      </w:r>
      <w:r w:rsidR="00C511B6" w:rsidRPr="004F2FD7">
        <w:rPr>
          <w:rFonts w:ascii="Arial" w:hAnsi="Arial" w:cs="Arial"/>
        </w:rPr>
        <w:t>*P&lt;0.05; **P&lt;0.01; ***P&lt;0.001</w:t>
      </w:r>
      <w:r w:rsidR="00C511B6">
        <w:rPr>
          <w:rFonts w:ascii="Arial" w:hAnsi="Arial" w:cs="Arial"/>
        </w:rPr>
        <w:t>; Wilcoxon matched paired test or Mann-Whitney test)</w:t>
      </w:r>
      <w:r w:rsidR="00DD7E8B">
        <w:rPr>
          <w:rFonts w:ascii="Arial" w:hAnsi="Arial" w:cs="Arial"/>
        </w:rPr>
        <w:t>.</w:t>
      </w:r>
    </w:p>
    <w:p w14:paraId="49E385F4" w14:textId="77777777" w:rsidR="00002B8B" w:rsidRDefault="00002B8B" w:rsidP="00A03B83">
      <w:pPr>
        <w:spacing w:line="480" w:lineRule="auto"/>
        <w:jc w:val="both"/>
        <w:rPr>
          <w:rFonts w:ascii="Arial" w:hAnsi="Arial" w:cs="Arial"/>
        </w:rPr>
      </w:pPr>
    </w:p>
    <w:p w14:paraId="1BCB1E41" w14:textId="28BE57B5" w:rsidR="00EA0E57" w:rsidRPr="00365FE1" w:rsidRDefault="00EA0E57" w:rsidP="00EA0E57">
      <w:pPr>
        <w:spacing w:line="480" w:lineRule="auto"/>
        <w:jc w:val="center"/>
        <w:rPr>
          <w:rFonts w:ascii="Arial" w:hAnsi="Arial" w:cs="Arial"/>
          <w:b/>
        </w:rPr>
      </w:pPr>
      <w:r>
        <w:rPr>
          <w:rFonts w:ascii="Arial" w:hAnsi="Arial" w:cs="Arial"/>
          <w:b/>
          <w:noProof/>
        </w:rPr>
        <w:lastRenderedPageBreak/>
        <w:drawing>
          <wp:inline distT="0" distB="0" distL="0" distR="0" wp14:anchorId="3182FC83" wp14:editId="2E87C828">
            <wp:extent cx="4330800" cy="3762000"/>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0800" cy="3762000"/>
                    </a:xfrm>
                    <a:prstGeom prst="rect">
                      <a:avLst/>
                    </a:prstGeom>
                    <a:noFill/>
                  </pic:spPr>
                </pic:pic>
              </a:graphicData>
            </a:graphic>
          </wp:inline>
        </w:drawing>
      </w:r>
    </w:p>
    <w:p w14:paraId="771011BC" w14:textId="26591AF3" w:rsidR="00A03B83" w:rsidRDefault="00A03B83" w:rsidP="00A03B83">
      <w:pPr>
        <w:spacing w:line="480" w:lineRule="auto"/>
        <w:jc w:val="both"/>
        <w:rPr>
          <w:rFonts w:ascii="Arial" w:hAnsi="Arial" w:cs="Arial"/>
        </w:rPr>
      </w:pPr>
      <w:r w:rsidRPr="00421D64">
        <w:rPr>
          <w:rFonts w:ascii="Arial" w:hAnsi="Arial" w:cs="Arial"/>
          <w:b/>
        </w:rPr>
        <w:t>Supplementa</w:t>
      </w:r>
      <w:r w:rsidR="000372C5">
        <w:rPr>
          <w:rFonts w:ascii="Arial" w:hAnsi="Arial" w:cs="Arial"/>
          <w:b/>
        </w:rPr>
        <w:t>ry</w:t>
      </w:r>
      <w:r w:rsidRPr="00421D64">
        <w:rPr>
          <w:rFonts w:ascii="Arial" w:hAnsi="Arial" w:cs="Arial"/>
          <w:b/>
        </w:rPr>
        <w:t xml:space="preserve"> Figure </w:t>
      </w:r>
      <w:r w:rsidR="003803CA">
        <w:rPr>
          <w:rFonts w:ascii="Arial" w:hAnsi="Arial" w:cs="Arial"/>
          <w:b/>
        </w:rPr>
        <w:t>S</w:t>
      </w:r>
      <w:r w:rsidRPr="00421D64">
        <w:rPr>
          <w:rFonts w:ascii="Arial" w:hAnsi="Arial" w:cs="Arial"/>
          <w:b/>
        </w:rPr>
        <w:t>3.</w:t>
      </w:r>
      <w:r w:rsidRPr="00421D64">
        <w:rPr>
          <w:rFonts w:ascii="Arial" w:hAnsi="Arial" w:cs="Arial"/>
        </w:rPr>
        <w:t xml:space="preserve"> </w:t>
      </w:r>
      <w:r w:rsidRPr="00421D64">
        <w:rPr>
          <w:rFonts w:ascii="Arial" w:hAnsi="Arial" w:cs="Arial"/>
          <w:b/>
        </w:rPr>
        <w:t>Flow cytometric analysis of progenitor and terminal CD8</w:t>
      </w:r>
      <w:r w:rsidRPr="00421D64">
        <w:rPr>
          <w:rFonts w:ascii="Arial" w:hAnsi="Arial" w:cs="Arial"/>
          <w:b/>
          <w:vertAlign w:val="superscript"/>
        </w:rPr>
        <w:t>+</w:t>
      </w:r>
      <w:r w:rsidRPr="00421D64">
        <w:rPr>
          <w:rFonts w:ascii="Arial" w:hAnsi="Arial" w:cs="Arial"/>
          <w:b/>
        </w:rPr>
        <w:t xml:space="preserve"> subsets.</w:t>
      </w:r>
      <w:r w:rsidRPr="00421D64">
        <w:rPr>
          <w:rFonts w:ascii="Arial" w:hAnsi="Arial" w:cs="Arial"/>
        </w:rPr>
        <w:t xml:space="preserve"> Gating strategy followed for the identification of T-bet</w:t>
      </w:r>
      <w:r w:rsidRPr="00421D64">
        <w:rPr>
          <w:rFonts w:ascii="Arial" w:hAnsi="Arial" w:cs="Arial"/>
          <w:vertAlign w:val="superscript"/>
        </w:rPr>
        <w:t>hi</w:t>
      </w:r>
      <w:r w:rsidRPr="00421D64">
        <w:rPr>
          <w:rFonts w:ascii="Arial" w:hAnsi="Arial" w:cs="Arial"/>
        </w:rPr>
        <w:t>Eomes</w:t>
      </w:r>
      <w:r w:rsidRPr="00421D64">
        <w:rPr>
          <w:rFonts w:ascii="Arial" w:hAnsi="Arial" w:cs="Arial"/>
          <w:vertAlign w:val="superscript"/>
        </w:rPr>
        <w:t>dim/-</w:t>
      </w:r>
      <w:r w:rsidRPr="00421D64">
        <w:rPr>
          <w:rFonts w:ascii="Arial" w:hAnsi="Arial" w:cs="Arial"/>
        </w:rPr>
        <w:t>PD1</w:t>
      </w:r>
      <w:r w:rsidRPr="00421D64">
        <w:rPr>
          <w:rFonts w:ascii="Arial" w:hAnsi="Arial" w:cs="Arial"/>
          <w:vertAlign w:val="superscript"/>
        </w:rPr>
        <w:t>mid</w:t>
      </w:r>
      <w:r w:rsidRPr="00421D64">
        <w:rPr>
          <w:rFonts w:ascii="Arial" w:hAnsi="Arial" w:cs="Arial"/>
        </w:rPr>
        <w:t xml:space="preserve"> and T-bet</w:t>
      </w:r>
      <w:r w:rsidRPr="00421D64">
        <w:rPr>
          <w:rFonts w:ascii="Arial" w:hAnsi="Arial" w:cs="Arial"/>
          <w:vertAlign w:val="superscript"/>
        </w:rPr>
        <w:t>dim/-</w:t>
      </w:r>
      <w:r w:rsidRPr="00421D64">
        <w:rPr>
          <w:rFonts w:ascii="Arial" w:hAnsi="Arial" w:cs="Arial"/>
        </w:rPr>
        <w:t>Eomes</w:t>
      </w:r>
      <w:r w:rsidRPr="00421D64">
        <w:rPr>
          <w:rFonts w:ascii="Arial" w:hAnsi="Arial" w:cs="Arial"/>
          <w:vertAlign w:val="superscript"/>
        </w:rPr>
        <w:t>hi</w:t>
      </w:r>
      <w:r w:rsidRPr="00421D64">
        <w:rPr>
          <w:rFonts w:ascii="Arial" w:hAnsi="Arial" w:cs="Arial"/>
        </w:rPr>
        <w:t>PD1</w:t>
      </w:r>
      <w:r w:rsidRPr="00421D64">
        <w:rPr>
          <w:rFonts w:ascii="Arial" w:hAnsi="Arial" w:cs="Arial"/>
          <w:vertAlign w:val="superscript"/>
        </w:rPr>
        <w:t>hi</w:t>
      </w:r>
      <w:r w:rsidRPr="00421D64">
        <w:rPr>
          <w:rFonts w:ascii="Arial" w:hAnsi="Arial" w:cs="Arial"/>
        </w:rPr>
        <w:t xml:space="preserve"> CD8</w:t>
      </w:r>
      <w:r w:rsidRPr="00421D64">
        <w:rPr>
          <w:rFonts w:ascii="Arial" w:hAnsi="Arial" w:cs="Arial"/>
          <w:vertAlign w:val="superscript"/>
        </w:rPr>
        <w:t>+</w:t>
      </w:r>
      <w:r w:rsidRPr="00421D64">
        <w:rPr>
          <w:rFonts w:ascii="Arial" w:hAnsi="Arial" w:cs="Arial"/>
        </w:rPr>
        <w:t xml:space="preserve"> populations. </w:t>
      </w:r>
    </w:p>
    <w:p w14:paraId="0BE1CD82" w14:textId="20329F04" w:rsidR="00EA0E57" w:rsidRPr="00421D64" w:rsidRDefault="00636824" w:rsidP="00DA49CA">
      <w:pPr>
        <w:spacing w:line="480" w:lineRule="auto"/>
        <w:jc w:val="both"/>
        <w:rPr>
          <w:rFonts w:ascii="Arial" w:hAnsi="Arial" w:cs="Arial"/>
        </w:rPr>
      </w:pPr>
      <w:r w:rsidRPr="00636824">
        <w:rPr>
          <w:noProof/>
        </w:rPr>
        <w:lastRenderedPageBreak/>
        <w:drawing>
          <wp:inline distT="0" distB="0" distL="0" distR="0" wp14:anchorId="19A5AC63" wp14:editId="39C948B1">
            <wp:extent cx="5400040" cy="6362721"/>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40" cy="6362721"/>
                    </a:xfrm>
                    <a:prstGeom prst="rect">
                      <a:avLst/>
                    </a:prstGeom>
                    <a:noFill/>
                    <a:ln>
                      <a:noFill/>
                    </a:ln>
                  </pic:spPr>
                </pic:pic>
              </a:graphicData>
            </a:graphic>
          </wp:inline>
        </w:drawing>
      </w:r>
    </w:p>
    <w:p w14:paraId="1A7A472F" w14:textId="1E405E90" w:rsidR="00FD034F" w:rsidRPr="00C658CC" w:rsidRDefault="00A03B83" w:rsidP="00A03B83">
      <w:pPr>
        <w:spacing w:line="480" w:lineRule="auto"/>
        <w:jc w:val="both"/>
        <w:rPr>
          <w:rFonts w:ascii="Arial" w:hAnsi="Arial" w:cs="Arial"/>
          <w:sz w:val="24"/>
          <w:szCs w:val="24"/>
        </w:rPr>
      </w:pPr>
      <w:r w:rsidRPr="00421D64">
        <w:rPr>
          <w:rFonts w:ascii="Arial" w:hAnsi="Arial" w:cs="Arial"/>
          <w:b/>
        </w:rPr>
        <w:t>Supplementa</w:t>
      </w:r>
      <w:r w:rsidR="000372C5">
        <w:rPr>
          <w:rFonts w:ascii="Arial" w:hAnsi="Arial" w:cs="Arial"/>
          <w:b/>
        </w:rPr>
        <w:t>ry</w:t>
      </w:r>
      <w:r w:rsidRPr="00421D64">
        <w:rPr>
          <w:rFonts w:ascii="Arial" w:hAnsi="Arial" w:cs="Arial"/>
          <w:b/>
        </w:rPr>
        <w:t xml:space="preserve"> Figure </w:t>
      </w:r>
      <w:r w:rsidR="003803CA">
        <w:rPr>
          <w:rFonts w:ascii="Arial" w:hAnsi="Arial" w:cs="Arial"/>
          <w:b/>
        </w:rPr>
        <w:t>S</w:t>
      </w:r>
      <w:r w:rsidRPr="00421D64">
        <w:rPr>
          <w:rFonts w:ascii="Arial" w:hAnsi="Arial" w:cs="Arial"/>
          <w:b/>
        </w:rPr>
        <w:t>4.</w:t>
      </w:r>
      <w:r w:rsidRPr="00421D64">
        <w:rPr>
          <w:rFonts w:ascii="Arial" w:hAnsi="Arial" w:cs="Arial"/>
        </w:rPr>
        <w:t xml:space="preserve"> </w:t>
      </w:r>
      <w:r w:rsidR="009B0D07">
        <w:rPr>
          <w:rFonts w:ascii="Arial" w:hAnsi="Arial" w:cs="Arial"/>
          <w:b/>
          <w:bCs/>
        </w:rPr>
        <w:t>C</w:t>
      </w:r>
      <w:r w:rsidRPr="00421D64">
        <w:rPr>
          <w:rFonts w:ascii="Arial" w:hAnsi="Arial" w:cs="Arial"/>
          <w:b/>
          <w:bCs/>
        </w:rPr>
        <w:t xml:space="preserve">o-expression </w:t>
      </w:r>
      <w:r w:rsidR="009B0D07">
        <w:rPr>
          <w:rFonts w:ascii="Arial" w:hAnsi="Arial" w:cs="Arial"/>
          <w:b/>
          <w:bCs/>
        </w:rPr>
        <w:t>of PD1 and</w:t>
      </w:r>
      <w:r w:rsidRPr="00421D64">
        <w:rPr>
          <w:rFonts w:ascii="Arial" w:hAnsi="Arial" w:cs="Arial"/>
          <w:b/>
          <w:bCs/>
        </w:rPr>
        <w:t xml:space="preserve"> CD244 in CD8</w:t>
      </w:r>
      <w:r w:rsidRPr="00421D64">
        <w:rPr>
          <w:rFonts w:ascii="Arial" w:hAnsi="Arial" w:cs="Arial"/>
          <w:b/>
          <w:bCs/>
          <w:vertAlign w:val="superscript"/>
        </w:rPr>
        <w:t>+</w:t>
      </w:r>
      <w:r w:rsidRPr="00421D64">
        <w:rPr>
          <w:rFonts w:ascii="Arial" w:hAnsi="Arial" w:cs="Arial"/>
          <w:b/>
          <w:bCs/>
        </w:rPr>
        <w:t xml:space="preserve"> T cells </w:t>
      </w:r>
      <w:r w:rsidR="009B0D07">
        <w:rPr>
          <w:rFonts w:ascii="Arial" w:hAnsi="Arial" w:cs="Arial"/>
          <w:b/>
          <w:bCs/>
        </w:rPr>
        <w:t xml:space="preserve">after </w:t>
      </w:r>
      <w:r w:rsidRPr="00421D64">
        <w:rPr>
          <w:rFonts w:ascii="Arial" w:hAnsi="Arial" w:cs="Arial"/>
          <w:b/>
          <w:bCs/>
        </w:rPr>
        <w:t>co-culture with B-CLL cells</w:t>
      </w:r>
      <w:r w:rsidRPr="00421D64">
        <w:rPr>
          <w:rFonts w:ascii="Arial" w:hAnsi="Arial" w:cs="Arial"/>
          <w:b/>
        </w:rPr>
        <w:t xml:space="preserve">. </w:t>
      </w:r>
      <w:r w:rsidRPr="00421D64">
        <w:rPr>
          <w:rFonts w:ascii="Arial" w:hAnsi="Arial" w:cs="Arial"/>
          <w:b/>
          <w:bCs/>
        </w:rPr>
        <w:t>MDSCs in progressing and non-progressing CLL patients</w:t>
      </w:r>
      <w:r w:rsidRPr="00421D64">
        <w:rPr>
          <w:rFonts w:ascii="Arial" w:hAnsi="Arial" w:cs="Arial"/>
          <w:b/>
        </w:rPr>
        <w:t xml:space="preserve">. </w:t>
      </w:r>
      <w:r w:rsidR="00A66C14">
        <w:rPr>
          <w:rFonts w:ascii="Arial" w:hAnsi="Arial" w:cs="Arial"/>
          <w:b/>
        </w:rPr>
        <w:t>a</w:t>
      </w:r>
      <w:r w:rsidRPr="00421D64">
        <w:rPr>
          <w:rFonts w:ascii="Arial" w:hAnsi="Arial" w:cs="Arial"/>
        </w:rPr>
        <w:t xml:space="preserve"> </w:t>
      </w:r>
      <w:r w:rsidRPr="00B40100">
        <w:rPr>
          <w:rFonts w:ascii="Arial" w:hAnsi="Arial" w:cs="Arial"/>
        </w:rPr>
        <w:t>P</w:t>
      </w:r>
      <w:r w:rsidR="009B0D07">
        <w:rPr>
          <w:rFonts w:ascii="Arial" w:hAnsi="Arial" w:cs="Arial"/>
        </w:rPr>
        <w:t>ercentages</w:t>
      </w:r>
      <w:r w:rsidRPr="00B40100">
        <w:rPr>
          <w:rFonts w:ascii="Arial" w:hAnsi="Arial" w:cs="Arial"/>
        </w:rPr>
        <w:t xml:space="preserve"> </w:t>
      </w:r>
      <w:r w:rsidR="009B0D07">
        <w:rPr>
          <w:rFonts w:ascii="Arial" w:hAnsi="Arial" w:cs="Arial"/>
        </w:rPr>
        <w:t xml:space="preserve">of </w:t>
      </w:r>
      <w:r w:rsidRPr="00B40100">
        <w:rPr>
          <w:rFonts w:ascii="Arial" w:hAnsi="Arial" w:cs="Arial"/>
        </w:rPr>
        <w:t>PD1</w:t>
      </w:r>
      <w:r w:rsidRPr="00B40100">
        <w:rPr>
          <w:rFonts w:ascii="Arial" w:hAnsi="Arial" w:cs="Arial"/>
          <w:vertAlign w:val="superscript"/>
        </w:rPr>
        <w:t>+</w:t>
      </w:r>
      <w:r w:rsidRPr="00B40100">
        <w:rPr>
          <w:rFonts w:ascii="Arial" w:hAnsi="Arial" w:cs="Arial"/>
        </w:rPr>
        <w:t>CD244</w:t>
      </w:r>
      <w:r w:rsidRPr="00B40100">
        <w:rPr>
          <w:rFonts w:ascii="Arial" w:hAnsi="Arial" w:cs="Arial"/>
          <w:vertAlign w:val="superscript"/>
        </w:rPr>
        <w:t>+</w:t>
      </w:r>
      <w:r w:rsidRPr="00B40100">
        <w:rPr>
          <w:rFonts w:ascii="Arial" w:hAnsi="Arial" w:cs="Arial"/>
        </w:rPr>
        <w:t xml:space="preserve"> cells out of CD8</w:t>
      </w:r>
      <w:r w:rsidRPr="00B40100">
        <w:rPr>
          <w:rFonts w:ascii="Arial" w:hAnsi="Arial" w:cs="Arial"/>
          <w:vertAlign w:val="superscript"/>
        </w:rPr>
        <w:t>+</w:t>
      </w:r>
      <w:r w:rsidRPr="00B40100">
        <w:rPr>
          <w:rFonts w:ascii="Arial" w:hAnsi="Arial" w:cs="Arial"/>
        </w:rPr>
        <w:t xml:space="preserve"> T cells from progressing </w:t>
      </w:r>
      <w:r w:rsidR="009B0D07">
        <w:rPr>
          <w:rFonts w:ascii="Arial" w:hAnsi="Arial" w:cs="Arial"/>
        </w:rPr>
        <w:t xml:space="preserve">(left) and non-progressing (right) </w:t>
      </w:r>
      <w:r w:rsidRPr="00B40100">
        <w:rPr>
          <w:rFonts w:ascii="Arial" w:hAnsi="Arial" w:cs="Arial"/>
        </w:rPr>
        <w:t>CLL patients</w:t>
      </w:r>
      <w:r w:rsidRPr="00D26B40">
        <w:rPr>
          <w:rFonts w:ascii="Arial" w:hAnsi="Arial" w:cs="Arial"/>
        </w:rPr>
        <w:t xml:space="preserve"> after stimulation with anti-CD3 and anti-CD28 for 7 days (grey dots) and in presence of B-HD cells (</w:t>
      </w:r>
      <w:r w:rsidR="000636E5">
        <w:rPr>
          <w:rFonts w:ascii="Arial" w:hAnsi="Arial" w:cs="Arial"/>
        </w:rPr>
        <w:t>yellow</w:t>
      </w:r>
      <w:r w:rsidRPr="00D26B40">
        <w:rPr>
          <w:rFonts w:ascii="Arial" w:hAnsi="Arial" w:cs="Arial"/>
        </w:rPr>
        <w:t xml:space="preserve"> dots) or B-CLL cells at</w:t>
      </w:r>
      <w:r w:rsidR="009B0D07">
        <w:rPr>
          <w:rFonts w:ascii="Arial" w:hAnsi="Arial" w:cs="Arial"/>
        </w:rPr>
        <w:t xml:space="preserve"> the time of progression (red dots, n=10) or</w:t>
      </w:r>
      <w:r w:rsidRPr="00D26B40">
        <w:rPr>
          <w:rFonts w:ascii="Arial" w:hAnsi="Arial" w:cs="Arial"/>
        </w:rPr>
        <w:t xml:space="preserve"> </w:t>
      </w:r>
      <w:r>
        <w:rPr>
          <w:rFonts w:ascii="Arial" w:hAnsi="Arial" w:cs="Arial"/>
        </w:rPr>
        <w:t>asymptomatic follow-up</w:t>
      </w:r>
      <w:r w:rsidRPr="00D26B40">
        <w:rPr>
          <w:rFonts w:ascii="Arial" w:hAnsi="Arial" w:cs="Arial"/>
        </w:rPr>
        <w:t xml:space="preserve"> (</w:t>
      </w:r>
      <w:r>
        <w:rPr>
          <w:rFonts w:ascii="Arial" w:hAnsi="Arial" w:cs="Arial"/>
        </w:rPr>
        <w:t>blue</w:t>
      </w:r>
      <w:r w:rsidRPr="00D26B40">
        <w:rPr>
          <w:rFonts w:ascii="Arial" w:hAnsi="Arial" w:cs="Arial"/>
        </w:rPr>
        <w:t xml:space="preserve"> dots</w:t>
      </w:r>
      <w:r w:rsidR="009B0D07">
        <w:rPr>
          <w:rFonts w:ascii="Arial" w:hAnsi="Arial" w:cs="Arial"/>
        </w:rPr>
        <w:t>, n=7</w:t>
      </w:r>
      <w:r w:rsidRPr="00D26B40">
        <w:rPr>
          <w:rFonts w:ascii="Arial" w:hAnsi="Arial" w:cs="Arial"/>
        </w:rPr>
        <w:t>) at the indicated T:B ratios</w:t>
      </w:r>
      <w:r>
        <w:rPr>
          <w:rFonts w:ascii="Arial" w:hAnsi="Arial" w:cs="Arial"/>
        </w:rPr>
        <w:t>.</w:t>
      </w:r>
      <w:r w:rsidRPr="00282294">
        <w:rPr>
          <w:rFonts w:ascii="Arial" w:hAnsi="Arial" w:cs="Arial"/>
        </w:rPr>
        <w:t xml:space="preserve"> </w:t>
      </w:r>
      <w:r w:rsidR="00A66C14">
        <w:rPr>
          <w:rFonts w:ascii="Arial" w:hAnsi="Arial" w:cs="Arial"/>
          <w:b/>
          <w:bCs/>
        </w:rPr>
        <w:t>b</w:t>
      </w:r>
      <w:r w:rsidRPr="00421D64">
        <w:rPr>
          <w:rFonts w:ascii="Arial" w:hAnsi="Arial" w:cs="Arial"/>
        </w:rPr>
        <w:t xml:space="preserve"> </w:t>
      </w:r>
      <w:r w:rsidR="009B0D07">
        <w:rPr>
          <w:rFonts w:ascii="Arial" w:hAnsi="Arial" w:cs="Arial"/>
        </w:rPr>
        <w:t>Percentages of PD1</w:t>
      </w:r>
      <w:r w:rsidR="009B0D07" w:rsidRPr="00446D01">
        <w:rPr>
          <w:rFonts w:ascii="Arial" w:hAnsi="Arial" w:cs="Arial"/>
          <w:vertAlign w:val="superscript"/>
        </w:rPr>
        <w:t>+</w:t>
      </w:r>
      <w:r w:rsidR="009B0D07">
        <w:rPr>
          <w:rFonts w:ascii="Arial" w:hAnsi="Arial" w:cs="Arial"/>
        </w:rPr>
        <w:t>CD244</w:t>
      </w:r>
      <w:r w:rsidR="009B0D07" w:rsidRPr="00446D01">
        <w:rPr>
          <w:rFonts w:ascii="Arial" w:hAnsi="Arial" w:cs="Arial"/>
          <w:vertAlign w:val="superscript"/>
        </w:rPr>
        <w:t>+</w:t>
      </w:r>
      <w:r w:rsidR="00E8424D">
        <w:rPr>
          <w:rFonts w:ascii="Arial" w:hAnsi="Arial" w:cs="Arial"/>
        </w:rPr>
        <w:t xml:space="preserve"> cells out of</w:t>
      </w:r>
      <w:r w:rsidR="009B0D07">
        <w:rPr>
          <w:rFonts w:ascii="Arial" w:hAnsi="Arial" w:cs="Arial"/>
        </w:rPr>
        <w:t xml:space="preserve"> CD8</w:t>
      </w:r>
      <w:r w:rsidR="009B0D07" w:rsidRPr="007F2D05">
        <w:rPr>
          <w:rFonts w:ascii="Arial" w:hAnsi="Arial" w:cs="Arial"/>
          <w:vertAlign w:val="superscript"/>
        </w:rPr>
        <w:t>+</w:t>
      </w:r>
      <w:r w:rsidR="009B0D07">
        <w:rPr>
          <w:rFonts w:ascii="Arial" w:hAnsi="Arial" w:cs="Arial"/>
        </w:rPr>
        <w:t xml:space="preserve"> T cells from healthy </w:t>
      </w:r>
      <w:r w:rsidR="009B0D07">
        <w:rPr>
          <w:rFonts w:ascii="Arial" w:hAnsi="Arial" w:cs="Arial"/>
        </w:rPr>
        <w:lastRenderedPageBreak/>
        <w:t xml:space="preserve">age-matched donors (T-HD) after stimulation with anti-CD3 and anti-CD28 for 7 days (grey dots) and in presence of B-CLL cells at progression (bold red dots) or B-CLL cells at asymptomatic follow-up (bold blue dots) at the indicated T:B ratios. </w:t>
      </w:r>
      <w:r w:rsidR="00A66C14">
        <w:rPr>
          <w:rFonts w:ascii="Arial" w:hAnsi="Arial" w:cs="Arial"/>
          <w:b/>
        </w:rPr>
        <w:t>c</w:t>
      </w:r>
      <w:r w:rsidR="00E8424D">
        <w:rPr>
          <w:rFonts w:ascii="Arial" w:hAnsi="Arial" w:cs="Arial"/>
        </w:rPr>
        <w:t xml:space="preserve"> Percentages of CD8</w:t>
      </w:r>
      <w:r w:rsidR="00E8424D" w:rsidRPr="007F2D05">
        <w:rPr>
          <w:rFonts w:ascii="Arial" w:hAnsi="Arial" w:cs="Arial"/>
          <w:vertAlign w:val="superscript"/>
        </w:rPr>
        <w:t>+</w:t>
      </w:r>
      <w:r w:rsidR="00E8424D">
        <w:rPr>
          <w:rFonts w:ascii="Arial" w:hAnsi="Arial" w:cs="Arial"/>
        </w:rPr>
        <w:t xml:space="preserve"> T cells from CLL patients co-expressing PD1 and CD244 after stimulation with anti-CD3 and anti-CD28 for 7 days and in contact with B-CLL cells or separated by transwell inserts at 1:10 T:B ratio for 7 days (n=14).</w:t>
      </w:r>
      <w:r w:rsidR="00A66C14" w:rsidRPr="00A66C14">
        <w:rPr>
          <w:rFonts w:ascii="Arial" w:hAnsi="Arial" w:cs="Arial"/>
          <w:b/>
        </w:rPr>
        <w:t>d</w:t>
      </w:r>
      <w:r w:rsidR="00E8424D">
        <w:rPr>
          <w:rFonts w:ascii="Arial" w:hAnsi="Arial" w:cs="Arial"/>
        </w:rPr>
        <w:t xml:space="preserve"> </w:t>
      </w:r>
      <w:r>
        <w:rPr>
          <w:rFonts w:ascii="Arial" w:hAnsi="Arial" w:cs="Arial"/>
        </w:rPr>
        <w:t>D</w:t>
      </w:r>
      <w:r w:rsidRPr="00D26B40">
        <w:rPr>
          <w:rFonts w:ascii="Arial" w:hAnsi="Arial" w:cs="Arial"/>
        </w:rPr>
        <w:t>ot plots of IL-10</w:t>
      </w:r>
      <w:r w:rsidRPr="00D26B40">
        <w:rPr>
          <w:rFonts w:ascii="Arial" w:hAnsi="Arial" w:cs="Arial"/>
          <w:vertAlign w:val="superscript"/>
        </w:rPr>
        <w:t>+</w:t>
      </w:r>
      <w:r w:rsidRPr="00D26B40">
        <w:rPr>
          <w:rFonts w:ascii="Arial" w:hAnsi="Arial" w:cs="Arial"/>
        </w:rPr>
        <w:t xml:space="preserve"> </w:t>
      </w:r>
      <w:r w:rsidR="00E8424D">
        <w:rPr>
          <w:rFonts w:ascii="Arial" w:hAnsi="Arial" w:cs="Arial"/>
        </w:rPr>
        <w:t xml:space="preserve">B </w:t>
      </w:r>
      <w:r w:rsidRPr="00D26B40">
        <w:rPr>
          <w:rFonts w:ascii="Arial" w:hAnsi="Arial" w:cs="Arial"/>
        </w:rPr>
        <w:t>cells gated on CD19</w:t>
      </w:r>
      <w:r w:rsidRPr="00D26B40">
        <w:rPr>
          <w:rFonts w:ascii="Arial" w:hAnsi="Arial" w:cs="Arial"/>
          <w:vertAlign w:val="superscript"/>
        </w:rPr>
        <w:t>+</w:t>
      </w:r>
      <w:r w:rsidRPr="00D26B40">
        <w:rPr>
          <w:rFonts w:ascii="Arial" w:hAnsi="Arial" w:cs="Arial"/>
        </w:rPr>
        <w:t>CD5</w:t>
      </w:r>
      <w:r w:rsidRPr="00D26B40">
        <w:rPr>
          <w:rFonts w:ascii="Arial" w:hAnsi="Arial" w:cs="Arial"/>
          <w:vertAlign w:val="superscript"/>
        </w:rPr>
        <w:t>+</w:t>
      </w:r>
      <w:r w:rsidRPr="00D26B40">
        <w:rPr>
          <w:rFonts w:ascii="Arial" w:hAnsi="Arial" w:cs="Arial"/>
        </w:rPr>
        <w:t xml:space="preserve"> cells after 5 hours of leukocyte stimulation </w:t>
      </w:r>
      <w:r>
        <w:rPr>
          <w:rFonts w:ascii="Arial" w:hAnsi="Arial" w:cs="Arial"/>
        </w:rPr>
        <w:t>(PIB)</w:t>
      </w:r>
      <w:r w:rsidR="00E8424D">
        <w:rPr>
          <w:rFonts w:ascii="Arial" w:hAnsi="Arial" w:cs="Arial"/>
        </w:rPr>
        <w:t>,</w:t>
      </w:r>
      <w:r>
        <w:rPr>
          <w:rFonts w:ascii="Arial" w:hAnsi="Arial" w:cs="Arial"/>
        </w:rPr>
        <w:t xml:space="preserve"> </w:t>
      </w:r>
      <w:r w:rsidRPr="00D26B40">
        <w:rPr>
          <w:rFonts w:ascii="Arial" w:hAnsi="Arial" w:cs="Arial"/>
        </w:rPr>
        <w:t>or brefeldin A (BFA) as control</w:t>
      </w:r>
      <w:r w:rsidR="00E8424D">
        <w:rPr>
          <w:rFonts w:ascii="Arial" w:hAnsi="Arial" w:cs="Arial"/>
        </w:rPr>
        <w:t>,</w:t>
      </w:r>
      <w:r w:rsidRPr="00D26B40">
        <w:rPr>
          <w:rFonts w:ascii="Arial" w:hAnsi="Arial" w:cs="Arial"/>
        </w:rPr>
        <w:t xml:space="preserve"> from one representative </w:t>
      </w:r>
      <w:r w:rsidR="00E8424D">
        <w:rPr>
          <w:rFonts w:ascii="Arial" w:hAnsi="Arial" w:cs="Arial"/>
        </w:rPr>
        <w:t xml:space="preserve">progressed and non-progressed </w:t>
      </w:r>
      <w:r>
        <w:rPr>
          <w:rFonts w:ascii="Arial" w:hAnsi="Arial" w:cs="Arial"/>
        </w:rPr>
        <w:t>patient</w:t>
      </w:r>
      <w:r w:rsidRPr="00D26B40">
        <w:rPr>
          <w:rFonts w:ascii="Arial" w:hAnsi="Arial" w:cs="Arial"/>
        </w:rPr>
        <w:t xml:space="preserve">. </w:t>
      </w:r>
      <w:r w:rsidR="00A66C14">
        <w:rPr>
          <w:rFonts w:ascii="Arial" w:hAnsi="Arial" w:cs="Arial"/>
          <w:b/>
        </w:rPr>
        <w:t>e</w:t>
      </w:r>
      <w:r w:rsidRPr="00421D64">
        <w:rPr>
          <w:rFonts w:ascii="Arial" w:hAnsi="Arial" w:cs="Arial"/>
          <w:b/>
          <w:bCs/>
        </w:rPr>
        <w:t xml:space="preserve"> </w:t>
      </w:r>
      <w:r w:rsidR="00A452F8">
        <w:rPr>
          <w:rFonts w:ascii="Arial" w:hAnsi="Arial" w:cs="Arial"/>
          <w:bCs/>
        </w:rPr>
        <w:t>Percentage</w:t>
      </w:r>
      <w:r w:rsidRPr="00421D64">
        <w:rPr>
          <w:rFonts w:ascii="Arial" w:hAnsi="Arial" w:cs="Arial"/>
          <w:bCs/>
        </w:rPr>
        <w:t xml:space="preserve"> of </w:t>
      </w:r>
      <w:r>
        <w:rPr>
          <w:rFonts w:ascii="Arial" w:hAnsi="Arial" w:cs="Arial"/>
          <w:bCs/>
        </w:rPr>
        <w:t>MDSCs</w:t>
      </w:r>
      <w:r w:rsidRPr="00421D64">
        <w:rPr>
          <w:rFonts w:ascii="Arial" w:hAnsi="Arial" w:cs="Arial"/>
          <w:b/>
          <w:bCs/>
        </w:rPr>
        <w:t xml:space="preserve"> </w:t>
      </w:r>
      <w:r>
        <w:rPr>
          <w:rFonts w:ascii="Arial" w:hAnsi="Arial" w:cs="Arial"/>
          <w:bCs/>
        </w:rPr>
        <w:t>(CD14</w:t>
      </w:r>
      <w:r w:rsidRPr="00B40100">
        <w:rPr>
          <w:rFonts w:ascii="Arial" w:hAnsi="Arial" w:cs="Arial"/>
          <w:bCs/>
          <w:vertAlign w:val="superscript"/>
        </w:rPr>
        <w:t>+</w:t>
      </w:r>
      <w:r>
        <w:rPr>
          <w:rFonts w:ascii="Arial" w:hAnsi="Arial" w:cs="Arial"/>
          <w:bCs/>
        </w:rPr>
        <w:t>HLA-DR</w:t>
      </w:r>
      <w:r w:rsidRPr="00B40100">
        <w:rPr>
          <w:rFonts w:ascii="Arial" w:hAnsi="Arial" w:cs="Arial"/>
          <w:bCs/>
          <w:vertAlign w:val="superscript"/>
        </w:rPr>
        <w:t>low/-</w:t>
      </w:r>
      <w:r w:rsidRPr="00B40100">
        <w:rPr>
          <w:rFonts w:ascii="Arial" w:hAnsi="Arial" w:cs="Arial"/>
          <w:bCs/>
        </w:rPr>
        <w:t>)</w:t>
      </w:r>
      <w:r w:rsidRPr="00B40100">
        <w:rPr>
          <w:rFonts w:ascii="Arial" w:hAnsi="Arial" w:cs="Arial"/>
          <w:bCs/>
          <w:vertAlign w:val="superscript"/>
        </w:rPr>
        <w:t xml:space="preserve"> </w:t>
      </w:r>
      <w:r>
        <w:rPr>
          <w:rFonts w:ascii="Arial" w:hAnsi="Arial" w:cs="Arial"/>
          <w:bCs/>
        </w:rPr>
        <w:t>out of CD14</w:t>
      </w:r>
      <w:r w:rsidRPr="00B40100">
        <w:rPr>
          <w:rFonts w:ascii="Arial" w:hAnsi="Arial" w:cs="Arial"/>
          <w:bCs/>
          <w:vertAlign w:val="superscript"/>
        </w:rPr>
        <w:t>+</w:t>
      </w:r>
      <w:r>
        <w:rPr>
          <w:rFonts w:ascii="Arial" w:hAnsi="Arial" w:cs="Arial"/>
          <w:bCs/>
        </w:rPr>
        <w:t xml:space="preserve"> cells</w:t>
      </w:r>
      <w:r w:rsidRPr="00421D64">
        <w:rPr>
          <w:rFonts w:ascii="Arial" w:hAnsi="Arial" w:cs="Arial"/>
          <w:b/>
          <w:bCs/>
        </w:rPr>
        <w:t xml:space="preserve"> </w:t>
      </w:r>
      <w:r w:rsidRPr="00421D64">
        <w:rPr>
          <w:rFonts w:ascii="Arial" w:hAnsi="Arial" w:cs="Arial"/>
          <w:bCs/>
        </w:rPr>
        <w:t>in progressing (left, n=17) and non-progressing patients (middle, n=10) at diagnosis and progression or non-progression.</w:t>
      </w:r>
      <w:r w:rsidRPr="00421D64">
        <w:rPr>
          <w:rFonts w:ascii="Arial" w:hAnsi="Arial" w:cs="Arial"/>
        </w:rPr>
        <w:t xml:space="preserve"> Increment of</w:t>
      </w:r>
      <w:r w:rsidRPr="00421D64">
        <w:rPr>
          <w:rFonts w:ascii="Arial" w:hAnsi="Arial" w:cs="Arial"/>
          <w:bCs/>
        </w:rPr>
        <w:t xml:space="preserve"> </w:t>
      </w:r>
      <w:r>
        <w:rPr>
          <w:rFonts w:ascii="Arial" w:hAnsi="Arial" w:cs="Arial"/>
          <w:bCs/>
        </w:rPr>
        <w:t>MDSCs between time points</w:t>
      </w:r>
      <w:r w:rsidRPr="00421D64">
        <w:rPr>
          <w:rFonts w:ascii="Arial" w:hAnsi="Arial" w:cs="Arial"/>
          <w:b/>
          <w:bCs/>
        </w:rPr>
        <w:t xml:space="preserve"> </w:t>
      </w:r>
      <w:r w:rsidRPr="00421D64">
        <w:rPr>
          <w:rFonts w:ascii="Arial" w:hAnsi="Arial" w:cs="Arial"/>
        </w:rPr>
        <w:t>comparing progressing and non-progressing patients</w:t>
      </w:r>
      <w:r>
        <w:rPr>
          <w:rFonts w:ascii="Arial" w:hAnsi="Arial" w:cs="Arial"/>
        </w:rPr>
        <w:t xml:space="preserve"> (right)</w:t>
      </w:r>
      <w:r w:rsidR="00176966">
        <w:rPr>
          <w:rFonts w:ascii="Arial" w:hAnsi="Arial" w:cs="Arial"/>
        </w:rPr>
        <w:t>.</w:t>
      </w:r>
      <w:r w:rsidRPr="00421D64">
        <w:rPr>
          <w:rFonts w:ascii="Arial" w:hAnsi="Arial" w:cs="Arial"/>
        </w:rPr>
        <w:t xml:space="preserve"> Graphs show mean ± SEM or paired values</w:t>
      </w:r>
      <w:r w:rsidR="0079241C">
        <w:rPr>
          <w:rFonts w:ascii="Arial" w:hAnsi="Arial" w:cs="Arial"/>
        </w:rPr>
        <w:t xml:space="preserve"> </w:t>
      </w:r>
      <w:r w:rsidR="00A452F8">
        <w:rPr>
          <w:rFonts w:ascii="Arial" w:hAnsi="Arial" w:cs="Arial"/>
        </w:rPr>
        <w:t>(</w:t>
      </w:r>
      <w:r w:rsidR="00A452F8" w:rsidRPr="004F2FD7">
        <w:rPr>
          <w:rFonts w:ascii="Arial" w:hAnsi="Arial" w:cs="Arial"/>
        </w:rPr>
        <w:t>*P&lt;0.05; **P&lt;0.01; ***P&lt;0.001</w:t>
      </w:r>
      <w:r w:rsidR="00A452F8">
        <w:rPr>
          <w:rFonts w:ascii="Arial" w:hAnsi="Arial" w:cs="Arial"/>
        </w:rPr>
        <w:t xml:space="preserve">; </w:t>
      </w:r>
      <w:r w:rsidR="00A452F8" w:rsidRPr="00176966">
        <w:rPr>
          <w:rFonts w:ascii="Arial" w:hAnsi="Arial" w:cs="Arial"/>
        </w:rPr>
        <w:t>****P&lt;0.0001</w:t>
      </w:r>
      <w:r w:rsidR="00A452F8">
        <w:rPr>
          <w:rFonts w:ascii="Arial" w:hAnsi="Arial" w:cs="Arial"/>
        </w:rPr>
        <w:t>; Wilcoxon matched paired test or Mann-Whitney test).</w:t>
      </w:r>
    </w:p>
    <w:sectPr w:rsidR="00FD034F" w:rsidRPr="00C658CC" w:rsidSect="000372C5">
      <w:headerReference w:type="default" r:id="rId12"/>
      <w:footerReference w:type="even" r:id="rId13"/>
      <w:footerReference w:type="default" r:id="rId14"/>
      <w:pgSz w:w="11906" w:h="16838"/>
      <w:pgMar w:top="1418" w:right="1701" w:bottom="1418" w:left="1701" w:header="709" w:footer="709" w:gutter="0"/>
      <w:lnNumType w:countBy="1" w:restart="continuou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25D935" w16cid:durableId="217E3E80"/>
  <w16cid:commentId w16cid:paraId="0CB0B67F" w16cid:durableId="217FB4F7"/>
  <w16cid:commentId w16cid:paraId="332F385E" w16cid:durableId="217FBB11"/>
  <w16cid:commentId w16cid:paraId="2BAA4955" w16cid:durableId="217FC884"/>
  <w16cid:commentId w16cid:paraId="12156DAF" w16cid:durableId="217FCC5C"/>
  <w16cid:commentId w16cid:paraId="7008CF03" w16cid:durableId="217FCC77"/>
  <w16cid:commentId w16cid:paraId="7A82B7FC" w16cid:durableId="217FCD6B"/>
  <w16cid:commentId w16cid:paraId="0651D99C" w16cid:durableId="217FEBD7"/>
  <w16cid:commentId w16cid:paraId="6A86182A" w16cid:durableId="217FEBFD"/>
  <w16cid:commentId w16cid:paraId="0CE509EC" w16cid:durableId="217FEEAD"/>
  <w16cid:commentId w16cid:paraId="0FC7BD9A" w16cid:durableId="217FEF1A"/>
  <w16cid:commentId w16cid:paraId="7F3B52CB" w16cid:durableId="217FF0C0"/>
  <w16cid:commentId w16cid:paraId="13A0D50E" w16cid:durableId="217FF084"/>
  <w16cid:commentId w16cid:paraId="437494CB" w16cid:durableId="217FF329"/>
  <w16cid:commentId w16cid:paraId="0C6491CE" w16cid:durableId="217FF8D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18AF78" w14:textId="77777777" w:rsidR="00D61B91" w:rsidRDefault="00D61B91" w:rsidP="004134CE">
      <w:pPr>
        <w:spacing w:after="0" w:line="240" w:lineRule="auto"/>
      </w:pPr>
      <w:r>
        <w:separator/>
      </w:r>
    </w:p>
  </w:endnote>
  <w:endnote w:type="continuationSeparator" w:id="0">
    <w:p w14:paraId="6E38D660" w14:textId="77777777" w:rsidR="00D61B91" w:rsidRDefault="00D61B91" w:rsidP="00413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merodepgina"/>
      </w:rPr>
      <w:id w:val="-1725821537"/>
      <w:docPartObj>
        <w:docPartGallery w:val="Page Numbers (Bottom of Page)"/>
        <w:docPartUnique/>
      </w:docPartObj>
    </w:sdtPr>
    <w:sdtEndPr>
      <w:rPr>
        <w:rStyle w:val="Nmerodepgina"/>
      </w:rPr>
    </w:sdtEndPr>
    <w:sdtContent>
      <w:p w14:paraId="78A84D2A" w14:textId="3AD65BEE" w:rsidR="00F3267A" w:rsidRDefault="00F3267A" w:rsidP="000214E8">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750C6C6B" w14:textId="77777777" w:rsidR="00F3267A" w:rsidRDefault="00F3267A" w:rsidP="00335C94">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merodepgina"/>
      </w:rPr>
      <w:id w:val="1433480210"/>
      <w:docPartObj>
        <w:docPartGallery w:val="Page Numbers (Bottom of Page)"/>
        <w:docPartUnique/>
      </w:docPartObj>
    </w:sdtPr>
    <w:sdtEndPr>
      <w:rPr>
        <w:rStyle w:val="Nmerodepgina"/>
      </w:rPr>
    </w:sdtEndPr>
    <w:sdtContent>
      <w:p w14:paraId="36478317" w14:textId="4AF45357" w:rsidR="00F3267A" w:rsidRDefault="00F3267A" w:rsidP="000214E8">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131B6A">
          <w:rPr>
            <w:rStyle w:val="Nmerodepgina"/>
            <w:noProof/>
          </w:rPr>
          <w:t>1</w:t>
        </w:r>
        <w:r>
          <w:rPr>
            <w:rStyle w:val="Nmerodepgina"/>
          </w:rPr>
          <w:fldChar w:fldCharType="end"/>
        </w:r>
      </w:p>
    </w:sdtContent>
  </w:sdt>
  <w:p w14:paraId="7254B242" w14:textId="77777777" w:rsidR="00F3267A" w:rsidRDefault="00F3267A" w:rsidP="00335C94">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96ADBB" w14:textId="77777777" w:rsidR="00D61B91" w:rsidRDefault="00D61B91" w:rsidP="004134CE">
      <w:pPr>
        <w:spacing w:after="0" w:line="240" w:lineRule="auto"/>
      </w:pPr>
      <w:r>
        <w:separator/>
      </w:r>
    </w:p>
  </w:footnote>
  <w:footnote w:type="continuationSeparator" w:id="0">
    <w:p w14:paraId="347A6636" w14:textId="77777777" w:rsidR="00D61B91" w:rsidRDefault="00D61B91" w:rsidP="004134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56653" w14:textId="71FABC37" w:rsidR="00F3267A" w:rsidRPr="00335C94" w:rsidRDefault="00F3267A" w:rsidP="00204050">
    <w:pPr>
      <w:pStyle w:val="Encabezado"/>
      <w:jc w:val="right"/>
      <w:rPr>
        <w:rFonts w:ascii="Arial" w:hAnsi="Arial" w:cs="Arial"/>
        <w:lang w:val="es-ES"/>
      </w:rPr>
    </w:pPr>
    <w:r w:rsidRPr="00335C94">
      <w:rPr>
        <w:rFonts w:ascii="Arial" w:hAnsi="Arial" w:cs="Arial"/>
        <w:lang w:val="es-ES"/>
      </w:rPr>
      <w:t>Jim</w:t>
    </w:r>
    <w:r w:rsidRPr="006B4682">
      <w:rPr>
        <w:rFonts w:ascii="Arial" w:hAnsi="Arial" w:cs="Arial"/>
        <w:lang w:val="es-ES"/>
      </w:rPr>
      <w:t>énez</w:t>
    </w:r>
    <w:r w:rsidRPr="00335C94">
      <w:rPr>
        <w:rFonts w:ascii="Arial" w:hAnsi="Arial" w:cs="Arial"/>
        <w:lang w:val="es-ES"/>
      </w:rPr>
      <w:t xml:space="preserve"> </w:t>
    </w:r>
    <w:r w:rsidRPr="00335C94">
      <w:rPr>
        <w:rFonts w:ascii="Arial" w:hAnsi="Arial" w:cs="Arial"/>
        <w:i/>
        <w:lang w:val="es-ES"/>
      </w:rPr>
      <w:t>et al.</w:t>
    </w:r>
    <w:r w:rsidR="00863581" w:rsidRPr="00C2524E">
      <w:rPr>
        <w:rFonts w:ascii="Arial" w:hAnsi="Arial" w:cs="Arial"/>
        <w:lang w:val="es-ES"/>
      </w:rPr>
      <w:t>_Supplementa</w:t>
    </w:r>
    <w:r w:rsidR="00204050">
      <w:rPr>
        <w:rFonts w:ascii="Arial" w:hAnsi="Arial" w:cs="Arial"/>
        <w:lang w:val="es-ES"/>
      </w:rPr>
      <w:t>ry</w:t>
    </w:r>
    <w:r w:rsidR="00863581" w:rsidRPr="00C2524E">
      <w:rPr>
        <w:rFonts w:ascii="Arial" w:hAnsi="Arial" w:cs="Arial"/>
        <w:lang w:val="es-ES"/>
      </w:rPr>
      <w:t xml:space="preserve"> </w:t>
    </w:r>
    <w:r w:rsidR="00204050">
      <w:rPr>
        <w:rFonts w:ascii="Arial" w:hAnsi="Arial" w:cs="Arial"/>
        <w:lang w:val="es-ES"/>
      </w:rPr>
      <w:t>information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773A22"/>
    <w:multiLevelType w:val="hybridMultilevel"/>
    <w:tmpl w:val="A5EA9574"/>
    <w:lvl w:ilvl="0" w:tplc="5CAEEC8E">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0CC523DE"/>
    <w:multiLevelType w:val="hybridMultilevel"/>
    <w:tmpl w:val="2CC4A68A"/>
    <w:lvl w:ilvl="0" w:tplc="3CEA4E24">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164922F5"/>
    <w:multiLevelType w:val="hybridMultilevel"/>
    <w:tmpl w:val="0D70FE22"/>
    <w:lvl w:ilvl="0" w:tplc="5B067684">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7EF2362"/>
    <w:multiLevelType w:val="hybridMultilevel"/>
    <w:tmpl w:val="0850418A"/>
    <w:lvl w:ilvl="0" w:tplc="8974ACE0">
      <w:start w:val="5"/>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B0B0F61"/>
    <w:multiLevelType w:val="hybridMultilevel"/>
    <w:tmpl w:val="23B41522"/>
    <w:lvl w:ilvl="0" w:tplc="8974ACE0">
      <w:start w:val="5"/>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A465B14"/>
    <w:multiLevelType w:val="hybridMultilevel"/>
    <w:tmpl w:val="3DE61C32"/>
    <w:lvl w:ilvl="0" w:tplc="E27ADE7E">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D325E67"/>
    <w:multiLevelType w:val="hybridMultilevel"/>
    <w:tmpl w:val="9B3251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DC41B7A"/>
    <w:multiLevelType w:val="hybridMultilevel"/>
    <w:tmpl w:val="554816F0"/>
    <w:lvl w:ilvl="0" w:tplc="E92E1B80">
      <w:numFmt w:val="bullet"/>
      <w:lvlText w:val="-"/>
      <w:lvlJc w:val="left"/>
      <w:pPr>
        <w:ind w:left="720" w:hanging="360"/>
      </w:pPr>
      <w:rPr>
        <w:rFonts w:ascii="Arial" w:eastAsiaTheme="minorHAnsi" w:hAnsi="Arial" w:cs="Arial"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0E52B86"/>
    <w:multiLevelType w:val="hybridMultilevel"/>
    <w:tmpl w:val="C39843D0"/>
    <w:lvl w:ilvl="0" w:tplc="B82CECCA">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7825842"/>
    <w:multiLevelType w:val="hybridMultilevel"/>
    <w:tmpl w:val="9F90C034"/>
    <w:lvl w:ilvl="0" w:tplc="EA2C4418">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3E344F4"/>
    <w:multiLevelType w:val="hybridMultilevel"/>
    <w:tmpl w:val="564E810E"/>
    <w:lvl w:ilvl="0" w:tplc="E0C0C1B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73657BC"/>
    <w:multiLevelType w:val="hybridMultilevel"/>
    <w:tmpl w:val="A5CC057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A756417"/>
    <w:multiLevelType w:val="hybridMultilevel"/>
    <w:tmpl w:val="2DB27542"/>
    <w:lvl w:ilvl="0" w:tplc="5B067684">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2"/>
  </w:num>
  <w:num w:numId="4">
    <w:abstractNumId w:val="9"/>
  </w:num>
  <w:num w:numId="5">
    <w:abstractNumId w:val="12"/>
  </w:num>
  <w:num w:numId="6">
    <w:abstractNumId w:val="7"/>
  </w:num>
  <w:num w:numId="7">
    <w:abstractNumId w:val="5"/>
  </w:num>
  <w:num w:numId="8">
    <w:abstractNumId w:val="1"/>
  </w:num>
  <w:num w:numId="9">
    <w:abstractNumId w:val="0"/>
  </w:num>
  <w:num w:numId="10">
    <w:abstractNumId w:val="3"/>
  </w:num>
  <w:num w:numId="11">
    <w:abstractNumId w:val="4"/>
  </w:num>
  <w:num w:numId="12">
    <w:abstractNumId w:val="1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Scienc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f5taewexrsvvhezee7x9xvf9wz0wfzxwrzv&quot;&gt;My EndNote Library_Paper CLL progression&lt;record-ids&gt;&lt;item&gt;3&lt;/item&gt;&lt;item&gt;4&lt;/item&gt;&lt;item&gt;5&lt;/item&gt;&lt;item&gt;6&lt;/item&gt;&lt;item&gt;7&lt;/item&gt;&lt;item&gt;8&lt;/item&gt;&lt;item&gt;9&lt;/item&gt;&lt;item&gt;10&lt;/item&gt;&lt;item&gt;11&lt;/item&gt;&lt;item&gt;12&lt;/item&gt;&lt;item&gt;13&lt;/item&gt;&lt;item&gt;14&lt;/item&gt;&lt;item&gt;15&lt;/item&gt;&lt;item&gt;16&lt;/item&gt;&lt;item&gt;17&lt;/item&gt;&lt;item&gt;21&lt;/item&gt;&lt;item&gt;22&lt;/item&gt;&lt;item&gt;24&lt;/item&gt;&lt;item&gt;27&lt;/item&gt;&lt;item&gt;28&lt;/item&gt;&lt;item&gt;31&lt;/item&gt;&lt;item&gt;32&lt;/item&gt;&lt;item&gt;33&lt;/item&gt;&lt;item&gt;34&lt;/item&gt;&lt;item&gt;35&lt;/item&gt;&lt;item&gt;36&lt;/item&gt;&lt;item&gt;37&lt;/item&gt;&lt;item&gt;39&lt;/item&gt;&lt;item&gt;42&lt;/item&gt;&lt;item&gt;43&lt;/item&gt;&lt;item&gt;45&lt;/item&gt;&lt;item&gt;47&lt;/item&gt;&lt;/record-ids&gt;&lt;/item&gt;&lt;/Libraries&gt;"/>
  </w:docVars>
  <w:rsids>
    <w:rsidRoot w:val="00F50CBA"/>
    <w:rsid w:val="000007BD"/>
    <w:rsid w:val="00000C0A"/>
    <w:rsid w:val="000016B7"/>
    <w:rsid w:val="0000257D"/>
    <w:rsid w:val="00002B8B"/>
    <w:rsid w:val="00003EEE"/>
    <w:rsid w:val="00004F43"/>
    <w:rsid w:val="00005F11"/>
    <w:rsid w:val="00006DA4"/>
    <w:rsid w:val="0000717E"/>
    <w:rsid w:val="000116EB"/>
    <w:rsid w:val="00011738"/>
    <w:rsid w:val="00011B1C"/>
    <w:rsid w:val="00011FAB"/>
    <w:rsid w:val="00012E56"/>
    <w:rsid w:val="0001321B"/>
    <w:rsid w:val="00014062"/>
    <w:rsid w:val="0001710D"/>
    <w:rsid w:val="0001725F"/>
    <w:rsid w:val="000175D6"/>
    <w:rsid w:val="000203D6"/>
    <w:rsid w:val="00020A2D"/>
    <w:rsid w:val="00020EB3"/>
    <w:rsid w:val="000214E8"/>
    <w:rsid w:val="00021A0C"/>
    <w:rsid w:val="00023440"/>
    <w:rsid w:val="0002353D"/>
    <w:rsid w:val="000243AB"/>
    <w:rsid w:val="00024ED7"/>
    <w:rsid w:val="0002607D"/>
    <w:rsid w:val="000260D3"/>
    <w:rsid w:val="000263C5"/>
    <w:rsid w:val="00026766"/>
    <w:rsid w:val="00026843"/>
    <w:rsid w:val="00026E10"/>
    <w:rsid w:val="00030896"/>
    <w:rsid w:val="00030DA3"/>
    <w:rsid w:val="00030FDF"/>
    <w:rsid w:val="00031136"/>
    <w:rsid w:val="00032E67"/>
    <w:rsid w:val="00033377"/>
    <w:rsid w:val="00033F52"/>
    <w:rsid w:val="000342CC"/>
    <w:rsid w:val="0003597C"/>
    <w:rsid w:val="00035E4B"/>
    <w:rsid w:val="00035EB6"/>
    <w:rsid w:val="000363AF"/>
    <w:rsid w:val="000364FD"/>
    <w:rsid w:val="000365A8"/>
    <w:rsid w:val="000372C5"/>
    <w:rsid w:val="00037C15"/>
    <w:rsid w:val="00040AFB"/>
    <w:rsid w:val="00042D1D"/>
    <w:rsid w:val="0004328B"/>
    <w:rsid w:val="000432B4"/>
    <w:rsid w:val="0004429F"/>
    <w:rsid w:val="00044527"/>
    <w:rsid w:val="00044E74"/>
    <w:rsid w:val="000455DE"/>
    <w:rsid w:val="00045BE0"/>
    <w:rsid w:val="000460A5"/>
    <w:rsid w:val="00046A5F"/>
    <w:rsid w:val="00046F86"/>
    <w:rsid w:val="00047369"/>
    <w:rsid w:val="000474F1"/>
    <w:rsid w:val="00050D98"/>
    <w:rsid w:val="00050DB5"/>
    <w:rsid w:val="0005163D"/>
    <w:rsid w:val="00051F64"/>
    <w:rsid w:val="00052BAB"/>
    <w:rsid w:val="00052F03"/>
    <w:rsid w:val="00053467"/>
    <w:rsid w:val="00053F7A"/>
    <w:rsid w:val="00055BDE"/>
    <w:rsid w:val="00056DEA"/>
    <w:rsid w:val="00057D89"/>
    <w:rsid w:val="000609FF"/>
    <w:rsid w:val="00060D35"/>
    <w:rsid w:val="00060D3C"/>
    <w:rsid w:val="00060DF1"/>
    <w:rsid w:val="00061301"/>
    <w:rsid w:val="00061324"/>
    <w:rsid w:val="00061547"/>
    <w:rsid w:val="00061FF2"/>
    <w:rsid w:val="000625FC"/>
    <w:rsid w:val="000626F3"/>
    <w:rsid w:val="00062A32"/>
    <w:rsid w:val="000631FB"/>
    <w:rsid w:val="000636E5"/>
    <w:rsid w:val="00065500"/>
    <w:rsid w:val="0006671E"/>
    <w:rsid w:val="0006741A"/>
    <w:rsid w:val="00067588"/>
    <w:rsid w:val="00070347"/>
    <w:rsid w:val="000707CA"/>
    <w:rsid w:val="000713FE"/>
    <w:rsid w:val="00071866"/>
    <w:rsid w:val="00071B62"/>
    <w:rsid w:val="00071DA9"/>
    <w:rsid w:val="000732DB"/>
    <w:rsid w:val="00073831"/>
    <w:rsid w:val="00074C93"/>
    <w:rsid w:val="0007554C"/>
    <w:rsid w:val="00075F96"/>
    <w:rsid w:val="00076210"/>
    <w:rsid w:val="000778E6"/>
    <w:rsid w:val="00077A68"/>
    <w:rsid w:val="000814D0"/>
    <w:rsid w:val="00081884"/>
    <w:rsid w:val="000825F8"/>
    <w:rsid w:val="000840C2"/>
    <w:rsid w:val="00084ABC"/>
    <w:rsid w:val="00087288"/>
    <w:rsid w:val="00087525"/>
    <w:rsid w:val="00087D17"/>
    <w:rsid w:val="0009018E"/>
    <w:rsid w:val="0009021D"/>
    <w:rsid w:val="0009288E"/>
    <w:rsid w:val="00092C14"/>
    <w:rsid w:val="00092D89"/>
    <w:rsid w:val="0009346C"/>
    <w:rsid w:val="00093BA2"/>
    <w:rsid w:val="00094047"/>
    <w:rsid w:val="00095C12"/>
    <w:rsid w:val="0009624C"/>
    <w:rsid w:val="00096451"/>
    <w:rsid w:val="00096E7C"/>
    <w:rsid w:val="00097762"/>
    <w:rsid w:val="00097901"/>
    <w:rsid w:val="000A0FC4"/>
    <w:rsid w:val="000A2670"/>
    <w:rsid w:val="000A3302"/>
    <w:rsid w:val="000A39A0"/>
    <w:rsid w:val="000A3C50"/>
    <w:rsid w:val="000A422F"/>
    <w:rsid w:val="000A4277"/>
    <w:rsid w:val="000A53F5"/>
    <w:rsid w:val="000A5561"/>
    <w:rsid w:val="000A669A"/>
    <w:rsid w:val="000B0298"/>
    <w:rsid w:val="000B1604"/>
    <w:rsid w:val="000B1C6E"/>
    <w:rsid w:val="000B277F"/>
    <w:rsid w:val="000B4ECD"/>
    <w:rsid w:val="000B57CD"/>
    <w:rsid w:val="000B5FE4"/>
    <w:rsid w:val="000B6CBA"/>
    <w:rsid w:val="000C01B2"/>
    <w:rsid w:val="000C054A"/>
    <w:rsid w:val="000C176C"/>
    <w:rsid w:val="000C2B31"/>
    <w:rsid w:val="000C32C7"/>
    <w:rsid w:val="000C4FC4"/>
    <w:rsid w:val="000C64A0"/>
    <w:rsid w:val="000C67A4"/>
    <w:rsid w:val="000C6D4F"/>
    <w:rsid w:val="000C743C"/>
    <w:rsid w:val="000C77D1"/>
    <w:rsid w:val="000D054C"/>
    <w:rsid w:val="000D1CC6"/>
    <w:rsid w:val="000D207B"/>
    <w:rsid w:val="000D32F4"/>
    <w:rsid w:val="000D3559"/>
    <w:rsid w:val="000D4587"/>
    <w:rsid w:val="000D4600"/>
    <w:rsid w:val="000D5014"/>
    <w:rsid w:val="000D54BF"/>
    <w:rsid w:val="000D5C8D"/>
    <w:rsid w:val="000D75DE"/>
    <w:rsid w:val="000E0F28"/>
    <w:rsid w:val="000E14BB"/>
    <w:rsid w:val="000E22C7"/>
    <w:rsid w:val="000E239E"/>
    <w:rsid w:val="000E23E0"/>
    <w:rsid w:val="000E30FF"/>
    <w:rsid w:val="000E32D2"/>
    <w:rsid w:val="000E35E3"/>
    <w:rsid w:val="000E470E"/>
    <w:rsid w:val="000E4C1D"/>
    <w:rsid w:val="000E6108"/>
    <w:rsid w:val="000E631E"/>
    <w:rsid w:val="000E6366"/>
    <w:rsid w:val="000E78DF"/>
    <w:rsid w:val="000F08ED"/>
    <w:rsid w:val="000F0D2F"/>
    <w:rsid w:val="000F0D5B"/>
    <w:rsid w:val="000F315A"/>
    <w:rsid w:val="000F5662"/>
    <w:rsid w:val="000F5B1B"/>
    <w:rsid w:val="000F6AE0"/>
    <w:rsid w:val="0010158F"/>
    <w:rsid w:val="0010233E"/>
    <w:rsid w:val="00103C07"/>
    <w:rsid w:val="00103D34"/>
    <w:rsid w:val="00103F76"/>
    <w:rsid w:val="00105CCD"/>
    <w:rsid w:val="00105D58"/>
    <w:rsid w:val="00107224"/>
    <w:rsid w:val="00107C1D"/>
    <w:rsid w:val="001103EF"/>
    <w:rsid w:val="00110558"/>
    <w:rsid w:val="00110A54"/>
    <w:rsid w:val="00110A9D"/>
    <w:rsid w:val="00110EBE"/>
    <w:rsid w:val="00112610"/>
    <w:rsid w:val="00112952"/>
    <w:rsid w:val="00113252"/>
    <w:rsid w:val="001135B4"/>
    <w:rsid w:val="001148EF"/>
    <w:rsid w:val="00115871"/>
    <w:rsid w:val="001163C3"/>
    <w:rsid w:val="00116741"/>
    <w:rsid w:val="00117530"/>
    <w:rsid w:val="00121FD1"/>
    <w:rsid w:val="0012202F"/>
    <w:rsid w:val="00122665"/>
    <w:rsid w:val="00122BA6"/>
    <w:rsid w:val="00122D50"/>
    <w:rsid w:val="00122F9F"/>
    <w:rsid w:val="00123ABC"/>
    <w:rsid w:val="00123C65"/>
    <w:rsid w:val="00124DCE"/>
    <w:rsid w:val="00125A2C"/>
    <w:rsid w:val="001265C4"/>
    <w:rsid w:val="00126945"/>
    <w:rsid w:val="00127437"/>
    <w:rsid w:val="001278AF"/>
    <w:rsid w:val="00127BA4"/>
    <w:rsid w:val="00127FDD"/>
    <w:rsid w:val="00130007"/>
    <w:rsid w:val="0013060C"/>
    <w:rsid w:val="00130F2B"/>
    <w:rsid w:val="00131B6A"/>
    <w:rsid w:val="00131CEF"/>
    <w:rsid w:val="00132814"/>
    <w:rsid w:val="00132BC4"/>
    <w:rsid w:val="0013365F"/>
    <w:rsid w:val="0013522E"/>
    <w:rsid w:val="001365B4"/>
    <w:rsid w:val="00140386"/>
    <w:rsid w:val="00141B95"/>
    <w:rsid w:val="00143295"/>
    <w:rsid w:val="001434E0"/>
    <w:rsid w:val="0014375D"/>
    <w:rsid w:val="0014459F"/>
    <w:rsid w:val="0014612C"/>
    <w:rsid w:val="00146486"/>
    <w:rsid w:val="00147A98"/>
    <w:rsid w:val="00150BA0"/>
    <w:rsid w:val="001516B5"/>
    <w:rsid w:val="001534DA"/>
    <w:rsid w:val="001542ED"/>
    <w:rsid w:val="001551AA"/>
    <w:rsid w:val="0015527F"/>
    <w:rsid w:val="001552FE"/>
    <w:rsid w:val="0015541E"/>
    <w:rsid w:val="00155564"/>
    <w:rsid w:val="001559CE"/>
    <w:rsid w:val="00156767"/>
    <w:rsid w:val="00156820"/>
    <w:rsid w:val="0015725A"/>
    <w:rsid w:val="001575D3"/>
    <w:rsid w:val="001604CE"/>
    <w:rsid w:val="00161345"/>
    <w:rsid w:val="00162CC0"/>
    <w:rsid w:val="00162CDD"/>
    <w:rsid w:val="00163C3F"/>
    <w:rsid w:val="00164148"/>
    <w:rsid w:val="00165102"/>
    <w:rsid w:val="00165BC7"/>
    <w:rsid w:val="00165F7A"/>
    <w:rsid w:val="00167A18"/>
    <w:rsid w:val="00171B5D"/>
    <w:rsid w:val="00171FFA"/>
    <w:rsid w:val="00172424"/>
    <w:rsid w:val="0017259D"/>
    <w:rsid w:val="001727E4"/>
    <w:rsid w:val="00173775"/>
    <w:rsid w:val="00174F09"/>
    <w:rsid w:val="0017634F"/>
    <w:rsid w:val="001767E9"/>
    <w:rsid w:val="00176966"/>
    <w:rsid w:val="00176E06"/>
    <w:rsid w:val="001774D2"/>
    <w:rsid w:val="001822D6"/>
    <w:rsid w:val="00182879"/>
    <w:rsid w:val="00182AF5"/>
    <w:rsid w:val="001842A1"/>
    <w:rsid w:val="00184AB0"/>
    <w:rsid w:val="001858F9"/>
    <w:rsid w:val="001859FF"/>
    <w:rsid w:val="00185C61"/>
    <w:rsid w:val="00186462"/>
    <w:rsid w:val="001873CE"/>
    <w:rsid w:val="00187DB9"/>
    <w:rsid w:val="00187FB1"/>
    <w:rsid w:val="0019032D"/>
    <w:rsid w:val="0019163E"/>
    <w:rsid w:val="00192298"/>
    <w:rsid w:val="0019275F"/>
    <w:rsid w:val="00192B72"/>
    <w:rsid w:val="00192BDF"/>
    <w:rsid w:val="0019334F"/>
    <w:rsid w:val="001934A4"/>
    <w:rsid w:val="001943A8"/>
    <w:rsid w:val="00195543"/>
    <w:rsid w:val="00195905"/>
    <w:rsid w:val="001962AC"/>
    <w:rsid w:val="0019645F"/>
    <w:rsid w:val="001973DF"/>
    <w:rsid w:val="00197EB6"/>
    <w:rsid w:val="001A13D5"/>
    <w:rsid w:val="001A1B93"/>
    <w:rsid w:val="001A2D76"/>
    <w:rsid w:val="001A30A8"/>
    <w:rsid w:val="001A396F"/>
    <w:rsid w:val="001A4DF4"/>
    <w:rsid w:val="001A4FD8"/>
    <w:rsid w:val="001A6EC2"/>
    <w:rsid w:val="001A7857"/>
    <w:rsid w:val="001B034A"/>
    <w:rsid w:val="001B230C"/>
    <w:rsid w:val="001B3C75"/>
    <w:rsid w:val="001B4212"/>
    <w:rsid w:val="001B54DB"/>
    <w:rsid w:val="001B64BB"/>
    <w:rsid w:val="001B64D6"/>
    <w:rsid w:val="001B666C"/>
    <w:rsid w:val="001B6E89"/>
    <w:rsid w:val="001B7458"/>
    <w:rsid w:val="001B751E"/>
    <w:rsid w:val="001C22CF"/>
    <w:rsid w:val="001C2E42"/>
    <w:rsid w:val="001C2F04"/>
    <w:rsid w:val="001C3535"/>
    <w:rsid w:val="001C3A29"/>
    <w:rsid w:val="001C3C87"/>
    <w:rsid w:val="001C3DC9"/>
    <w:rsid w:val="001C5F50"/>
    <w:rsid w:val="001C653B"/>
    <w:rsid w:val="001D040A"/>
    <w:rsid w:val="001D1154"/>
    <w:rsid w:val="001D123F"/>
    <w:rsid w:val="001D157C"/>
    <w:rsid w:val="001D1D86"/>
    <w:rsid w:val="001D1E8F"/>
    <w:rsid w:val="001D25C4"/>
    <w:rsid w:val="001D2C38"/>
    <w:rsid w:val="001D2D42"/>
    <w:rsid w:val="001D2F25"/>
    <w:rsid w:val="001D2FF5"/>
    <w:rsid w:val="001D4131"/>
    <w:rsid w:val="001D4C21"/>
    <w:rsid w:val="001D59DF"/>
    <w:rsid w:val="001D6F65"/>
    <w:rsid w:val="001D7281"/>
    <w:rsid w:val="001D7825"/>
    <w:rsid w:val="001E0B87"/>
    <w:rsid w:val="001E1524"/>
    <w:rsid w:val="001E1E38"/>
    <w:rsid w:val="001E2090"/>
    <w:rsid w:val="001E23EF"/>
    <w:rsid w:val="001E27A8"/>
    <w:rsid w:val="001E29D7"/>
    <w:rsid w:val="001E2B4A"/>
    <w:rsid w:val="001E3375"/>
    <w:rsid w:val="001E3E45"/>
    <w:rsid w:val="001E4109"/>
    <w:rsid w:val="001E4173"/>
    <w:rsid w:val="001E44D1"/>
    <w:rsid w:val="001E467B"/>
    <w:rsid w:val="001E67BD"/>
    <w:rsid w:val="001E701F"/>
    <w:rsid w:val="001E7132"/>
    <w:rsid w:val="001E7832"/>
    <w:rsid w:val="001F08C5"/>
    <w:rsid w:val="001F1577"/>
    <w:rsid w:val="001F1672"/>
    <w:rsid w:val="001F1755"/>
    <w:rsid w:val="001F1944"/>
    <w:rsid w:val="001F1C0D"/>
    <w:rsid w:val="001F2504"/>
    <w:rsid w:val="001F26DF"/>
    <w:rsid w:val="001F345B"/>
    <w:rsid w:val="001F4D01"/>
    <w:rsid w:val="001F589A"/>
    <w:rsid w:val="001F6315"/>
    <w:rsid w:val="00200BB8"/>
    <w:rsid w:val="00200E4E"/>
    <w:rsid w:val="00200EE6"/>
    <w:rsid w:val="00202CB5"/>
    <w:rsid w:val="00204050"/>
    <w:rsid w:val="00204B03"/>
    <w:rsid w:val="00205547"/>
    <w:rsid w:val="00205747"/>
    <w:rsid w:val="00205AC5"/>
    <w:rsid w:val="00206DA4"/>
    <w:rsid w:val="00206FB5"/>
    <w:rsid w:val="002108F7"/>
    <w:rsid w:val="00210F51"/>
    <w:rsid w:val="0021120C"/>
    <w:rsid w:val="00212CA4"/>
    <w:rsid w:val="00212D87"/>
    <w:rsid w:val="00213088"/>
    <w:rsid w:val="00214107"/>
    <w:rsid w:val="002149BA"/>
    <w:rsid w:val="00214DE6"/>
    <w:rsid w:val="00215B30"/>
    <w:rsid w:val="00215D44"/>
    <w:rsid w:val="002165A4"/>
    <w:rsid w:val="00217574"/>
    <w:rsid w:val="00217E9A"/>
    <w:rsid w:val="00221067"/>
    <w:rsid w:val="00221A6C"/>
    <w:rsid w:val="002226FC"/>
    <w:rsid w:val="00224DFD"/>
    <w:rsid w:val="00226565"/>
    <w:rsid w:val="00226C70"/>
    <w:rsid w:val="00226D67"/>
    <w:rsid w:val="002271AB"/>
    <w:rsid w:val="00227222"/>
    <w:rsid w:val="002275B6"/>
    <w:rsid w:val="00227A39"/>
    <w:rsid w:val="00227ECC"/>
    <w:rsid w:val="00227F02"/>
    <w:rsid w:val="00230220"/>
    <w:rsid w:val="00230AD2"/>
    <w:rsid w:val="00230CFB"/>
    <w:rsid w:val="00231642"/>
    <w:rsid w:val="002319FF"/>
    <w:rsid w:val="00232729"/>
    <w:rsid w:val="00233376"/>
    <w:rsid w:val="00233ADA"/>
    <w:rsid w:val="002344B3"/>
    <w:rsid w:val="00234A8B"/>
    <w:rsid w:val="00234D65"/>
    <w:rsid w:val="002355C1"/>
    <w:rsid w:val="00236845"/>
    <w:rsid w:val="00237691"/>
    <w:rsid w:val="00241AB9"/>
    <w:rsid w:val="002424E3"/>
    <w:rsid w:val="0024264C"/>
    <w:rsid w:val="00242AB0"/>
    <w:rsid w:val="00242BF2"/>
    <w:rsid w:val="0024359C"/>
    <w:rsid w:val="00244049"/>
    <w:rsid w:val="0024492C"/>
    <w:rsid w:val="00245188"/>
    <w:rsid w:val="002452E6"/>
    <w:rsid w:val="002473F8"/>
    <w:rsid w:val="002513AD"/>
    <w:rsid w:val="00251567"/>
    <w:rsid w:val="00252566"/>
    <w:rsid w:val="00253366"/>
    <w:rsid w:val="002533D2"/>
    <w:rsid w:val="002534AC"/>
    <w:rsid w:val="00254F09"/>
    <w:rsid w:val="00255634"/>
    <w:rsid w:val="00255C5C"/>
    <w:rsid w:val="00255F7B"/>
    <w:rsid w:val="00256E1A"/>
    <w:rsid w:val="00261AFC"/>
    <w:rsid w:val="00262C6F"/>
    <w:rsid w:val="00263163"/>
    <w:rsid w:val="00263ACA"/>
    <w:rsid w:val="00264913"/>
    <w:rsid w:val="00266067"/>
    <w:rsid w:val="0026643C"/>
    <w:rsid w:val="00270CC6"/>
    <w:rsid w:val="00270F82"/>
    <w:rsid w:val="002719DC"/>
    <w:rsid w:val="00273F8D"/>
    <w:rsid w:val="00274137"/>
    <w:rsid w:val="00274481"/>
    <w:rsid w:val="002751E5"/>
    <w:rsid w:val="00275501"/>
    <w:rsid w:val="00277B51"/>
    <w:rsid w:val="00280275"/>
    <w:rsid w:val="00280694"/>
    <w:rsid w:val="00282D6B"/>
    <w:rsid w:val="00283761"/>
    <w:rsid w:val="00283DCD"/>
    <w:rsid w:val="00284B2C"/>
    <w:rsid w:val="00285E53"/>
    <w:rsid w:val="002874C0"/>
    <w:rsid w:val="00287CD6"/>
    <w:rsid w:val="002909D9"/>
    <w:rsid w:val="0029190D"/>
    <w:rsid w:val="00292C42"/>
    <w:rsid w:val="002932AC"/>
    <w:rsid w:val="002941DD"/>
    <w:rsid w:val="00294A50"/>
    <w:rsid w:val="0029649A"/>
    <w:rsid w:val="00296A35"/>
    <w:rsid w:val="00297265"/>
    <w:rsid w:val="002A0242"/>
    <w:rsid w:val="002A36A3"/>
    <w:rsid w:val="002A4C65"/>
    <w:rsid w:val="002A5320"/>
    <w:rsid w:val="002A5523"/>
    <w:rsid w:val="002A694B"/>
    <w:rsid w:val="002A6CB0"/>
    <w:rsid w:val="002A77C0"/>
    <w:rsid w:val="002B02D5"/>
    <w:rsid w:val="002B0D72"/>
    <w:rsid w:val="002B2646"/>
    <w:rsid w:val="002B3A0A"/>
    <w:rsid w:val="002B3E10"/>
    <w:rsid w:val="002B4629"/>
    <w:rsid w:val="002B519C"/>
    <w:rsid w:val="002B5643"/>
    <w:rsid w:val="002B7EEF"/>
    <w:rsid w:val="002C067A"/>
    <w:rsid w:val="002C0D70"/>
    <w:rsid w:val="002C122C"/>
    <w:rsid w:val="002C144C"/>
    <w:rsid w:val="002C1C7C"/>
    <w:rsid w:val="002C2C8F"/>
    <w:rsid w:val="002C3218"/>
    <w:rsid w:val="002C4438"/>
    <w:rsid w:val="002C67B1"/>
    <w:rsid w:val="002C6C82"/>
    <w:rsid w:val="002D068E"/>
    <w:rsid w:val="002D0A4F"/>
    <w:rsid w:val="002D12AB"/>
    <w:rsid w:val="002D1331"/>
    <w:rsid w:val="002D1783"/>
    <w:rsid w:val="002D2103"/>
    <w:rsid w:val="002D2204"/>
    <w:rsid w:val="002D4B67"/>
    <w:rsid w:val="002D4D3B"/>
    <w:rsid w:val="002D5127"/>
    <w:rsid w:val="002D5413"/>
    <w:rsid w:val="002D542E"/>
    <w:rsid w:val="002E0B71"/>
    <w:rsid w:val="002E0CE2"/>
    <w:rsid w:val="002E10DB"/>
    <w:rsid w:val="002E1EBD"/>
    <w:rsid w:val="002E3493"/>
    <w:rsid w:val="002E3605"/>
    <w:rsid w:val="002E3BE2"/>
    <w:rsid w:val="002E5336"/>
    <w:rsid w:val="002E5FBB"/>
    <w:rsid w:val="002E603F"/>
    <w:rsid w:val="002E67B5"/>
    <w:rsid w:val="002E7C80"/>
    <w:rsid w:val="002F0294"/>
    <w:rsid w:val="002F0FD1"/>
    <w:rsid w:val="002F150B"/>
    <w:rsid w:val="002F1805"/>
    <w:rsid w:val="002F2781"/>
    <w:rsid w:val="002F2D15"/>
    <w:rsid w:val="002F35E8"/>
    <w:rsid w:val="002F3C0E"/>
    <w:rsid w:val="002F3C50"/>
    <w:rsid w:val="002F54D1"/>
    <w:rsid w:val="002F6044"/>
    <w:rsid w:val="002F6258"/>
    <w:rsid w:val="002F73F5"/>
    <w:rsid w:val="002F7A0D"/>
    <w:rsid w:val="003011DF"/>
    <w:rsid w:val="00302879"/>
    <w:rsid w:val="00302A34"/>
    <w:rsid w:val="00303647"/>
    <w:rsid w:val="00303A06"/>
    <w:rsid w:val="00303D14"/>
    <w:rsid w:val="00304838"/>
    <w:rsid w:val="003050BB"/>
    <w:rsid w:val="003059B4"/>
    <w:rsid w:val="00306B02"/>
    <w:rsid w:val="00306E8F"/>
    <w:rsid w:val="003101DE"/>
    <w:rsid w:val="00311220"/>
    <w:rsid w:val="003128DF"/>
    <w:rsid w:val="00313DB6"/>
    <w:rsid w:val="00315B10"/>
    <w:rsid w:val="003162AE"/>
    <w:rsid w:val="003203C3"/>
    <w:rsid w:val="00320E61"/>
    <w:rsid w:val="0032164C"/>
    <w:rsid w:val="00321C55"/>
    <w:rsid w:val="00324CAF"/>
    <w:rsid w:val="003253B9"/>
    <w:rsid w:val="003253F7"/>
    <w:rsid w:val="00330438"/>
    <w:rsid w:val="00331E77"/>
    <w:rsid w:val="00332817"/>
    <w:rsid w:val="00333035"/>
    <w:rsid w:val="00334A3A"/>
    <w:rsid w:val="00334D20"/>
    <w:rsid w:val="00334F5B"/>
    <w:rsid w:val="00335C94"/>
    <w:rsid w:val="0033635D"/>
    <w:rsid w:val="00336632"/>
    <w:rsid w:val="003370BF"/>
    <w:rsid w:val="00337A38"/>
    <w:rsid w:val="00337DF5"/>
    <w:rsid w:val="00340079"/>
    <w:rsid w:val="00340978"/>
    <w:rsid w:val="00343107"/>
    <w:rsid w:val="003450C2"/>
    <w:rsid w:val="0034512D"/>
    <w:rsid w:val="00347F38"/>
    <w:rsid w:val="00350D77"/>
    <w:rsid w:val="00353D22"/>
    <w:rsid w:val="00354D33"/>
    <w:rsid w:val="0035509E"/>
    <w:rsid w:val="003558E6"/>
    <w:rsid w:val="0035607B"/>
    <w:rsid w:val="00356181"/>
    <w:rsid w:val="003571E1"/>
    <w:rsid w:val="00360F2D"/>
    <w:rsid w:val="0036375B"/>
    <w:rsid w:val="00363CF0"/>
    <w:rsid w:val="00363E8C"/>
    <w:rsid w:val="00365058"/>
    <w:rsid w:val="00365885"/>
    <w:rsid w:val="00365A30"/>
    <w:rsid w:val="00365FE1"/>
    <w:rsid w:val="003662BC"/>
    <w:rsid w:val="003666DA"/>
    <w:rsid w:val="00367D53"/>
    <w:rsid w:val="00370DCF"/>
    <w:rsid w:val="003711B6"/>
    <w:rsid w:val="00372C1A"/>
    <w:rsid w:val="003740FD"/>
    <w:rsid w:val="003764F4"/>
    <w:rsid w:val="0037750D"/>
    <w:rsid w:val="003777E5"/>
    <w:rsid w:val="003803CA"/>
    <w:rsid w:val="003806B4"/>
    <w:rsid w:val="003808C3"/>
    <w:rsid w:val="00380A51"/>
    <w:rsid w:val="0038278D"/>
    <w:rsid w:val="00383C56"/>
    <w:rsid w:val="00383F38"/>
    <w:rsid w:val="00384E17"/>
    <w:rsid w:val="0038516E"/>
    <w:rsid w:val="003857AD"/>
    <w:rsid w:val="00385D74"/>
    <w:rsid w:val="00386B32"/>
    <w:rsid w:val="00387EC6"/>
    <w:rsid w:val="00390071"/>
    <w:rsid w:val="0039118A"/>
    <w:rsid w:val="00391354"/>
    <w:rsid w:val="00391852"/>
    <w:rsid w:val="00391888"/>
    <w:rsid w:val="00391DE5"/>
    <w:rsid w:val="00392C2B"/>
    <w:rsid w:val="00392D3D"/>
    <w:rsid w:val="00392F8A"/>
    <w:rsid w:val="003937E1"/>
    <w:rsid w:val="00393CA3"/>
    <w:rsid w:val="00393E29"/>
    <w:rsid w:val="00393EEA"/>
    <w:rsid w:val="0039480D"/>
    <w:rsid w:val="003964DB"/>
    <w:rsid w:val="003967EA"/>
    <w:rsid w:val="003A05F9"/>
    <w:rsid w:val="003A149B"/>
    <w:rsid w:val="003A3E10"/>
    <w:rsid w:val="003A6165"/>
    <w:rsid w:val="003A7A39"/>
    <w:rsid w:val="003A7C86"/>
    <w:rsid w:val="003B06ED"/>
    <w:rsid w:val="003B0B21"/>
    <w:rsid w:val="003B0E44"/>
    <w:rsid w:val="003B256C"/>
    <w:rsid w:val="003B28AF"/>
    <w:rsid w:val="003B3EDA"/>
    <w:rsid w:val="003B46C6"/>
    <w:rsid w:val="003B5164"/>
    <w:rsid w:val="003B528D"/>
    <w:rsid w:val="003B599F"/>
    <w:rsid w:val="003B6CDA"/>
    <w:rsid w:val="003B783C"/>
    <w:rsid w:val="003B7A75"/>
    <w:rsid w:val="003C0A18"/>
    <w:rsid w:val="003C1207"/>
    <w:rsid w:val="003C1D35"/>
    <w:rsid w:val="003C3980"/>
    <w:rsid w:val="003C3F57"/>
    <w:rsid w:val="003C6317"/>
    <w:rsid w:val="003C69D2"/>
    <w:rsid w:val="003C6FB2"/>
    <w:rsid w:val="003C7F2F"/>
    <w:rsid w:val="003D2E05"/>
    <w:rsid w:val="003D31B1"/>
    <w:rsid w:val="003D4530"/>
    <w:rsid w:val="003D486C"/>
    <w:rsid w:val="003D4A58"/>
    <w:rsid w:val="003D5265"/>
    <w:rsid w:val="003D61DB"/>
    <w:rsid w:val="003D686D"/>
    <w:rsid w:val="003D695E"/>
    <w:rsid w:val="003D7664"/>
    <w:rsid w:val="003E0210"/>
    <w:rsid w:val="003E0DF0"/>
    <w:rsid w:val="003E0EB7"/>
    <w:rsid w:val="003E125F"/>
    <w:rsid w:val="003E212A"/>
    <w:rsid w:val="003E272C"/>
    <w:rsid w:val="003E4406"/>
    <w:rsid w:val="003E4647"/>
    <w:rsid w:val="003E5245"/>
    <w:rsid w:val="003E634F"/>
    <w:rsid w:val="003E65BF"/>
    <w:rsid w:val="003E6787"/>
    <w:rsid w:val="003E7157"/>
    <w:rsid w:val="003E71A0"/>
    <w:rsid w:val="003F0CE1"/>
    <w:rsid w:val="003F2219"/>
    <w:rsid w:val="003F2CB8"/>
    <w:rsid w:val="003F38BF"/>
    <w:rsid w:val="003F41CF"/>
    <w:rsid w:val="003F636B"/>
    <w:rsid w:val="003F7793"/>
    <w:rsid w:val="00400584"/>
    <w:rsid w:val="00400CBF"/>
    <w:rsid w:val="004010A5"/>
    <w:rsid w:val="00402661"/>
    <w:rsid w:val="0040285D"/>
    <w:rsid w:val="00403418"/>
    <w:rsid w:val="00403C05"/>
    <w:rsid w:val="00403EBA"/>
    <w:rsid w:val="004058C9"/>
    <w:rsid w:val="004060E2"/>
    <w:rsid w:val="004076DC"/>
    <w:rsid w:val="00407F7E"/>
    <w:rsid w:val="004108A9"/>
    <w:rsid w:val="004108DB"/>
    <w:rsid w:val="00411621"/>
    <w:rsid w:val="00411CCA"/>
    <w:rsid w:val="00412FCB"/>
    <w:rsid w:val="004134CE"/>
    <w:rsid w:val="00413E93"/>
    <w:rsid w:val="00414E5A"/>
    <w:rsid w:val="00415032"/>
    <w:rsid w:val="00415171"/>
    <w:rsid w:val="0041625E"/>
    <w:rsid w:val="004166A7"/>
    <w:rsid w:val="00416D24"/>
    <w:rsid w:val="00420283"/>
    <w:rsid w:val="00420DFC"/>
    <w:rsid w:val="00421991"/>
    <w:rsid w:val="0042224A"/>
    <w:rsid w:val="00423BA8"/>
    <w:rsid w:val="00424430"/>
    <w:rsid w:val="00424C98"/>
    <w:rsid w:val="0042713B"/>
    <w:rsid w:val="00427920"/>
    <w:rsid w:val="004317BB"/>
    <w:rsid w:val="0043221A"/>
    <w:rsid w:val="00433188"/>
    <w:rsid w:val="004342ED"/>
    <w:rsid w:val="00434C62"/>
    <w:rsid w:val="00440A9B"/>
    <w:rsid w:val="00440DE9"/>
    <w:rsid w:val="004411AB"/>
    <w:rsid w:val="00443C32"/>
    <w:rsid w:val="00444584"/>
    <w:rsid w:val="00446421"/>
    <w:rsid w:val="004469FB"/>
    <w:rsid w:val="00446D01"/>
    <w:rsid w:val="004501DC"/>
    <w:rsid w:val="00450B85"/>
    <w:rsid w:val="00453BF9"/>
    <w:rsid w:val="0045407A"/>
    <w:rsid w:val="00454D4D"/>
    <w:rsid w:val="00455CBA"/>
    <w:rsid w:val="00456559"/>
    <w:rsid w:val="00456E49"/>
    <w:rsid w:val="0045723E"/>
    <w:rsid w:val="0045731D"/>
    <w:rsid w:val="00457816"/>
    <w:rsid w:val="00457DB0"/>
    <w:rsid w:val="00460993"/>
    <w:rsid w:val="00460C76"/>
    <w:rsid w:val="00462644"/>
    <w:rsid w:val="004643A8"/>
    <w:rsid w:val="00464C2F"/>
    <w:rsid w:val="00464E87"/>
    <w:rsid w:val="00465C3F"/>
    <w:rsid w:val="0046624B"/>
    <w:rsid w:val="004663B0"/>
    <w:rsid w:val="00466A76"/>
    <w:rsid w:val="00466FD5"/>
    <w:rsid w:val="0046716E"/>
    <w:rsid w:val="004671FE"/>
    <w:rsid w:val="00467C0A"/>
    <w:rsid w:val="00467C17"/>
    <w:rsid w:val="00467DD9"/>
    <w:rsid w:val="004707FE"/>
    <w:rsid w:val="00470D6A"/>
    <w:rsid w:val="00473234"/>
    <w:rsid w:val="004735A6"/>
    <w:rsid w:val="00473EE4"/>
    <w:rsid w:val="004745CE"/>
    <w:rsid w:val="004770D0"/>
    <w:rsid w:val="0047746F"/>
    <w:rsid w:val="00477F52"/>
    <w:rsid w:val="00480B44"/>
    <w:rsid w:val="00480F94"/>
    <w:rsid w:val="004822D6"/>
    <w:rsid w:val="0048237D"/>
    <w:rsid w:val="00483D42"/>
    <w:rsid w:val="00483D71"/>
    <w:rsid w:val="0048596B"/>
    <w:rsid w:val="004871AF"/>
    <w:rsid w:val="004879D4"/>
    <w:rsid w:val="00487D6D"/>
    <w:rsid w:val="004900E0"/>
    <w:rsid w:val="00490EDE"/>
    <w:rsid w:val="00491408"/>
    <w:rsid w:val="004914D4"/>
    <w:rsid w:val="00491774"/>
    <w:rsid w:val="00491980"/>
    <w:rsid w:val="00492253"/>
    <w:rsid w:val="0049373D"/>
    <w:rsid w:val="00494596"/>
    <w:rsid w:val="00495ECD"/>
    <w:rsid w:val="004967C7"/>
    <w:rsid w:val="00496C08"/>
    <w:rsid w:val="00496C52"/>
    <w:rsid w:val="004A02F0"/>
    <w:rsid w:val="004A079E"/>
    <w:rsid w:val="004A1019"/>
    <w:rsid w:val="004A2487"/>
    <w:rsid w:val="004A279D"/>
    <w:rsid w:val="004A3178"/>
    <w:rsid w:val="004A32D0"/>
    <w:rsid w:val="004A3933"/>
    <w:rsid w:val="004A3CA0"/>
    <w:rsid w:val="004A3E40"/>
    <w:rsid w:val="004A487E"/>
    <w:rsid w:val="004A6CC3"/>
    <w:rsid w:val="004A6EB1"/>
    <w:rsid w:val="004A7A09"/>
    <w:rsid w:val="004A7E51"/>
    <w:rsid w:val="004B1904"/>
    <w:rsid w:val="004B2650"/>
    <w:rsid w:val="004B347B"/>
    <w:rsid w:val="004B4408"/>
    <w:rsid w:val="004B4410"/>
    <w:rsid w:val="004B4476"/>
    <w:rsid w:val="004B4984"/>
    <w:rsid w:val="004B5794"/>
    <w:rsid w:val="004B5C85"/>
    <w:rsid w:val="004B5E8B"/>
    <w:rsid w:val="004B6317"/>
    <w:rsid w:val="004B7ECA"/>
    <w:rsid w:val="004B7FF8"/>
    <w:rsid w:val="004C05BA"/>
    <w:rsid w:val="004C07D7"/>
    <w:rsid w:val="004C0D6D"/>
    <w:rsid w:val="004C4750"/>
    <w:rsid w:val="004C4C4F"/>
    <w:rsid w:val="004C562E"/>
    <w:rsid w:val="004C5A71"/>
    <w:rsid w:val="004C6CF5"/>
    <w:rsid w:val="004C6E19"/>
    <w:rsid w:val="004D10AD"/>
    <w:rsid w:val="004D1348"/>
    <w:rsid w:val="004D1475"/>
    <w:rsid w:val="004D2205"/>
    <w:rsid w:val="004D27C6"/>
    <w:rsid w:val="004D2C79"/>
    <w:rsid w:val="004D362B"/>
    <w:rsid w:val="004D3762"/>
    <w:rsid w:val="004D4229"/>
    <w:rsid w:val="004D44EF"/>
    <w:rsid w:val="004D467F"/>
    <w:rsid w:val="004D6319"/>
    <w:rsid w:val="004D67E3"/>
    <w:rsid w:val="004D771F"/>
    <w:rsid w:val="004D7B57"/>
    <w:rsid w:val="004E03CB"/>
    <w:rsid w:val="004E5DBC"/>
    <w:rsid w:val="004E5DCB"/>
    <w:rsid w:val="004E5E46"/>
    <w:rsid w:val="004E6387"/>
    <w:rsid w:val="004E6D18"/>
    <w:rsid w:val="004F31E5"/>
    <w:rsid w:val="004F3850"/>
    <w:rsid w:val="004F3AD8"/>
    <w:rsid w:val="004F3C8D"/>
    <w:rsid w:val="004F5029"/>
    <w:rsid w:val="004F56DE"/>
    <w:rsid w:val="004F5977"/>
    <w:rsid w:val="004F6893"/>
    <w:rsid w:val="0050008D"/>
    <w:rsid w:val="005001BB"/>
    <w:rsid w:val="0050045F"/>
    <w:rsid w:val="005007C8"/>
    <w:rsid w:val="00500B5F"/>
    <w:rsid w:val="00501697"/>
    <w:rsid w:val="00501DDE"/>
    <w:rsid w:val="00506A36"/>
    <w:rsid w:val="005071D4"/>
    <w:rsid w:val="00507814"/>
    <w:rsid w:val="00511870"/>
    <w:rsid w:val="00511B2B"/>
    <w:rsid w:val="005122DB"/>
    <w:rsid w:val="005128D0"/>
    <w:rsid w:val="0051352D"/>
    <w:rsid w:val="00513E11"/>
    <w:rsid w:val="00514371"/>
    <w:rsid w:val="00515C7A"/>
    <w:rsid w:val="00516E58"/>
    <w:rsid w:val="00517ECB"/>
    <w:rsid w:val="005209A8"/>
    <w:rsid w:val="00523820"/>
    <w:rsid w:val="00523BAD"/>
    <w:rsid w:val="00523DD0"/>
    <w:rsid w:val="00524D54"/>
    <w:rsid w:val="0052511B"/>
    <w:rsid w:val="00525742"/>
    <w:rsid w:val="005269A6"/>
    <w:rsid w:val="00527009"/>
    <w:rsid w:val="00527DCC"/>
    <w:rsid w:val="00530144"/>
    <w:rsid w:val="005303A2"/>
    <w:rsid w:val="00531124"/>
    <w:rsid w:val="00531776"/>
    <w:rsid w:val="005320B6"/>
    <w:rsid w:val="00532113"/>
    <w:rsid w:val="0053279D"/>
    <w:rsid w:val="00533317"/>
    <w:rsid w:val="00533E1F"/>
    <w:rsid w:val="00534893"/>
    <w:rsid w:val="00535186"/>
    <w:rsid w:val="0053601C"/>
    <w:rsid w:val="005370AD"/>
    <w:rsid w:val="005373E4"/>
    <w:rsid w:val="0053753F"/>
    <w:rsid w:val="00541440"/>
    <w:rsid w:val="00541870"/>
    <w:rsid w:val="00542792"/>
    <w:rsid w:val="00545465"/>
    <w:rsid w:val="00546740"/>
    <w:rsid w:val="00546BEC"/>
    <w:rsid w:val="0055046B"/>
    <w:rsid w:val="00553725"/>
    <w:rsid w:val="00553D0C"/>
    <w:rsid w:val="00554420"/>
    <w:rsid w:val="005544CA"/>
    <w:rsid w:val="00554FFA"/>
    <w:rsid w:val="00557A2A"/>
    <w:rsid w:val="00557F3C"/>
    <w:rsid w:val="0056237C"/>
    <w:rsid w:val="00562441"/>
    <w:rsid w:val="00562D98"/>
    <w:rsid w:val="00562E3F"/>
    <w:rsid w:val="005635F6"/>
    <w:rsid w:val="0056466F"/>
    <w:rsid w:val="005651D0"/>
    <w:rsid w:val="005655D3"/>
    <w:rsid w:val="00566658"/>
    <w:rsid w:val="00566CC6"/>
    <w:rsid w:val="0056716E"/>
    <w:rsid w:val="00571AFF"/>
    <w:rsid w:val="005720AA"/>
    <w:rsid w:val="00572AC8"/>
    <w:rsid w:val="005745FA"/>
    <w:rsid w:val="00574843"/>
    <w:rsid w:val="00574AB4"/>
    <w:rsid w:val="005753BE"/>
    <w:rsid w:val="00576032"/>
    <w:rsid w:val="00576430"/>
    <w:rsid w:val="005770F1"/>
    <w:rsid w:val="005803AB"/>
    <w:rsid w:val="00580562"/>
    <w:rsid w:val="00580EAB"/>
    <w:rsid w:val="00582814"/>
    <w:rsid w:val="005830AB"/>
    <w:rsid w:val="005837AE"/>
    <w:rsid w:val="005851D7"/>
    <w:rsid w:val="005862C1"/>
    <w:rsid w:val="00587218"/>
    <w:rsid w:val="005876D8"/>
    <w:rsid w:val="005879F5"/>
    <w:rsid w:val="00590DA1"/>
    <w:rsid w:val="00591F27"/>
    <w:rsid w:val="00592166"/>
    <w:rsid w:val="0059236D"/>
    <w:rsid w:val="005938E7"/>
    <w:rsid w:val="0059510E"/>
    <w:rsid w:val="005964DF"/>
    <w:rsid w:val="005967E2"/>
    <w:rsid w:val="005975D5"/>
    <w:rsid w:val="005A0AC1"/>
    <w:rsid w:val="005A0CC9"/>
    <w:rsid w:val="005A0D52"/>
    <w:rsid w:val="005A0F60"/>
    <w:rsid w:val="005A1A1F"/>
    <w:rsid w:val="005A1F29"/>
    <w:rsid w:val="005A2029"/>
    <w:rsid w:val="005A3577"/>
    <w:rsid w:val="005A3593"/>
    <w:rsid w:val="005A47B4"/>
    <w:rsid w:val="005A527C"/>
    <w:rsid w:val="005A5614"/>
    <w:rsid w:val="005A60FA"/>
    <w:rsid w:val="005A75F8"/>
    <w:rsid w:val="005A7AC0"/>
    <w:rsid w:val="005A7C18"/>
    <w:rsid w:val="005B1460"/>
    <w:rsid w:val="005B3197"/>
    <w:rsid w:val="005B32A1"/>
    <w:rsid w:val="005B4A9F"/>
    <w:rsid w:val="005B505E"/>
    <w:rsid w:val="005B50C1"/>
    <w:rsid w:val="005B6FEB"/>
    <w:rsid w:val="005C0257"/>
    <w:rsid w:val="005C0569"/>
    <w:rsid w:val="005C17A9"/>
    <w:rsid w:val="005C1978"/>
    <w:rsid w:val="005C1CCA"/>
    <w:rsid w:val="005C1D98"/>
    <w:rsid w:val="005C1DE2"/>
    <w:rsid w:val="005C26F9"/>
    <w:rsid w:val="005C27A7"/>
    <w:rsid w:val="005C2A3B"/>
    <w:rsid w:val="005C3418"/>
    <w:rsid w:val="005C6996"/>
    <w:rsid w:val="005C6A8C"/>
    <w:rsid w:val="005C722E"/>
    <w:rsid w:val="005C7D20"/>
    <w:rsid w:val="005D0199"/>
    <w:rsid w:val="005D04EB"/>
    <w:rsid w:val="005D0F55"/>
    <w:rsid w:val="005D1017"/>
    <w:rsid w:val="005D1B67"/>
    <w:rsid w:val="005D26F4"/>
    <w:rsid w:val="005D3134"/>
    <w:rsid w:val="005D3DC0"/>
    <w:rsid w:val="005D3FB1"/>
    <w:rsid w:val="005D5073"/>
    <w:rsid w:val="005D59D0"/>
    <w:rsid w:val="005D6A0B"/>
    <w:rsid w:val="005D6AA4"/>
    <w:rsid w:val="005D73A1"/>
    <w:rsid w:val="005E1030"/>
    <w:rsid w:val="005E22AD"/>
    <w:rsid w:val="005E2343"/>
    <w:rsid w:val="005E4487"/>
    <w:rsid w:val="005E4B12"/>
    <w:rsid w:val="005E5C2C"/>
    <w:rsid w:val="005E5CE3"/>
    <w:rsid w:val="005E5D35"/>
    <w:rsid w:val="005E64D0"/>
    <w:rsid w:val="005E679E"/>
    <w:rsid w:val="005E6E9C"/>
    <w:rsid w:val="005E7B81"/>
    <w:rsid w:val="005F1139"/>
    <w:rsid w:val="005F131E"/>
    <w:rsid w:val="005F2873"/>
    <w:rsid w:val="005F2C03"/>
    <w:rsid w:val="005F2E0E"/>
    <w:rsid w:val="005F351D"/>
    <w:rsid w:val="005F398F"/>
    <w:rsid w:val="005F4697"/>
    <w:rsid w:val="005F4C53"/>
    <w:rsid w:val="005F4E5D"/>
    <w:rsid w:val="005F5D56"/>
    <w:rsid w:val="005F629F"/>
    <w:rsid w:val="00600D8F"/>
    <w:rsid w:val="00601458"/>
    <w:rsid w:val="006018A2"/>
    <w:rsid w:val="00606623"/>
    <w:rsid w:val="00606D23"/>
    <w:rsid w:val="00606E4C"/>
    <w:rsid w:val="00606EB8"/>
    <w:rsid w:val="00610713"/>
    <w:rsid w:val="00610EB9"/>
    <w:rsid w:val="00611C75"/>
    <w:rsid w:val="00613C8C"/>
    <w:rsid w:val="00614060"/>
    <w:rsid w:val="00614456"/>
    <w:rsid w:val="00614B9B"/>
    <w:rsid w:val="006157B0"/>
    <w:rsid w:val="006165CB"/>
    <w:rsid w:val="00621186"/>
    <w:rsid w:val="00621B85"/>
    <w:rsid w:val="00622A2E"/>
    <w:rsid w:val="00622C2E"/>
    <w:rsid w:val="0062326B"/>
    <w:rsid w:val="0062367C"/>
    <w:rsid w:val="00624713"/>
    <w:rsid w:val="00624ABC"/>
    <w:rsid w:val="00625701"/>
    <w:rsid w:val="0062616A"/>
    <w:rsid w:val="00630146"/>
    <w:rsid w:val="006325E6"/>
    <w:rsid w:val="00632D26"/>
    <w:rsid w:val="00632FC9"/>
    <w:rsid w:val="00633471"/>
    <w:rsid w:val="006340DA"/>
    <w:rsid w:val="00634448"/>
    <w:rsid w:val="00636824"/>
    <w:rsid w:val="0064099E"/>
    <w:rsid w:val="00644B64"/>
    <w:rsid w:val="0064521B"/>
    <w:rsid w:val="00652D14"/>
    <w:rsid w:val="00652D4A"/>
    <w:rsid w:val="0065309B"/>
    <w:rsid w:val="00653A44"/>
    <w:rsid w:val="00653DAD"/>
    <w:rsid w:val="00654E3B"/>
    <w:rsid w:val="00656238"/>
    <w:rsid w:val="00656376"/>
    <w:rsid w:val="00656902"/>
    <w:rsid w:val="006569FC"/>
    <w:rsid w:val="0066019A"/>
    <w:rsid w:val="00661761"/>
    <w:rsid w:val="006620EE"/>
    <w:rsid w:val="006627CC"/>
    <w:rsid w:val="006633D8"/>
    <w:rsid w:val="00663D23"/>
    <w:rsid w:val="00665C4B"/>
    <w:rsid w:val="0066600F"/>
    <w:rsid w:val="0066619A"/>
    <w:rsid w:val="00666BAB"/>
    <w:rsid w:val="00666D3E"/>
    <w:rsid w:val="00667848"/>
    <w:rsid w:val="00667DFA"/>
    <w:rsid w:val="00667F21"/>
    <w:rsid w:val="00670056"/>
    <w:rsid w:val="00670534"/>
    <w:rsid w:val="00670DD3"/>
    <w:rsid w:val="00672DFA"/>
    <w:rsid w:val="006736C1"/>
    <w:rsid w:val="0067376E"/>
    <w:rsid w:val="00673BE9"/>
    <w:rsid w:val="00674103"/>
    <w:rsid w:val="00674513"/>
    <w:rsid w:val="00675260"/>
    <w:rsid w:val="00675645"/>
    <w:rsid w:val="006756EC"/>
    <w:rsid w:val="0067689D"/>
    <w:rsid w:val="00676A13"/>
    <w:rsid w:val="00676B0F"/>
    <w:rsid w:val="00677337"/>
    <w:rsid w:val="00677A8B"/>
    <w:rsid w:val="00682CDB"/>
    <w:rsid w:val="0068389F"/>
    <w:rsid w:val="00684B28"/>
    <w:rsid w:val="006851E9"/>
    <w:rsid w:val="00685ECD"/>
    <w:rsid w:val="00687627"/>
    <w:rsid w:val="006876F9"/>
    <w:rsid w:val="00687E38"/>
    <w:rsid w:val="00690CE3"/>
    <w:rsid w:val="00692265"/>
    <w:rsid w:val="00692D3D"/>
    <w:rsid w:val="00693515"/>
    <w:rsid w:val="00694318"/>
    <w:rsid w:val="00694D07"/>
    <w:rsid w:val="00694E3C"/>
    <w:rsid w:val="006950AA"/>
    <w:rsid w:val="00695912"/>
    <w:rsid w:val="00696FB7"/>
    <w:rsid w:val="006A0E50"/>
    <w:rsid w:val="006A15A4"/>
    <w:rsid w:val="006A1AC4"/>
    <w:rsid w:val="006A25ED"/>
    <w:rsid w:val="006A2B80"/>
    <w:rsid w:val="006A365D"/>
    <w:rsid w:val="006A48B1"/>
    <w:rsid w:val="006A4AED"/>
    <w:rsid w:val="006A4AFE"/>
    <w:rsid w:val="006A4C96"/>
    <w:rsid w:val="006A5546"/>
    <w:rsid w:val="006A65DC"/>
    <w:rsid w:val="006A6B58"/>
    <w:rsid w:val="006A6C34"/>
    <w:rsid w:val="006B2874"/>
    <w:rsid w:val="006B3278"/>
    <w:rsid w:val="006B3531"/>
    <w:rsid w:val="006B3AF4"/>
    <w:rsid w:val="006B4682"/>
    <w:rsid w:val="006B4C83"/>
    <w:rsid w:val="006B57D2"/>
    <w:rsid w:val="006B616A"/>
    <w:rsid w:val="006B6F17"/>
    <w:rsid w:val="006B6FC8"/>
    <w:rsid w:val="006C047F"/>
    <w:rsid w:val="006C0869"/>
    <w:rsid w:val="006C110A"/>
    <w:rsid w:val="006C2B84"/>
    <w:rsid w:val="006C2D90"/>
    <w:rsid w:val="006C4BF2"/>
    <w:rsid w:val="006C4CFB"/>
    <w:rsid w:val="006C5A8C"/>
    <w:rsid w:val="006C631C"/>
    <w:rsid w:val="006C71E4"/>
    <w:rsid w:val="006C78FA"/>
    <w:rsid w:val="006D02E9"/>
    <w:rsid w:val="006D0BFE"/>
    <w:rsid w:val="006D21DC"/>
    <w:rsid w:val="006D3DAC"/>
    <w:rsid w:val="006D4827"/>
    <w:rsid w:val="006D4DC9"/>
    <w:rsid w:val="006D58A6"/>
    <w:rsid w:val="006D636E"/>
    <w:rsid w:val="006D6B07"/>
    <w:rsid w:val="006D774E"/>
    <w:rsid w:val="006D7AD3"/>
    <w:rsid w:val="006E0C69"/>
    <w:rsid w:val="006E142B"/>
    <w:rsid w:val="006E1F5C"/>
    <w:rsid w:val="006E244D"/>
    <w:rsid w:val="006E41A7"/>
    <w:rsid w:val="006E4C60"/>
    <w:rsid w:val="006E5EF7"/>
    <w:rsid w:val="006E6E24"/>
    <w:rsid w:val="006E7011"/>
    <w:rsid w:val="006E76CD"/>
    <w:rsid w:val="006F0E82"/>
    <w:rsid w:val="006F190E"/>
    <w:rsid w:val="006F1B9A"/>
    <w:rsid w:val="006F4AF0"/>
    <w:rsid w:val="006F4C2D"/>
    <w:rsid w:val="006F5626"/>
    <w:rsid w:val="006F56CA"/>
    <w:rsid w:val="006F5D21"/>
    <w:rsid w:val="006F61BD"/>
    <w:rsid w:val="006F71DF"/>
    <w:rsid w:val="006F7D2C"/>
    <w:rsid w:val="006F7EE2"/>
    <w:rsid w:val="00700C62"/>
    <w:rsid w:val="007014F3"/>
    <w:rsid w:val="00701DC5"/>
    <w:rsid w:val="00704F48"/>
    <w:rsid w:val="00705C80"/>
    <w:rsid w:val="00705E0B"/>
    <w:rsid w:val="00706591"/>
    <w:rsid w:val="007065AA"/>
    <w:rsid w:val="00706FE1"/>
    <w:rsid w:val="00707A18"/>
    <w:rsid w:val="00707AD6"/>
    <w:rsid w:val="00711989"/>
    <w:rsid w:val="00711B2A"/>
    <w:rsid w:val="007128C0"/>
    <w:rsid w:val="00713C8B"/>
    <w:rsid w:val="007141A1"/>
    <w:rsid w:val="0071572F"/>
    <w:rsid w:val="007158E8"/>
    <w:rsid w:val="00716859"/>
    <w:rsid w:val="00717925"/>
    <w:rsid w:val="00717DA2"/>
    <w:rsid w:val="0072042C"/>
    <w:rsid w:val="007210F4"/>
    <w:rsid w:val="0072183F"/>
    <w:rsid w:val="00721CC0"/>
    <w:rsid w:val="007235C9"/>
    <w:rsid w:val="00723A57"/>
    <w:rsid w:val="00723D6F"/>
    <w:rsid w:val="00725FA4"/>
    <w:rsid w:val="00726BA7"/>
    <w:rsid w:val="00726CBB"/>
    <w:rsid w:val="00727A77"/>
    <w:rsid w:val="007300EC"/>
    <w:rsid w:val="00730B73"/>
    <w:rsid w:val="00731967"/>
    <w:rsid w:val="00733A06"/>
    <w:rsid w:val="0073545A"/>
    <w:rsid w:val="0073547F"/>
    <w:rsid w:val="00735F32"/>
    <w:rsid w:val="00736768"/>
    <w:rsid w:val="00737633"/>
    <w:rsid w:val="007411D6"/>
    <w:rsid w:val="00741241"/>
    <w:rsid w:val="00741988"/>
    <w:rsid w:val="00741FAB"/>
    <w:rsid w:val="00742B2D"/>
    <w:rsid w:val="00745387"/>
    <w:rsid w:val="00745A40"/>
    <w:rsid w:val="00745D53"/>
    <w:rsid w:val="00746C4B"/>
    <w:rsid w:val="007474B5"/>
    <w:rsid w:val="00750284"/>
    <w:rsid w:val="007513D6"/>
    <w:rsid w:val="00752113"/>
    <w:rsid w:val="00753644"/>
    <w:rsid w:val="00753D69"/>
    <w:rsid w:val="00754E12"/>
    <w:rsid w:val="0075515A"/>
    <w:rsid w:val="00755174"/>
    <w:rsid w:val="00756292"/>
    <w:rsid w:val="00756A1D"/>
    <w:rsid w:val="00757537"/>
    <w:rsid w:val="0075783A"/>
    <w:rsid w:val="00757C79"/>
    <w:rsid w:val="00757DEB"/>
    <w:rsid w:val="007600E3"/>
    <w:rsid w:val="00760491"/>
    <w:rsid w:val="0076171F"/>
    <w:rsid w:val="00761938"/>
    <w:rsid w:val="00761A2E"/>
    <w:rsid w:val="00762CB9"/>
    <w:rsid w:val="0076349A"/>
    <w:rsid w:val="00763D61"/>
    <w:rsid w:val="00765404"/>
    <w:rsid w:val="0076618B"/>
    <w:rsid w:val="00766930"/>
    <w:rsid w:val="00766D08"/>
    <w:rsid w:val="00766E60"/>
    <w:rsid w:val="0077080E"/>
    <w:rsid w:val="00775270"/>
    <w:rsid w:val="007768E4"/>
    <w:rsid w:val="00776A70"/>
    <w:rsid w:val="00780B5F"/>
    <w:rsid w:val="007814A0"/>
    <w:rsid w:val="00781834"/>
    <w:rsid w:val="007818E6"/>
    <w:rsid w:val="00783FA9"/>
    <w:rsid w:val="007840B9"/>
    <w:rsid w:val="00784836"/>
    <w:rsid w:val="00784E83"/>
    <w:rsid w:val="0078522C"/>
    <w:rsid w:val="00785C58"/>
    <w:rsid w:val="00785E57"/>
    <w:rsid w:val="00787CB2"/>
    <w:rsid w:val="0079241C"/>
    <w:rsid w:val="00792CF1"/>
    <w:rsid w:val="0079375B"/>
    <w:rsid w:val="007950D4"/>
    <w:rsid w:val="00795FFF"/>
    <w:rsid w:val="00796031"/>
    <w:rsid w:val="00796355"/>
    <w:rsid w:val="007A07E9"/>
    <w:rsid w:val="007A08C9"/>
    <w:rsid w:val="007A0A1F"/>
    <w:rsid w:val="007A0DBA"/>
    <w:rsid w:val="007A1C45"/>
    <w:rsid w:val="007A25FE"/>
    <w:rsid w:val="007A2710"/>
    <w:rsid w:val="007A2ABA"/>
    <w:rsid w:val="007A37C0"/>
    <w:rsid w:val="007A46E0"/>
    <w:rsid w:val="007A6D59"/>
    <w:rsid w:val="007A7719"/>
    <w:rsid w:val="007A775A"/>
    <w:rsid w:val="007A78F9"/>
    <w:rsid w:val="007B02A9"/>
    <w:rsid w:val="007B0EAC"/>
    <w:rsid w:val="007B22B0"/>
    <w:rsid w:val="007B277D"/>
    <w:rsid w:val="007B2C99"/>
    <w:rsid w:val="007B3E4F"/>
    <w:rsid w:val="007B4135"/>
    <w:rsid w:val="007B4330"/>
    <w:rsid w:val="007B4440"/>
    <w:rsid w:val="007B56DD"/>
    <w:rsid w:val="007B607B"/>
    <w:rsid w:val="007B68AE"/>
    <w:rsid w:val="007B6E21"/>
    <w:rsid w:val="007B7989"/>
    <w:rsid w:val="007B7F6E"/>
    <w:rsid w:val="007C06CC"/>
    <w:rsid w:val="007C06EC"/>
    <w:rsid w:val="007C0DB2"/>
    <w:rsid w:val="007C120F"/>
    <w:rsid w:val="007C25C9"/>
    <w:rsid w:val="007C2CA2"/>
    <w:rsid w:val="007C3868"/>
    <w:rsid w:val="007C4AB2"/>
    <w:rsid w:val="007C4E16"/>
    <w:rsid w:val="007C5935"/>
    <w:rsid w:val="007D0125"/>
    <w:rsid w:val="007D02FF"/>
    <w:rsid w:val="007D0430"/>
    <w:rsid w:val="007D262D"/>
    <w:rsid w:val="007D3C6B"/>
    <w:rsid w:val="007D3E65"/>
    <w:rsid w:val="007D3F24"/>
    <w:rsid w:val="007D4A2F"/>
    <w:rsid w:val="007D4E11"/>
    <w:rsid w:val="007D599D"/>
    <w:rsid w:val="007D5D9A"/>
    <w:rsid w:val="007D5F93"/>
    <w:rsid w:val="007D6DB3"/>
    <w:rsid w:val="007D773A"/>
    <w:rsid w:val="007E152A"/>
    <w:rsid w:val="007E2ECC"/>
    <w:rsid w:val="007E309A"/>
    <w:rsid w:val="007E36E4"/>
    <w:rsid w:val="007E3A0A"/>
    <w:rsid w:val="007E410B"/>
    <w:rsid w:val="007E55CE"/>
    <w:rsid w:val="007E5FC2"/>
    <w:rsid w:val="007E6555"/>
    <w:rsid w:val="007E6F0B"/>
    <w:rsid w:val="007F03CB"/>
    <w:rsid w:val="007F12E1"/>
    <w:rsid w:val="007F1569"/>
    <w:rsid w:val="007F2D05"/>
    <w:rsid w:val="007F303D"/>
    <w:rsid w:val="007F3647"/>
    <w:rsid w:val="007F36DB"/>
    <w:rsid w:val="007F37E5"/>
    <w:rsid w:val="007F3935"/>
    <w:rsid w:val="007F4F25"/>
    <w:rsid w:val="007F5A5E"/>
    <w:rsid w:val="007F6DB6"/>
    <w:rsid w:val="007F6FA8"/>
    <w:rsid w:val="007F7A86"/>
    <w:rsid w:val="008007FA"/>
    <w:rsid w:val="00801ACE"/>
    <w:rsid w:val="00803547"/>
    <w:rsid w:val="008052A5"/>
    <w:rsid w:val="008057AB"/>
    <w:rsid w:val="00805805"/>
    <w:rsid w:val="00805B3D"/>
    <w:rsid w:val="0080699B"/>
    <w:rsid w:val="00810185"/>
    <w:rsid w:val="00810954"/>
    <w:rsid w:val="00811918"/>
    <w:rsid w:val="00811F65"/>
    <w:rsid w:val="00812F6F"/>
    <w:rsid w:val="00813AFD"/>
    <w:rsid w:val="00813C9A"/>
    <w:rsid w:val="00815CE5"/>
    <w:rsid w:val="00817B21"/>
    <w:rsid w:val="008205E3"/>
    <w:rsid w:val="00820625"/>
    <w:rsid w:val="00820EEE"/>
    <w:rsid w:val="008220B2"/>
    <w:rsid w:val="008227AC"/>
    <w:rsid w:val="00824453"/>
    <w:rsid w:val="0082574D"/>
    <w:rsid w:val="00825B40"/>
    <w:rsid w:val="00825EA4"/>
    <w:rsid w:val="00826D07"/>
    <w:rsid w:val="00830644"/>
    <w:rsid w:val="00831F75"/>
    <w:rsid w:val="008331B8"/>
    <w:rsid w:val="008333B0"/>
    <w:rsid w:val="00836045"/>
    <w:rsid w:val="008368F1"/>
    <w:rsid w:val="00837863"/>
    <w:rsid w:val="008402F0"/>
    <w:rsid w:val="00840993"/>
    <w:rsid w:val="0084197F"/>
    <w:rsid w:val="008420E4"/>
    <w:rsid w:val="00842EE1"/>
    <w:rsid w:val="00844A55"/>
    <w:rsid w:val="00844D68"/>
    <w:rsid w:val="00847819"/>
    <w:rsid w:val="00851147"/>
    <w:rsid w:val="008532C3"/>
    <w:rsid w:val="008537F2"/>
    <w:rsid w:val="00853BF3"/>
    <w:rsid w:val="00853E78"/>
    <w:rsid w:val="008548F7"/>
    <w:rsid w:val="00854C4E"/>
    <w:rsid w:val="00854DC8"/>
    <w:rsid w:val="00854FB5"/>
    <w:rsid w:val="0085510D"/>
    <w:rsid w:val="00855B98"/>
    <w:rsid w:val="008565BA"/>
    <w:rsid w:val="008567A6"/>
    <w:rsid w:val="00857AD9"/>
    <w:rsid w:val="00860D7D"/>
    <w:rsid w:val="008618E0"/>
    <w:rsid w:val="008622F5"/>
    <w:rsid w:val="00862AB9"/>
    <w:rsid w:val="00863581"/>
    <w:rsid w:val="008644DE"/>
    <w:rsid w:val="008661E2"/>
    <w:rsid w:val="0086673C"/>
    <w:rsid w:val="0087140D"/>
    <w:rsid w:val="008718EA"/>
    <w:rsid w:val="00873569"/>
    <w:rsid w:val="00873E2B"/>
    <w:rsid w:val="00873F15"/>
    <w:rsid w:val="00874336"/>
    <w:rsid w:val="00874F16"/>
    <w:rsid w:val="00875B59"/>
    <w:rsid w:val="00876B5F"/>
    <w:rsid w:val="00876FD2"/>
    <w:rsid w:val="00881EF2"/>
    <w:rsid w:val="008825A6"/>
    <w:rsid w:val="008827B1"/>
    <w:rsid w:val="0088348E"/>
    <w:rsid w:val="0088386A"/>
    <w:rsid w:val="0088427D"/>
    <w:rsid w:val="008848BC"/>
    <w:rsid w:val="00884A10"/>
    <w:rsid w:val="00885CAE"/>
    <w:rsid w:val="00885FD0"/>
    <w:rsid w:val="0088695C"/>
    <w:rsid w:val="0088748A"/>
    <w:rsid w:val="00890793"/>
    <w:rsid w:val="00891135"/>
    <w:rsid w:val="008918DE"/>
    <w:rsid w:val="0089280B"/>
    <w:rsid w:val="0089501A"/>
    <w:rsid w:val="00895C86"/>
    <w:rsid w:val="00896C73"/>
    <w:rsid w:val="00897422"/>
    <w:rsid w:val="008A1333"/>
    <w:rsid w:val="008A195D"/>
    <w:rsid w:val="008A1B2B"/>
    <w:rsid w:val="008A21FD"/>
    <w:rsid w:val="008A2746"/>
    <w:rsid w:val="008A2DF3"/>
    <w:rsid w:val="008A3A9A"/>
    <w:rsid w:val="008A56A3"/>
    <w:rsid w:val="008A5C3A"/>
    <w:rsid w:val="008A63CD"/>
    <w:rsid w:val="008A6681"/>
    <w:rsid w:val="008A7370"/>
    <w:rsid w:val="008B0CC6"/>
    <w:rsid w:val="008B2550"/>
    <w:rsid w:val="008B3FF4"/>
    <w:rsid w:val="008B59C3"/>
    <w:rsid w:val="008B61BE"/>
    <w:rsid w:val="008B753B"/>
    <w:rsid w:val="008C0420"/>
    <w:rsid w:val="008C0E90"/>
    <w:rsid w:val="008C0EBE"/>
    <w:rsid w:val="008C117A"/>
    <w:rsid w:val="008C3413"/>
    <w:rsid w:val="008C35E5"/>
    <w:rsid w:val="008C3630"/>
    <w:rsid w:val="008C3987"/>
    <w:rsid w:val="008C52CB"/>
    <w:rsid w:val="008C5B32"/>
    <w:rsid w:val="008C6300"/>
    <w:rsid w:val="008C6EFB"/>
    <w:rsid w:val="008C741F"/>
    <w:rsid w:val="008D09A3"/>
    <w:rsid w:val="008D0FCF"/>
    <w:rsid w:val="008D1CEF"/>
    <w:rsid w:val="008D2AF6"/>
    <w:rsid w:val="008D3650"/>
    <w:rsid w:val="008D3CC1"/>
    <w:rsid w:val="008D41E0"/>
    <w:rsid w:val="008D442D"/>
    <w:rsid w:val="008D47D9"/>
    <w:rsid w:val="008D5267"/>
    <w:rsid w:val="008D5AAA"/>
    <w:rsid w:val="008D5B7A"/>
    <w:rsid w:val="008D5FA8"/>
    <w:rsid w:val="008D651D"/>
    <w:rsid w:val="008D6D7A"/>
    <w:rsid w:val="008D72CA"/>
    <w:rsid w:val="008D73F6"/>
    <w:rsid w:val="008E07ED"/>
    <w:rsid w:val="008E0FAB"/>
    <w:rsid w:val="008E2458"/>
    <w:rsid w:val="008E2C3D"/>
    <w:rsid w:val="008E3223"/>
    <w:rsid w:val="008E4087"/>
    <w:rsid w:val="008E5DDD"/>
    <w:rsid w:val="008E75D0"/>
    <w:rsid w:val="008F008E"/>
    <w:rsid w:val="008F00AE"/>
    <w:rsid w:val="008F0259"/>
    <w:rsid w:val="008F05AF"/>
    <w:rsid w:val="008F0701"/>
    <w:rsid w:val="008F0B11"/>
    <w:rsid w:val="008F0B9E"/>
    <w:rsid w:val="008F1B44"/>
    <w:rsid w:val="008F2269"/>
    <w:rsid w:val="008F3043"/>
    <w:rsid w:val="008F5951"/>
    <w:rsid w:val="008F607E"/>
    <w:rsid w:val="008F6783"/>
    <w:rsid w:val="008F7B7F"/>
    <w:rsid w:val="008F7CD5"/>
    <w:rsid w:val="009002E7"/>
    <w:rsid w:val="009003AB"/>
    <w:rsid w:val="00900DB3"/>
    <w:rsid w:val="0090483B"/>
    <w:rsid w:val="0090630B"/>
    <w:rsid w:val="00906E32"/>
    <w:rsid w:val="00907332"/>
    <w:rsid w:val="00907845"/>
    <w:rsid w:val="0091048E"/>
    <w:rsid w:val="009110C5"/>
    <w:rsid w:val="0091132F"/>
    <w:rsid w:val="009115A6"/>
    <w:rsid w:val="00911EE6"/>
    <w:rsid w:val="00911F47"/>
    <w:rsid w:val="00912CD1"/>
    <w:rsid w:val="009133DC"/>
    <w:rsid w:val="009138EC"/>
    <w:rsid w:val="00913B42"/>
    <w:rsid w:val="00913E53"/>
    <w:rsid w:val="0091447B"/>
    <w:rsid w:val="00914FC7"/>
    <w:rsid w:val="00920BF3"/>
    <w:rsid w:val="0092106E"/>
    <w:rsid w:val="00921B4E"/>
    <w:rsid w:val="00923A05"/>
    <w:rsid w:val="00923B35"/>
    <w:rsid w:val="00923EB3"/>
    <w:rsid w:val="009255AE"/>
    <w:rsid w:val="009255B8"/>
    <w:rsid w:val="00925D73"/>
    <w:rsid w:val="00925E3D"/>
    <w:rsid w:val="00925EA1"/>
    <w:rsid w:val="00926B66"/>
    <w:rsid w:val="00930900"/>
    <w:rsid w:val="00932350"/>
    <w:rsid w:val="00933183"/>
    <w:rsid w:val="00933299"/>
    <w:rsid w:val="00933946"/>
    <w:rsid w:val="00934ACA"/>
    <w:rsid w:val="00935168"/>
    <w:rsid w:val="00935A11"/>
    <w:rsid w:val="00935C83"/>
    <w:rsid w:val="009369CE"/>
    <w:rsid w:val="00936D3C"/>
    <w:rsid w:val="009374C8"/>
    <w:rsid w:val="009376ED"/>
    <w:rsid w:val="009378E1"/>
    <w:rsid w:val="00937B1B"/>
    <w:rsid w:val="009404CE"/>
    <w:rsid w:val="00940748"/>
    <w:rsid w:val="009418E8"/>
    <w:rsid w:val="00941A00"/>
    <w:rsid w:val="00942055"/>
    <w:rsid w:val="00942307"/>
    <w:rsid w:val="0094297E"/>
    <w:rsid w:val="00942CAB"/>
    <w:rsid w:val="00943556"/>
    <w:rsid w:val="00944195"/>
    <w:rsid w:val="00944228"/>
    <w:rsid w:val="0094490A"/>
    <w:rsid w:val="00944DE5"/>
    <w:rsid w:val="009454A9"/>
    <w:rsid w:val="009469F3"/>
    <w:rsid w:val="00947B38"/>
    <w:rsid w:val="0095099E"/>
    <w:rsid w:val="00951B00"/>
    <w:rsid w:val="00951D1C"/>
    <w:rsid w:val="0095272D"/>
    <w:rsid w:val="00952D3A"/>
    <w:rsid w:val="00953921"/>
    <w:rsid w:val="00954670"/>
    <w:rsid w:val="00954983"/>
    <w:rsid w:val="00955480"/>
    <w:rsid w:val="00956138"/>
    <w:rsid w:val="00956EA5"/>
    <w:rsid w:val="00956F7B"/>
    <w:rsid w:val="00957231"/>
    <w:rsid w:val="00957A7C"/>
    <w:rsid w:val="00957D83"/>
    <w:rsid w:val="0096023D"/>
    <w:rsid w:val="00960B06"/>
    <w:rsid w:val="009610C8"/>
    <w:rsid w:val="0096110B"/>
    <w:rsid w:val="0096113F"/>
    <w:rsid w:val="00961990"/>
    <w:rsid w:val="00961CEF"/>
    <w:rsid w:val="00964C1A"/>
    <w:rsid w:val="00965006"/>
    <w:rsid w:val="0096547A"/>
    <w:rsid w:val="00965A69"/>
    <w:rsid w:val="00965F9F"/>
    <w:rsid w:val="00966C42"/>
    <w:rsid w:val="0097077F"/>
    <w:rsid w:val="00970BE8"/>
    <w:rsid w:val="00972323"/>
    <w:rsid w:val="009738AF"/>
    <w:rsid w:val="00973A1E"/>
    <w:rsid w:val="009748F3"/>
    <w:rsid w:val="009754D3"/>
    <w:rsid w:val="00976419"/>
    <w:rsid w:val="00976B9B"/>
    <w:rsid w:val="00977486"/>
    <w:rsid w:val="00980B6F"/>
    <w:rsid w:val="00981624"/>
    <w:rsid w:val="00981B3C"/>
    <w:rsid w:val="009823B8"/>
    <w:rsid w:val="009829F1"/>
    <w:rsid w:val="00983673"/>
    <w:rsid w:val="0098380F"/>
    <w:rsid w:val="009845B3"/>
    <w:rsid w:val="00984A11"/>
    <w:rsid w:val="00984D5E"/>
    <w:rsid w:val="0098546E"/>
    <w:rsid w:val="00986393"/>
    <w:rsid w:val="0098681E"/>
    <w:rsid w:val="00987893"/>
    <w:rsid w:val="00990460"/>
    <w:rsid w:val="009926C8"/>
    <w:rsid w:val="0099299F"/>
    <w:rsid w:val="00992A56"/>
    <w:rsid w:val="009932A0"/>
    <w:rsid w:val="009933F3"/>
    <w:rsid w:val="009935E6"/>
    <w:rsid w:val="009945BA"/>
    <w:rsid w:val="009949A1"/>
    <w:rsid w:val="00995438"/>
    <w:rsid w:val="0099562D"/>
    <w:rsid w:val="00995734"/>
    <w:rsid w:val="00997886"/>
    <w:rsid w:val="00997CC1"/>
    <w:rsid w:val="009A0422"/>
    <w:rsid w:val="009A07C2"/>
    <w:rsid w:val="009A18D1"/>
    <w:rsid w:val="009A1DA6"/>
    <w:rsid w:val="009A224F"/>
    <w:rsid w:val="009A3400"/>
    <w:rsid w:val="009A3495"/>
    <w:rsid w:val="009A3D1E"/>
    <w:rsid w:val="009A430A"/>
    <w:rsid w:val="009A4D77"/>
    <w:rsid w:val="009A57C5"/>
    <w:rsid w:val="009A5EB8"/>
    <w:rsid w:val="009A6942"/>
    <w:rsid w:val="009B0D07"/>
    <w:rsid w:val="009B17ED"/>
    <w:rsid w:val="009B1C21"/>
    <w:rsid w:val="009B2107"/>
    <w:rsid w:val="009B2523"/>
    <w:rsid w:val="009B3F92"/>
    <w:rsid w:val="009B44C6"/>
    <w:rsid w:val="009B4602"/>
    <w:rsid w:val="009B4EA2"/>
    <w:rsid w:val="009B5E6D"/>
    <w:rsid w:val="009B70BB"/>
    <w:rsid w:val="009C158F"/>
    <w:rsid w:val="009C194E"/>
    <w:rsid w:val="009C24C5"/>
    <w:rsid w:val="009C2718"/>
    <w:rsid w:val="009C37DD"/>
    <w:rsid w:val="009C3D71"/>
    <w:rsid w:val="009C49BF"/>
    <w:rsid w:val="009C50DE"/>
    <w:rsid w:val="009C6772"/>
    <w:rsid w:val="009C72FE"/>
    <w:rsid w:val="009C79C5"/>
    <w:rsid w:val="009C7E2C"/>
    <w:rsid w:val="009D18FA"/>
    <w:rsid w:val="009D235D"/>
    <w:rsid w:val="009D2405"/>
    <w:rsid w:val="009D3A73"/>
    <w:rsid w:val="009D3C95"/>
    <w:rsid w:val="009D437A"/>
    <w:rsid w:val="009D5106"/>
    <w:rsid w:val="009D596E"/>
    <w:rsid w:val="009D6EA0"/>
    <w:rsid w:val="009D7583"/>
    <w:rsid w:val="009D795B"/>
    <w:rsid w:val="009D7C93"/>
    <w:rsid w:val="009E0597"/>
    <w:rsid w:val="009E10BF"/>
    <w:rsid w:val="009E19FA"/>
    <w:rsid w:val="009E1BF2"/>
    <w:rsid w:val="009E24B8"/>
    <w:rsid w:val="009E2733"/>
    <w:rsid w:val="009E3034"/>
    <w:rsid w:val="009E441E"/>
    <w:rsid w:val="009E49C2"/>
    <w:rsid w:val="009E4F2E"/>
    <w:rsid w:val="009E5C85"/>
    <w:rsid w:val="009E6F68"/>
    <w:rsid w:val="009F0633"/>
    <w:rsid w:val="009F09A6"/>
    <w:rsid w:val="009F1CA3"/>
    <w:rsid w:val="009F2F87"/>
    <w:rsid w:val="009F3B0A"/>
    <w:rsid w:val="009F7E97"/>
    <w:rsid w:val="00A02D1F"/>
    <w:rsid w:val="00A0318B"/>
    <w:rsid w:val="00A03B83"/>
    <w:rsid w:val="00A046EA"/>
    <w:rsid w:val="00A04E9F"/>
    <w:rsid w:val="00A04EAA"/>
    <w:rsid w:val="00A059B3"/>
    <w:rsid w:val="00A05BDE"/>
    <w:rsid w:val="00A06BAA"/>
    <w:rsid w:val="00A07113"/>
    <w:rsid w:val="00A07A75"/>
    <w:rsid w:val="00A07F11"/>
    <w:rsid w:val="00A1051F"/>
    <w:rsid w:val="00A138B9"/>
    <w:rsid w:val="00A142B0"/>
    <w:rsid w:val="00A153BB"/>
    <w:rsid w:val="00A1568D"/>
    <w:rsid w:val="00A16947"/>
    <w:rsid w:val="00A16F71"/>
    <w:rsid w:val="00A21205"/>
    <w:rsid w:val="00A21913"/>
    <w:rsid w:val="00A21F00"/>
    <w:rsid w:val="00A241B6"/>
    <w:rsid w:val="00A242EA"/>
    <w:rsid w:val="00A24338"/>
    <w:rsid w:val="00A24601"/>
    <w:rsid w:val="00A25082"/>
    <w:rsid w:val="00A26962"/>
    <w:rsid w:val="00A26DC7"/>
    <w:rsid w:val="00A30710"/>
    <w:rsid w:val="00A30C83"/>
    <w:rsid w:val="00A3214B"/>
    <w:rsid w:val="00A3223E"/>
    <w:rsid w:val="00A32ECB"/>
    <w:rsid w:val="00A32FE6"/>
    <w:rsid w:val="00A338EC"/>
    <w:rsid w:val="00A3440D"/>
    <w:rsid w:val="00A3604C"/>
    <w:rsid w:val="00A36DFC"/>
    <w:rsid w:val="00A3767B"/>
    <w:rsid w:val="00A3783B"/>
    <w:rsid w:val="00A415D8"/>
    <w:rsid w:val="00A41D51"/>
    <w:rsid w:val="00A42204"/>
    <w:rsid w:val="00A42AE7"/>
    <w:rsid w:val="00A43970"/>
    <w:rsid w:val="00A4450D"/>
    <w:rsid w:val="00A44EAA"/>
    <w:rsid w:val="00A4523E"/>
    <w:rsid w:val="00A452F8"/>
    <w:rsid w:val="00A46D5A"/>
    <w:rsid w:val="00A507CD"/>
    <w:rsid w:val="00A51D67"/>
    <w:rsid w:val="00A52CAB"/>
    <w:rsid w:val="00A52F83"/>
    <w:rsid w:val="00A537E8"/>
    <w:rsid w:val="00A54760"/>
    <w:rsid w:val="00A55E08"/>
    <w:rsid w:val="00A571FC"/>
    <w:rsid w:val="00A57FDC"/>
    <w:rsid w:val="00A60CB4"/>
    <w:rsid w:val="00A62F7F"/>
    <w:rsid w:val="00A632D7"/>
    <w:rsid w:val="00A633F6"/>
    <w:rsid w:val="00A6469B"/>
    <w:rsid w:val="00A65F6F"/>
    <w:rsid w:val="00A66C14"/>
    <w:rsid w:val="00A67023"/>
    <w:rsid w:val="00A67BE1"/>
    <w:rsid w:val="00A713AF"/>
    <w:rsid w:val="00A71E0C"/>
    <w:rsid w:val="00A72CBD"/>
    <w:rsid w:val="00A73BAE"/>
    <w:rsid w:val="00A7413E"/>
    <w:rsid w:val="00A74932"/>
    <w:rsid w:val="00A75B9E"/>
    <w:rsid w:val="00A7625B"/>
    <w:rsid w:val="00A77E07"/>
    <w:rsid w:val="00A77F29"/>
    <w:rsid w:val="00A80355"/>
    <w:rsid w:val="00A80810"/>
    <w:rsid w:val="00A8094F"/>
    <w:rsid w:val="00A80A27"/>
    <w:rsid w:val="00A80BC8"/>
    <w:rsid w:val="00A82133"/>
    <w:rsid w:val="00A82CA7"/>
    <w:rsid w:val="00A82CEE"/>
    <w:rsid w:val="00A82FC8"/>
    <w:rsid w:val="00A83E88"/>
    <w:rsid w:val="00A84823"/>
    <w:rsid w:val="00A85154"/>
    <w:rsid w:val="00A858BC"/>
    <w:rsid w:val="00A859AD"/>
    <w:rsid w:val="00A862EE"/>
    <w:rsid w:val="00A86759"/>
    <w:rsid w:val="00A8722D"/>
    <w:rsid w:val="00A87232"/>
    <w:rsid w:val="00A905B1"/>
    <w:rsid w:val="00A91457"/>
    <w:rsid w:val="00A91C9D"/>
    <w:rsid w:val="00A91D97"/>
    <w:rsid w:val="00A92E4E"/>
    <w:rsid w:val="00A93008"/>
    <w:rsid w:val="00A93EE0"/>
    <w:rsid w:val="00A94230"/>
    <w:rsid w:val="00A94672"/>
    <w:rsid w:val="00A94ABF"/>
    <w:rsid w:val="00A95832"/>
    <w:rsid w:val="00A978B8"/>
    <w:rsid w:val="00AA0CA1"/>
    <w:rsid w:val="00AA1586"/>
    <w:rsid w:val="00AA15CB"/>
    <w:rsid w:val="00AA1DA9"/>
    <w:rsid w:val="00AA30EB"/>
    <w:rsid w:val="00AA3285"/>
    <w:rsid w:val="00AA43FC"/>
    <w:rsid w:val="00AA4614"/>
    <w:rsid w:val="00AA49BC"/>
    <w:rsid w:val="00AA5CCF"/>
    <w:rsid w:val="00AB24D1"/>
    <w:rsid w:val="00AB2CE1"/>
    <w:rsid w:val="00AB3781"/>
    <w:rsid w:val="00AB5273"/>
    <w:rsid w:val="00AB5920"/>
    <w:rsid w:val="00AB5BF9"/>
    <w:rsid w:val="00AB5F3D"/>
    <w:rsid w:val="00AB6163"/>
    <w:rsid w:val="00AB75B0"/>
    <w:rsid w:val="00AB787D"/>
    <w:rsid w:val="00AB7C80"/>
    <w:rsid w:val="00AC03C9"/>
    <w:rsid w:val="00AC0B7A"/>
    <w:rsid w:val="00AC1ECD"/>
    <w:rsid w:val="00AC211D"/>
    <w:rsid w:val="00AC26FF"/>
    <w:rsid w:val="00AC3386"/>
    <w:rsid w:val="00AC42E8"/>
    <w:rsid w:val="00AC4F38"/>
    <w:rsid w:val="00AC56E7"/>
    <w:rsid w:val="00AD08E6"/>
    <w:rsid w:val="00AD2112"/>
    <w:rsid w:val="00AD3994"/>
    <w:rsid w:val="00AD4109"/>
    <w:rsid w:val="00AD41DA"/>
    <w:rsid w:val="00AD5D96"/>
    <w:rsid w:val="00AD7F83"/>
    <w:rsid w:val="00AD7FED"/>
    <w:rsid w:val="00AE1E0B"/>
    <w:rsid w:val="00AE3ED1"/>
    <w:rsid w:val="00AE4259"/>
    <w:rsid w:val="00AE4890"/>
    <w:rsid w:val="00AE57F3"/>
    <w:rsid w:val="00AE5FB1"/>
    <w:rsid w:val="00AE63B0"/>
    <w:rsid w:val="00AE7103"/>
    <w:rsid w:val="00AF06BA"/>
    <w:rsid w:val="00AF14C0"/>
    <w:rsid w:val="00AF25C3"/>
    <w:rsid w:val="00AF2724"/>
    <w:rsid w:val="00AF31D7"/>
    <w:rsid w:val="00AF3315"/>
    <w:rsid w:val="00AF409E"/>
    <w:rsid w:val="00AF41D4"/>
    <w:rsid w:val="00AF43A4"/>
    <w:rsid w:val="00AF4A4B"/>
    <w:rsid w:val="00AF56E7"/>
    <w:rsid w:val="00AF58F1"/>
    <w:rsid w:val="00AF67EE"/>
    <w:rsid w:val="00AF6F02"/>
    <w:rsid w:val="00AF6F06"/>
    <w:rsid w:val="00AF6F0A"/>
    <w:rsid w:val="00AF7277"/>
    <w:rsid w:val="00AF7485"/>
    <w:rsid w:val="00B0032C"/>
    <w:rsid w:val="00B00A4D"/>
    <w:rsid w:val="00B01B1A"/>
    <w:rsid w:val="00B02C3A"/>
    <w:rsid w:val="00B04612"/>
    <w:rsid w:val="00B054C0"/>
    <w:rsid w:val="00B062C7"/>
    <w:rsid w:val="00B0687B"/>
    <w:rsid w:val="00B06CFD"/>
    <w:rsid w:val="00B103AD"/>
    <w:rsid w:val="00B106C9"/>
    <w:rsid w:val="00B113B5"/>
    <w:rsid w:val="00B114EE"/>
    <w:rsid w:val="00B128BF"/>
    <w:rsid w:val="00B12C0B"/>
    <w:rsid w:val="00B145CA"/>
    <w:rsid w:val="00B15118"/>
    <w:rsid w:val="00B1514B"/>
    <w:rsid w:val="00B154AF"/>
    <w:rsid w:val="00B15B6F"/>
    <w:rsid w:val="00B15BEF"/>
    <w:rsid w:val="00B167A8"/>
    <w:rsid w:val="00B170C3"/>
    <w:rsid w:val="00B17774"/>
    <w:rsid w:val="00B22359"/>
    <w:rsid w:val="00B237A8"/>
    <w:rsid w:val="00B2415B"/>
    <w:rsid w:val="00B24328"/>
    <w:rsid w:val="00B24962"/>
    <w:rsid w:val="00B24DC1"/>
    <w:rsid w:val="00B26149"/>
    <w:rsid w:val="00B2664D"/>
    <w:rsid w:val="00B27F14"/>
    <w:rsid w:val="00B308D7"/>
    <w:rsid w:val="00B30B30"/>
    <w:rsid w:val="00B3125A"/>
    <w:rsid w:val="00B31740"/>
    <w:rsid w:val="00B32E24"/>
    <w:rsid w:val="00B330E6"/>
    <w:rsid w:val="00B33B7C"/>
    <w:rsid w:val="00B3477B"/>
    <w:rsid w:val="00B34BEB"/>
    <w:rsid w:val="00B34E5A"/>
    <w:rsid w:val="00B35F92"/>
    <w:rsid w:val="00B36236"/>
    <w:rsid w:val="00B372D1"/>
    <w:rsid w:val="00B37BE8"/>
    <w:rsid w:val="00B40245"/>
    <w:rsid w:val="00B41DDA"/>
    <w:rsid w:val="00B42793"/>
    <w:rsid w:val="00B428C2"/>
    <w:rsid w:val="00B42C94"/>
    <w:rsid w:val="00B46E23"/>
    <w:rsid w:val="00B47DA7"/>
    <w:rsid w:val="00B50ACC"/>
    <w:rsid w:val="00B5150E"/>
    <w:rsid w:val="00B52511"/>
    <w:rsid w:val="00B5285E"/>
    <w:rsid w:val="00B52E71"/>
    <w:rsid w:val="00B53168"/>
    <w:rsid w:val="00B53FB1"/>
    <w:rsid w:val="00B5486A"/>
    <w:rsid w:val="00B5557B"/>
    <w:rsid w:val="00B562A2"/>
    <w:rsid w:val="00B5634E"/>
    <w:rsid w:val="00B6049F"/>
    <w:rsid w:val="00B609FF"/>
    <w:rsid w:val="00B6332E"/>
    <w:rsid w:val="00B635D0"/>
    <w:rsid w:val="00B639C4"/>
    <w:rsid w:val="00B63C21"/>
    <w:rsid w:val="00B64DFA"/>
    <w:rsid w:val="00B6525F"/>
    <w:rsid w:val="00B653D2"/>
    <w:rsid w:val="00B65B08"/>
    <w:rsid w:val="00B65C20"/>
    <w:rsid w:val="00B661F7"/>
    <w:rsid w:val="00B66344"/>
    <w:rsid w:val="00B664F8"/>
    <w:rsid w:val="00B70148"/>
    <w:rsid w:val="00B702F4"/>
    <w:rsid w:val="00B7071B"/>
    <w:rsid w:val="00B70879"/>
    <w:rsid w:val="00B713B0"/>
    <w:rsid w:val="00B720C3"/>
    <w:rsid w:val="00B74F39"/>
    <w:rsid w:val="00B74F7D"/>
    <w:rsid w:val="00B766F9"/>
    <w:rsid w:val="00B76EAE"/>
    <w:rsid w:val="00B76F36"/>
    <w:rsid w:val="00B77B55"/>
    <w:rsid w:val="00B80CF5"/>
    <w:rsid w:val="00B815C5"/>
    <w:rsid w:val="00B81A9B"/>
    <w:rsid w:val="00B820A9"/>
    <w:rsid w:val="00B82595"/>
    <w:rsid w:val="00B82CEA"/>
    <w:rsid w:val="00B830E4"/>
    <w:rsid w:val="00B835D6"/>
    <w:rsid w:val="00B83B8E"/>
    <w:rsid w:val="00B85450"/>
    <w:rsid w:val="00B8699F"/>
    <w:rsid w:val="00B86F1E"/>
    <w:rsid w:val="00B87FE0"/>
    <w:rsid w:val="00B90174"/>
    <w:rsid w:val="00B91348"/>
    <w:rsid w:val="00B92768"/>
    <w:rsid w:val="00B92D56"/>
    <w:rsid w:val="00B94B42"/>
    <w:rsid w:val="00B94CE7"/>
    <w:rsid w:val="00B95038"/>
    <w:rsid w:val="00B958B8"/>
    <w:rsid w:val="00B9618B"/>
    <w:rsid w:val="00B96ADA"/>
    <w:rsid w:val="00B96C5C"/>
    <w:rsid w:val="00B96D1B"/>
    <w:rsid w:val="00B96DB1"/>
    <w:rsid w:val="00B96E0D"/>
    <w:rsid w:val="00B970C3"/>
    <w:rsid w:val="00BA1092"/>
    <w:rsid w:val="00BA1A13"/>
    <w:rsid w:val="00BA259E"/>
    <w:rsid w:val="00BA2683"/>
    <w:rsid w:val="00BA3738"/>
    <w:rsid w:val="00BA37C0"/>
    <w:rsid w:val="00BA47CF"/>
    <w:rsid w:val="00BA54AE"/>
    <w:rsid w:val="00BA79E9"/>
    <w:rsid w:val="00BA7EB6"/>
    <w:rsid w:val="00BB048F"/>
    <w:rsid w:val="00BB1EA6"/>
    <w:rsid w:val="00BB238C"/>
    <w:rsid w:val="00BB23F9"/>
    <w:rsid w:val="00BB287C"/>
    <w:rsid w:val="00BB2C7A"/>
    <w:rsid w:val="00BB2E4E"/>
    <w:rsid w:val="00BB37B8"/>
    <w:rsid w:val="00BB39A7"/>
    <w:rsid w:val="00BB3ABB"/>
    <w:rsid w:val="00BB3D82"/>
    <w:rsid w:val="00BB4703"/>
    <w:rsid w:val="00BB7520"/>
    <w:rsid w:val="00BC07B4"/>
    <w:rsid w:val="00BC1317"/>
    <w:rsid w:val="00BC1552"/>
    <w:rsid w:val="00BC1B07"/>
    <w:rsid w:val="00BC1D64"/>
    <w:rsid w:val="00BC2DA6"/>
    <w:rsid w:val="00BC3259"/>
    <w:rsid w:val="00BC3BD3"/>
    <w:rsid w:val="00BC40D4"/>
    <w:rsid w:val="00BC4129"/>
    <w:rsid w:val="00BC46DE"/>
    <w:rsid w:val="00BC4893"/>
    <w:rsid w:val="00BC5112"/>
    <w:rsid w:val="00BC6023"/>
    <w:rsid w:val="00BC63D7"/>
    <w:rsid w:val="00BC6796"/>
    <w:rsid w:val="00BC73A1"/>
    <w:rsid w:val="00BD19D9"/>
    <w:rsid w:val="00BD272B"/>
    <w:rsid w:val="00BD3112"/>
    <w:rsid w:val="00BD3FE1"/>
    <w:rsid w:val="00BD41EB"/>
    <w:rsid w:val="00BD459D"/>
    <w:rsid w:val="00BD4EAC"/>
    <w:rsid w:val="00BD68BF"/>
    <w:rsid w:val="00BD6C7E"/>
    <w:rsid w:val="00BD77B3"/>
    <w:rsid w:val="00BD7E6C"/>
    <w:rsid w:val="00BE0132"/>
    <w:rsid w:val="00BE0593"/>
    <w:rsid w:val="00BE0CBE"/>
    <w:rsid w:val="00BE1DA3"/>
    <w:rsid w:val="00BE1E19"/>
    <w:rsid w:val="00BE1F09"/>
    <w:rsid w:val="00BE41A7"/>
    <w:rsid w:val="00BE57AE"/>
    <w:rsid w:val="00BE5B7D"/>
    <w:rsid w:val="00BE7873"/>
    <w:rsid w:val="00BE7BBE"/>
    <w:rsid w:val="00BF0529"/>
    <w:rsid w:val="00BF13BC"/>
    <w:rsid w:val="00BF13EF"/>
    <w:rsid w:val="00BF1D1D"/>
    <w:rsid w:val="00BF2936"/>
    <w:rsid w:val="00BF324A"/>
    <w:rsid w:val="00BF356F"/>
    <w:rsid w:val="00BF3666"/>
    <w:rsid w:val="00BF37E9"/>
    <w:rsid w:val="00BF5B70"/>
    <w:rsid w:val="00BF5FD2"/>
    <w:rsid w:val="00BF6415"/>
    <w:rsid w:val="00BF6AF6"/>
    <w:rsid w:val="00C000D1"/>
    <w:rsid w:val="00C0054F"/>
    <w:rsid w:val="00C014E4"/>
    <w:rsid w:val="00C014E8"/>
    <w:rsid w:val="00C02EA4"/>
    <w:rsid w:val="00C033C5"/>
    <w:rsid w:val="00C03853"/>
    <w:rsid w:val="00C0454B"/>
    <w:rsid w:val="00C04ADD"/>
    <w:rsid w:val="00C04C46"/>
    <w:rsid w:val="00C07B10"/>
    <w:rsid w:val="00C1125C"/>
    <w:rsid w:val="00C13145"/>
    <w:rsid w:val="00C13192"/>
    <w:rsid w:val="00C133F4"/>
    <w:rsid w:val="00C136DC"/>
    <w:rsid w:val="00C15CAC"/>
    <w:rsid w:val="00C161E6"/>
    <w:rsid w:val="00C17964"/>
    <w:rsid w:val="00C2011F"/>
    <w:rsid w:val="00C201B6"/>
    <w:rsid w:val="00C203CA"/>
    <w:rsid w:val="00C203EF"/>
    <w:rsid w:val="00C20CF4"/>
    <w:rsid w:val="00C21062"/>
    <w:rsid w:val="00C21E78"/>
    <w:rsid w:val="00C22ED0"/>
    <w:rsid w:val="00C23868"/>
    <w:rsid w:val="00C23BFE"/>
    <w:rsid w:val="00C2524E"/>
    <w:rsid w:val="00C257FB"/>
    <w:rsid w:val="00C25D8F"/>
    <w:rsid w:val="00C260A5"/>
    <w:rsid w:val="00C26266"/>
    <w:rsid w:val="00C263BC"/>
    <w:rsid w:val="00C26899"/>
    <w:rsid w:val="00C27548"/>
    <w:rsid w:val="00C27816"/>
    <w:rsid w:val="00C304CF"/>
    <w:rsid w:val="00C31F9A"/>
    <w:rsid w:val="00C3242C"/>
    <w:rsid w:val="00C332DD"/>
    <w:rsid w:val="00C3401C"/>
    <w:rsid w:val="00C367D3"/>
    <w:rsid w:val="00C36F92"/>
    <w:rsid w:val="00C377FC"/>
    <w:rsid w:val="00C37C6C"/>
    <w:rsid w:val="00C37F8B"/>
    <w:rsid w:val="00C40167"/>
    <w:rsid w:val="00C407AA"/>
    <w:rsid w:val="00C40CFD"/>
    <w:rsid w:val="00C412AC"/>
    <w:rsid w:val="00C41A71"/>
    <w:rsid w:val="00C41CFC"/>
    <w:rsid w:val="00C42BD2"/>
    <w:rsid w:val="00C42DB1"/>
    <w:rsid w:val="00C43A9D"/>
    <w:rsid w:val="00C445C6"/>
    <w:rsid w:val="00C45BA3"/>
    <w:rsid w:val="00C46D06"/>
    <w:rsid w:val="00C46E35"/>
    <w:rsid w:val="00C5042D"/>
    <w:rsid w:val="00C50698"/>
    <w:rsid w:val="00C50C1A"/>
    <w:rsid w:val="00C511B6"/>
    <w:rsid w:val="00C51580"/>
    <w:rsid w:val="00C5287A"/>
    <w:rsid w:val="00C52A62"/>
    <w:rsid w:val="00C53725"/>
    <w:rsid w:val="00C53752"/>
    <w:rsid w:val="00C539DC"/>
    <w:rsid w:val="00C5453F"/>
    <w:rsid w:val="00C556A0"/>
    <w:rsid w:val="00C55AAF"/>
    <w:rsid w:val="00C55AD5"/>
    <w:rsid w:val="00C56919"/>
    <w:rsid w:val="00C5734F"/>
    <w:rsid w:val="00C61B22"/>
    <w:rsid w:val="00C61D22"/>
    <w:rsid w:val="00C63AE8"/>
    <w:rsid w:val="00C63B5B"/>
    <w:rsid w:val="00C64084"/>
    <w:rsid w:val="00C6440E"/>
    <w:rsid w:val="00C64892"/>
    <w:rsid w:val="00C64CD7"/>
    <w:rsid w:val="00C64D33"/>
    <w:rsid w:val="00C658CC"/>
    <w:rsid w:val="00C65AD8"/>
    <w:rsid w:val="00C65FEE"/>
    <w:rsid w:val="00C6726C"/>
    <w:rsid w:val="00C67294"/>
    <w:rsid w:val="00C6799E"/>
    <w:rsid w:val="00C712E0"/>
    <w:rsid w:val="00C71A1B"/>
    <w:rsid w:val="00C733E1"/>
    <w:rsid w:val="00C73FFD"/>
    <w:rsid w:val="00C74924"/>
    <w:rsid w:val="00C75062"/>
    <w:rsid w:val="00C75573"/>
    <w:rsid w:val="00C763EC"/>
    <w:rsid w:val="00C76C94"/>
    <w:rsid w:val="00C76F62"/>
    <w:rsid w:val="00C77394"/>
    <w:rsid w:val="00C829D6"/>
    <w:rsid w:val="00C83F30"/>
    <w:rsid w:val="00C8412F"/>
    <w:rsid w:val="00C84668"/>
    <w:rsid w:val="00C8513A"/>
    <w:rsid w:val="00C8654E"/>
    <w:rsid w:val="00C87E83"/>
    <w:rsid w:val="00C90988"/>
    <w:rsid w:val="00C90BAD"/>
    <w:rsid w:val="00C92210"/>
    <w:rsid w:val="00C934EE"/>
    <w:rsid w:val="00C95073"/>
    <w:rsid w:val="00C96650"/>
    <w:rsid w:val="00C96E47"/>
    <w:rsid w:val="00C97345"/>
    <w:rsid w:val="00C9771C"/>
    <w:rsid w:val="00C97855"/>
    <w:rsid w:val="00C9789C"/>
    <w:rsid w:val="00C97E34"/>
    <w:rsid w:val="00CA0B82"/>
    <w:rsid w:val="00CA20A4"/>
    <w:rsid w:val="00CA35BF"/>
    <w:rsid w:val="00CA4241"/>
    <w:rsid w:val="00CA4872"/>
    <w:rsid w:val="00CA58E4"/>
    <w:rsid w:val="00CA7952"/>
    <w:rsid w:val="00CB0173"/>
    <w:rsid w:val="00CB0412"/>
    <w:rsid w:val="00CB2801"/>
    <w:rsid w:val="00CB2864"/>
    <w:rsid w:val="00CB29BC"/>
    <w:rsid w:val="00CB3AA7"/>
    <w:rsid w:val="00CB4224"/>
    <w:rsid w:val="00CB525E"/>
    <w:rsid w:val="00CB5953"/>
    <w:rsid w:val="00CB5AFD"/>
    <w:rsid w:val="00CB5B24"/>
    <w:rsid w:val="00CB6900"/>
    <w:rsid w:val="00CC2BAB"/>
    <w:rsid w:val="00CC48CA"/>
    <w:rsid w:val="00CC606C"/>
    <w:rsid w:val="00CC6C16"/>
    <w:rsid w:val="00CC6E61"/>
    <w:rsid w:val="00CC720F"/>
    <w:rsid w:val="00CC7220"/>
    <w:rsid w:val="00CC741D"/>
    <w:rsid w:val="00CC7464"/>
    <w:rsid w:val="00CC78DE"/>
    <w:rsid w:val="00CC79BB"/>
    <w:rsid w:val="00CD1BFA"/>
    <w:rsid w:val="00CD2139"/>
    <w:rsid w:val="00CD3649"/>
    <w:rsid w:val="00CD3D0C"/>
    <w:rsid w:val="00CD4E28"/>
    <w:rsid w:val="00CD58CC"/>
    <w:rsid w:val="00CD6143"/>
    <w:rsid w:val="00CD7A72"/>
    <w:rsid w:val="00CE23E4"/>
    <w:rsid w:val="00CE29FB"/>
    <w:rsid w:val="00CE33B7"/>
    <w:rsid w:val="00CE344E"/>
    <w:rsid w:val="00CE375B"/>
    <w:rsid w:val="00CE463E"/>
    <w:rsid w:val="00CE5808"/>
    <w:rsid w:val="00CF3A76"/>
    <w:rsid w:val="00CF528E"/>
    <w:rsid w:val="00CF53AC"/>
    <w:rsid w:val="00CF5797"/>
    <w:rsid w:val="00CF7590"/>
    <w:rsid w:val="00CF796A"/>
    <w:rsid w:val="00D0093D"/>
    <w:rsid w:val="00D00AB3"/>
    <w:rsid w:val="00D00D2F"/>
    <w:rsid w:val="00D00ECE"/>
    <w:rsid w:val="00D012C7"/>
    <w:rsid w:val="00D012E6"/>
    <w:rsid w:val="00D016A9"/>
    <w:rsid w:val="00D01A88"/>
    <w:rsid w:val="00D037CA"/>
    <w:rsid w:val="00D04741"/>
    <w:rsid w:val="00D04A6A"/>
    <w:rsid w:val="00D05054"/>
    <w:rsid w:val="00D06168"/>
    <w:rsid w:val="00D06993"/>
    <w:rsid w:val="00D0704E"/>
    <w:rsid w:val="00D101E6"/>
    <w:rsid w:val="00D106F3"/>
    <w:rsid w:val="00D1101E"/>
    <w:rsid w:val="00D11505"/>
    <w:rsid w:val="00D11A8B"/>
    <w:rsid w:val="00D134A3"/>
    <w:rsid w:val="00D142E0"/>
    <w:rsid w:val="00D148D1"/>
    <w:rsid w:val="00D149BB"/>
    <w:rsid w:val="00D14A90"/>
    <w:rsid w:val="00D14B82"/>
    <w:rsid w:val="00D1551B"/>
    <w:rsid w:val="00D15A96"/>
    <w:rsid w:val="00D16F28"/>
    <w:rsid w:val="00D17BCE"/>
    <w:rsid w:val="00D17CCF"/>
    <w:rsid w:val="00D20014"/>
    <w:rsid w:val="00D21413"/>
    <w:rsid w:val="00D21C0C"/>
    <w:rsid w:val="00D2207C"/>
    <w:rsid w:val="00D222F3"/>
    <w:rsid w:val="00D224A6"/>
    <w:rsid w:val="00D23738"/>
    <w:rsid w:val="00D23971"/>
    <w:rsid w:val="00D23AEC"/>
    <w:rsid w:val="00D24B42"/>
    <w:rsid w:val="00D2519B"/>
    <w:rsid w:val="00D25A3C"/>
    <w:rsid w:val="00D26016"/>
    <w:rsid w:val="00D269BB"/>
    <w:rsid w:val="00D26A89"/>
    <w:rsid w:val="00D2710B"/>
    <w:rsid w:val="00D272FB"/>
    <w:rsid w:val="00D27BD8"/>
    <w:rsid w:val="00D27FF4"/>
    <w:rsid w:val="00D302CD"/>
    <w:rsid w:val="00D30A3B"/>
    <w:rsid w:val="00D30A51"/>
    <w:rsid w:val="00D323C3"/>
    <w:rsid w:val="00D3297B"/>
    <w:rsid w:val="00D32B91"/>
    <w:rsid w:val="00D34A34"/>
    <w:rsid w:val="00D34D0F"/>
    <w:rsid w:val="00D35ACA"/>
    <w:rsid w:val="00D375EA"/>
    <w:rsid w:val="00D40159"/>
    <w:rsid w:val="00D404BA"/>
    <w:rsid w:val="00D405AF"/>
    <w:rsid w:val="00D41776"/>
    <w:rsid w:val="00D41A3A"/>
    <w:rsid w:val="00D42F66"/>
    <w:rsid w:val="00D45560"/>
    <w:rsid w:val="00D457BE"/>
    <w:rsid w:val="00D45E49"/>
    <w:rsid w:val="00D45F46"/>
    <w:rsid w:val="00D471B4"/>
    <w:rsid w:val="00D47574"/>
    <w:rsid w:val="00D47A04"/>
    <w:rsid w:val="00D510F4"/>
    <w:rsid w:val="00D5201B"/>
    <w:rsid w:val="00D52044"/>
    <w:rsid w:val="00D5262A"/>
    <w:rsid w:val="00D52C52"/>
    <w:rsid w:val="00D545A2"/>
    <w:rsid w:val="00D54741"/>
    <w:rsid w:val="00D54D18"/>
    <w:rsid w:val="00D55070"/>
    <w:rsid w:val="00D550DE"/>
    <w:rsid w:val="00D5568F"/>
    <w:rsid w:val="00D5667D"/>
    <w:rsid w:val="00D56834"/>
    <w:rsid w:val="00D5711B"/>
    <w:rsid w:val="00D57B13"/>
    <w:rsid w:val="00D57BC3"/>
    <w:rsid w:val="00D6025E"/>
    <w:rsid w:val="00D60300"/>
    <w:rsid w:val="00D61B91"/>
    <w:rsid w:val="00D62285"/>
    <w:rsid w:val="00D622F1"/>
    <w:rsid w:val="00D63AE2"/>
    <w:rsid w:val="00D63E43"/>
    <w:rsid w:val="00D648E8"/>
    <w:rsid w:val="00D6581C"/>
    <w:rsid w:val="00D65CE2"/>
    <w:rsid w:val="00D6604D"/>
    <w:rsid w:val="00D67E3A"/>
    <w:rsid w:val="00D7172F"/>
    <w:rsid w:val="00D722BF"/>
    <w:rsid w:val="00D72749"/>
    <w:rsid w:val="00D73440"/>
    <w:rsid w:val="00D7398F"/>
    <w:rsid w:val="00D749B3"/>
    <w:rsid w:val="00D74E24"/>
    <w:rsid w:val="00D76A5E"/>
    <w:rsid w:val="00D80C6C"/>
    <w:rsid w:val="00D80F1E"/>
    <w:rsid w:val="00D81316"/>
    <w:rsid w:val="00D81540"/>
    <w:rsid w:val="00D81CE3"/>
    <w:rsid w:val="00D81D23"/>
    <w:rsid w:val="00D82EB7"/>
    <w:rsid w:val="00D86492"/>
    <w:rsid w:val="00D86AA7"/>
    <w:rsid w:val="00D91608"/>
    <w:rsid w:val="00D9242F"/>
    <w:rsid w:val="00D927DC"/>
    <w:rsid w:val="00D9337F"/>
    <w:rsid w:val="00D934FD"/>
    <w:rsid w:val="00D93B9D"/>
    <w:rsid w:val="00D944E0"/>
    <w:rsid w:val="00D955E0"/>
    <w:rsid w:val="00D95658"/>
    <w:rsid w:val="00D95737"/>
    <w:rsid w:val="00D95BA4"/>
    <w:rsid w:val="00D961CF"/>
    <w:rsid w:val="00D96344"/>
    <w:rsid w:val="00D96914"/>
    <w:rsid w:val="00D971B0"/>
    <w:rsid w:val="00DA1BFD"/>
    <w:rsid w:val="00DA226F"/>
    <w:rsid w:val="00DA4060"/>
    <w:rsid w:val="00DA46E7"/>
    <w:rsid w:val="00DA49CA"/>
    <w:rsid w:val="00DA6170"/>
    <w:rsid w:val="00DA7288"/>
    <w:rsid w:val="00DA7717"/>
    <w:rsid w:val="00DA7B57"/>
    <w:rsid w:val="00DA7F9A"/>
    <w:rsid w:val="00DB04D8"/>
    <w:rsid w:val="00DB0971"/>
    <w:rsid w:val="00DB20AF"/>
    <w:rsid w:val="00DB24EE"/>
    <w:rsid w:val="00DB2715"/>
    <w:rsid w:val="00DB397E"/>
    <w:rsid w:val="00DB3D5C"/>
    <w:rsid w:val="00DB4377"/>
    <w:rsid w:val="00DB5253"/>
    <w:rsid w:val="00DB527F"/>
    <w:rsid w:val="00DB56FF"/>
    <w:rsid w:val="00DB583B"/>
    <w:rsid w:val="00DB5AB7"/>
    <w:rsid w:val="00DB6390"/>
    <w:rsid w:val="00DB66DE"/>
    <w:rsid w:val="00DC1481"/>
    <w:rsid w:val="00DC1623"/>
    <w:rsid w:val="00DC1BE9"/>
    <w:rsid w:val="00DC28D0"/>
    <w:rsid w:val="00DC2DFE"/>
    <w:rsid w:val="00DC33F9"/>
    <w:rsid w:val="00DC670C"/>
    <w:rsid w:val="00DC6EB2"/>
    <w:rsid w:val="00DC7352"/>
    <w:rsid w:val="00DD34CC"/>
    <w:rsid w:val="00DD3B9C"/>
    <w:rsid w:val="00DD40D4"/>
    <w:rsid w:val="00DD56E4"/>
    <w:rsid w:val="00DD58F3"/>
    <w:rsid w:val="00DD5C4E"/>
    <w:rsid w:val="00DD5CCB"/>
    <w:rsid w:val="00DD6577"/>
    <w:rsid w:val="00DD6615"/>
    <w:rsid w:val="00DD7E8B"/>
    <w:rsid w:val="00DE07A6"/>
    <w:rsid w:val="00DE1243"/>
    <w:rsid w:val="00DE1832"/>
    <w:rsid w:val="00DE2B48"/>
    <w:rsid w:val="00DE39CC"/>
    <w:rsid w:val="00DE5B99"/>
    <w:rsid w:val="00DE66A9"/>
    <w:rsid w:val="00DF0277"/>
    <w:rsid w:val="00DF0D28"/>
    <w:rsid w:val="00DF1489"/>
    <w:rsid w:val="00DF1BED"/>
    <w:rsid w:val="00DF3A21"/>
    <w:rsid w:val="00DF4806"/>
    <w:rsid w:val="00DF4CF1"/>
    <w:rsid w:val="00DF5866"/>
    <w:rsid w:val="00DF5B1A"/>
    <w:rsid w:val="00DF657A"/>
    <w:rsid w:val="00DF7BB4"/>
    <w:rsid w:val="00DF7E5D"/>
    <w:rsid w:val="00E0094C"/>
    <w:rsid w:val="00E00BED"/>
    <w:rsid w:val="00E00CF2"/>
    <w:rsid w:val="00E012DE"/>
    <w:rsid w:val="00E0206E"/>
    <w:rsid w:val="00E0221F"/>
    <w:rsid w:val="00E023E6"/>
    <w:rsid w:val="00E03202"/>
    <w:rsid w:val="00E03408"/>
    <w:rsid w:val="00E04247"/>
    <w:rsid w:val="00E04F46"/>
    <w:rsid w:val="00E05198"/>
    <w:rsid w:val="00E053AC"/>
    <w:rsid w:val="00E07354"/>
    <w:rsid w:val="00E1003C"/>
    <w:rsid w:val="00E101F6"/>
    <w:rsid w:val="00E10449"/>
    <w:rsid w:val="00E12BE3"/>
    <w:rsid w:val="00E12F65"/>
    <w:rsid w:val="00E13B9C"/>
    <w:rsid w:val="00E13CD9"/>
    <w:rsid w:val="00E157A2"/>
    <w:rsid w:val="00E15A22"/>
    <w:rsid w:val="00E17B1B"/>
    <w:rsid w:val="00E20B2F"/>
    <w:rsid w:val="00E20FE3"/>
    <w:rsid w:val="00E22C9D"/>
    <w:rsid w:val="00E22D12"/>
    <w:rsid w:val="00E23080"/>
    <w:rsid w:val="00E23277"/>
    <w:rsid w:val="00E2419D"/>
    <w:rsid w:val="00E243DF"/>
    <w:rsid w:val="00E2477F"/>
    <w:rsid w:val="00E24883"/>
    <w:rsid w:val="00E253D0"/>
    <w:rsid w:val="00E25506"/>
    <w:rsid w:val="00E25DC7"/>
    <w:rsid w:val="00E26106"/>
    <w:rsid w:val="00E26449"/>
    <w:rsid w:val="00E26A3E"/>
    <w:rsid w:val="00E26B79"/>
    <w:rsid w:val="00E3039F"/>
    <w:rsid w:val="00E30C3E"/>
    <w:rsid w:val="00E31064"/>
    <w:rsid w:val="00E32533"/>
    <w:rsid w:val="00E328D3"/>
    <w:rsid w:val="00E329FC"/>
    <w:rsid w:val="00E32A76"/>
    <w:rsid w:val="00E32C49"/>
    <w:rsid w:val="00E335E7"/>
    <w:rsid w:val="00E34028"/>
    <w:rsid w:val="00E360BD"/>
    <w:rsid w:val="00E3635E"/>
    <w:rsid w:val="00E3653E"/>
    <w:rsid w:val="00E37D54"/>
    <w:rsid w:val="00E4014D"/>
    <w:rsid w:val="00E4038D"/>
    <w:rsid w:val="00E40D12"/>
    <w:rsid w:val="00E40FEC"/>
    <w:rsid w:val="00E4185B"/>
    <w:rsid w:val="00E418AF"/>
    <w:rsid w:val="00E426A5"/>
    <w:rsid w:val="00E42750"/>
    <w:rsid w:val="00E429E4"/>
    <w:rsid w:val="00E4333A"/>
    <w:rsid w:val="00E442E6"/>
    <w:rsid w:val="00E45557"/>
    <w:rsid w:val="00E45DCA"/>
    <w:rsid w:val="00E46017"/>
    <w:rsid w:val="00E46674"/>
    <w:rsid w:val="00E466AA"/>
    <w:rsid w:val="00E47558"/>
    <w:rsid w:val="00E47F2C"/>
    <w:rsid w:val="00E47F4E"/>
    <w:rsid w:val="00E519B1"/>
    <w:rsid w:val="00E52D1A"/>
    <w:rsid w:val="00E53264"/>
    <w:rsid w:val="00E53AD1"/>
    <w:rsid w:val="00E54214"/>
    <w:rsid w:val="00E5494D"/>
    <w:rsid w:val="00E55C93"/>
    <w:rsid w:val="00E55FEB"/>
    <w:rsid w:val="00E56564"/>
    <w:rsid w:val="00E578E7"/>
    <w:rsid w:val="00E603CA"/>
    <w:rsid w:val="00E60E3D"/>
    <w:rsid w:val="00E614DB"/>
    <w:rsid w:val="00E627F8"/>
    <w:rsid w:val="00E62800"/>
    <w:rsid w:val="00E64121"/>
    <w:rsid w:val="00E6424A"/>
    <w:rsid w:val="00E643E1"/>
    <w:rsid w:val="00E64C70"/>
    <w:rsid w:val="00E64E79"/>
    <w:rsid w:val="00E66119"/>
    <w:rsid w:val="00E67502"/>
    <w:rsid w:val="00E70E55"/>
    <w:rsid w:val="00E70F03"/>
    <w:rsid w:val="00E71211"/>
    <w:rsid w:val="00E71E1D"/>
    <w:rsid w:val="00E71F90"/>
    <w:rsid w:val="00E72154"/>
    <w:rsid w:val="00E73B46"/>
    <w:rsid w:val="00E743D1"/>
    <w:rsid w:val="00E74726"/>
    <w:rsid w:val="00E759EB"/>
    <w:rsid w:val="00E75C48"/>
    <w:rsid w:val="00E75EA6"/>
    <w:rsid w:val="00E760B8"/>
    <w:rsid w:val="00E772EB"/>
    <w:rsid w:val="00E77480"/>
    <w:rsid w:val="00E77959"/>
    <w:rsid w:val="00E801EE"/>
    <w:rsid w:val="00E80D7A"/>
    <w:rsid w:val="00E8424D"/>
    <w:rsid w:val="00E84274"/>
    <w:rsid w:val="00E85509"/>
    <w:rsid w:val="00E8781F"/>
    <w:rsid w:val="00E87C9B"/>
    <w:rsid w:val="00E90FD5"/>
    <w:rsid w:val="00E9190C"/>
    <w:rsid w:val="00E92985"/>
    <w:rsid w:val="00E92A5F"/>
    <w:rsid w:val="00E93033"/>
    <w:rsid w:val="00E938BF"/>
    <w:rsid w:val="00E93B60"/>
    <w:rsid w:val="00E94DA3"/>
    <w:rsid w:val="00E95506"/>
    <w:rsid w:val="00E95F8E"/>
    <w:rsid w:val="00EA00BF"/>
    <w:rsid w:val="00EA0C6D"/>
    <w:rsid w:val="00EA0DF2"/>
    <w:rsid w:val="00EA0E57"/>
    <w:rsid w:val="00EA2E52"/>
    <w:rsid w:val="00EA4732"/>
    <w:rsid w:val="00EA47C7"/>
    <w:rsid w:val="00EA4D74"/>
    <w:rsid w:val="00EA77BD"/>
    <w:rsid w:val="00EB065C"/>
    <w:rsid w:val="00EB07D3"/>
    <w:rsid w:val="00EB0F59"/>
    <w:rsid w:val="00EB1393"/>
    <w:rsid w:val="00EB2252"/>
    <w:rsid w:val="00EB2F9C"/>
    <w:rsid w:val="00EB3717"/>
    <w:rsid w:val="00EB4531"/>
    <w:rsid w:val="00EB4B5C"/>
    <w:rsid w:val="00EB4DB4"/>
    <w:rsid w:val="00EB515D"/>
    <w:rsid w:val="00EB6753"/>
    <w:rsid w:val="00EB7018"/>
    <w:rsid w:val="00EB7B58"/>
    <w:rsid w:val="00EC0E31"/>
    <w:rsid w:val="00EC2B0C"/>
    <w:rsid w:val="00EC52A6"/>
    <w:rsid w:val="00EC546D"/>
    <w:rsid w:val="00EC748D"/>
    <w:rsid w:val="00ED075C"/>
    <w:rsid w:val="00ED1203"/>
    <w:rsid w:val="00ED245B"/>
    <w:rsid w:val="00ED2615"/>
    <w:rsid w:val="00ED2E24"/>
    <w:rsid w:val="00ED352A"/>
    <w:rsid w:val="00ED3F99"/>
    <w:rsid w:val="00ED48A7"/>
    <w:rsid w:val="00ED4DAA"/>
    <w:rsid w:val="00ED4E07"/>
    <w:rsid w:val="00ED5D26"/>
    <w:rsid w:val="00ED72D7"/>
    <w:rsid w:val="00ED79AD"/>
    <w:rsid w:val="00EE2462"/>
    <w:rsid w:val="00EE3676"/>
    <w:rsid w:val="00EE375B"/>
    <w:rsid w:val="00EE3953"/>
    <w:rsid w:val="00EE3E28"/>
    <w:rsid w:val="00EE453E"/>
    <w:rsid w:val="00EE4779"/>
    <w:rsid w:val="00EE4CC3"/>
    <w:rsid w:val="00EE6A44"/>
    <w:rsid w:val="00EE7CF0"/>
    <w:rsid w:val="00EF2740"/>
    <w:rsid w:val="00EF2A1C"/>
    <w:rsid w:val="00EF5387"/>
    <w:rsid w:val="00EF6BF6"/>
    <w:rsid w:val="00F008BE"/>
    <w:rsid w:val="00F00F21"/>
    <w:rsid w:val="00F01799"/>
    <w:rsid w:val="00F02245"/>
    <w:rsid w:val="00F04590"/>
    <w:rsid w:val="00F04F80"/>
    <w:rsid w:val="00F06B6A"/>
    <w:rsid w:val="00F07D9B"/>
    <w:rsid w:val="00F10C78"/>
    <w:rsid w:val="00F1102F"/>
    <w:rsid w:val="00F1348B"/>
    <w:rsid w:val="00F136F1"/>
    <w:rsid w:val="00F162E0"/>
    <w:rsid w:val="00F2079C"/>
    <w:rsid w:val="00F23A9B"/>
    <w:rsid w:val="00F2403D"/>
    <w:rsid w:val="00F24040"/>
    <w:rsid w:val="00F25F4A"/>
    <w:rsid w:val="00F2617D"/>
    <w:rsid w:val="00F2658D"/>
    <w:rsid w:val="00F273EE"/>
    <w:rsid w:val="00F30D32"/>
    <w:rsid w:val="00F30F1F"/>
    <w:rsid w:val="00F315F6"/>
    <w:rsid w:val="00F31826"/>
    <w:rsid w:val="00F325FF"/>
    <w:rsid w:val="00F3267A"/>
    <w:rsid w:val="00F33930"/>
    <w:rsid w:val="00F362B0"/>
    <w:rsid w:val="00F37223"/>
    <w:rsid w:val="00F37A99"/>
    <w:rsid w:val="00F407FF"/>
    <w:rsid w:val="00F40AA7"/>
    <w:rsid w:val="00F41C10"/>
    <w:rsid w:val="00F42011"/>
    <w:rsid w:val="00F43AC5"/>
    <w:rsid w:val="00F440BD"/>
    <w:rsid w:val="00F441BB"/>
    <w:rsid w:val="00F44D00"/>
    <w:rsid w:val="00F457AF"/>
    <w:rsid w:val="00F46926"/>
    <w:rsid w:val="00F46CC7"/>
    <w:rsid w:val="00F473A3"/>
    <w:rsid w:val="00F50CBA"/>
    <w:rsid w:val="00F510DA"/>
    <w:rsid w:val="00F51B14"/>
    <w:rsid w:val="00F539B6"/>
    <w:rsid w:val="00F541F9"/>
    <w:rsid w:val="00F54EE6"/>
    <w:rsid w:val="00F5504D"/>
    <w:rsid w:val="00F57B26"/>
    <w:rsid w:val="00F57BE1"/>
    <w:rsid w:val="00F60AD0"/>
    <w:rsid w:val="00F60EC0"/>
    <w:rsid w:val="00F641E3"/>
    <w:rsid w:val="00F64443"/>
    <w:rsid w:val="00F6464E"/>
    <w:rsid w:val="00F64BB2"/>
    <w:rsid w:val="00F64E6F"/>
    <w:rsid w:val="00F650DA"/>
    <w:rsid w:val="00F65856"/>
    <w:rsid w:val="00F65B32"/>
    <w:rsid w:val="00F67DF9"/>
    <w:rsid w:val="00F67E19"/>
    <w:rsid w:val="00F67F16"/>
    <w:rsid w:val="00F703A6"/>
    <w:rsid w:val="00F709DA"/>
    <w:rsid w:val="00F70E88"/>
    <w:rsid w:val="00F7210F"/>
    <w:rsid w:val="00F7354C"/>
    <w:rsid w:val="00F73D46"/>
    <w:rsid w:val="00F74B47"/>
    <w:rsid w:val="00F75A56"/>
    <w:rsid w:val="00F77BAB"/>
    <w:rsid w:val="00F80FF2"/>
    <w:rsid w:val="00F82EB7"/>
    <w:rsid w:val="00F83944"/>
    <w:rsid w:val="00F83B4E"/>
    <w:rsid w:val="00F83C4B"/>
    <w:rsid w:val="00F85CBF"/>
    <w:rsid w:val="00F871C5"/>
    <w:rsid w:val="00F87CD2"/>
    <w:rsid w:val="00F90BAC"/>
    <w:rsid w:val="00F90F6B"/>
    <w:rsid w:val="00F91B21"/>
    <w:rsid w:val="00F91B4B"/>
    <w:rsid w:val="00F92103"/>
    <w:rsid w:val="00F92335"/>
    <w:rsid w:val="00F92B6F"/>
    <w:rsid w:val="00F92CC2"/>
    <w:rsid w:val="00F94271"/>
    <w:rsid w:val="00F95174"/>
    <w:rsid w:val="00F970ED"/>
    <w:rsid w:val="00FA057F"/>
    <w:rsid w:val="00FA0C95"/>
    <w:rsid w:val="00FA0F17"/>
    <w:rsid w:val="00FA1B99"/>
    <w:rsid w:val="00FA2149"/>
    <w:rsid w:val="00FA2D84"/>
    <w:rsid w:val="00FA3722"/>
    <w:rsid w:val="00FA3CBA"/>
    <w:rsid w:val="00FA3F75"/>
    <w:rsid w:val="00FA4A15"/>
    <w:rsid w:val="00FA50A5"/>
    <w:rsid w:val="00FA538A"/>
    <w:rsid w:val="00FA53C0"/>
    <w:rsid w:val="00FA59AA"/>
    <w:rsid w:val="00FA6725"/>
    <w:rsid w:val="00FA6DD5"/>
    <w:rsid w:val="00FA6E1F"/>
    <w:rsid w:val="00FA70E0"/>
    <w:rsid w:val="00FA77F7"/>
    <w:rsid w:val="00FA7A8C"/>
    <w:rsid w:val="00FA7AC4"/>
    <w:rsid w:val="00FA7E85"/>
    <w:rsid w:val="00FB05BB"/>
    <w:rsid w:val="00FB155A"/>
    <w:rsid w:val="00FB20CC"/>
    <w:rsid w:val="00FB2143"/>
    <w:rsid w:val="00FB3936"/>
    <w:rsid w:val="00FB3C57"/>
    <w:rsid w:val="00FB404F"/>
    <w:rsid w:val="00FB4E5D"/>
    <w:rsid w:val="00FB5530"/>
    <w:rsid w:val="00FB6550"/>
    <w:rsid w:val="00FB67B6"/>
    <w:rsid w:val="00FB6E0F"/>
    <w:rsid w:val="00FB7264"/>
    <w:rsid w:val="00FB77ED"/>
    <w:rsid w:val="00FB7D4C"/>
    <w:rsid w:val="00FC015C"/>
    <w:rsid w:val="00FC0FEF"/>
    <w:rsid w:val="00FC2321"/>
    <w:rsid w:val="00FC24A4"/>
    <w:rsid w:val="00FC32F8"/>
    <w:rsid w:val="00FC46E1"/>
    <w:rsid w:val="00FC46E5"/>
    <w:rsid w:val="00FC6F65"/>
    <w:rsid w:val="00FC702F"/>
    <w:rsid w:val="00FC7970"/>
    <w:rsid w:val="00FC7FDD"/>
    <w:rsid w:val="00FD034F"/>
    <w:rsid w:val="00FD08AA"/>
    <w:rsid w:val="00FD1277"/>
    <w:rsid w:val="00FD16B9"/>
    <w:rsid w:val="00FD1985"/>
    <w:rsid w:val="00FD2619"/>
    <w:rsid w:val="00FD2C76"/>
    <w:rsid w:val="00FD327A"/>
    <w:rsid w:val="00FD3C3E"/>
    <w:rsid w:val="00FD3E36"/>
    <w:rsid w:val="00FD482E"/>
    <w:rsid w:val="00FD5D14"/>
    <w:rsid w:val="00FD6EBA"/>
    <w:rsid w:val="00FE0042"/>
    <w:rsid w:val="00FE04FD"/>
    <w:rsid w:val="00FE0B75"/>
    <w:rsid w:val="00FE1228"/>
    <w:rsid w:val="00FE1DF3"/>
    <w:rsid w:val="00FE3630"/>
    <w:rsid w:val="00FE399F"/>
    <w:rsid w:val="00FE3F7F"/>
    <w:rsid w:val="00FE4134"/>
    <w:rsid w:val="00FE4739"/>
    <w:rsid w:val="00FE49F0"/>
    <w:rsid w:val="00FE4C51"/>
    <w:rsid w:val="00FE4CA5"/>
    <w:rsid w:val="00FE6088"/>
    <w:rsid w:val="00FE69EC"/>
    <w:rsid w:val="00FE7EAA"/>
    <w:rsid w:val="00FF0B47"/>
    <w:rsid w:val="00FF1091"/>
    <w:rsid w:val="00FF1734"/>
    <w:rsid w:val="00FF6994"/>
    <w:rsid w:val="00FF6B7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F2CA6B"/>
  <w15:chartTrackingRefBased/>
  <w15:docId w15:val="{C906FEFE-B338-7F49-9807-9CD1E7728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F7590"/>
    <w:rPr>
      <w:color w:val="0563C1" w:themeColor="hyperlink"/>
      <w:u w:val="single"/>
    </w:rPr>
  </w:style>
  <w:style w:type="paragraph" w:customStyle="1" w:styleId="EndNoteBibliographyTitle">
    <w:name w:val="EndNote Bibliography Title"/>
    <w:basedOn w:val="Normal"/>
    <w:link w:val="EndNoteBibliographyTitleCar"/>
    <w:rsid w:val="00D32B91"/>
    <w:pPr>
      <w:spacing w:after="0"/>
      <w:jc w:val="center"/>
    </w:pPr>
    <w:rPr>
      <w:rFonts w:ascii="Calibri" w:hAnsi="Calibri" w:cs="Calibri"/>
      <w:noProof/>
    </w:rPr>
  </w:style>
  <w:style w:type="character" w:customStyle="1" w:styleId="EndNoteBibliographyTitleCar">
    <w:name w:val="EndNote Bibliography Title Car"/>
    <w:basedOn w:val="Fuentedeprrafopredeter"/>
    <w:link w:val="EndNoteBibliographyTitle"/>
    <w:rsid w:val="00D32B91"/>
    <w:rPr>
      <w:rFonts w:ascii="Calibri" w:hAnsi="Calibri" w:cs="Calibri"/>
      <w:noProof/>
      <w:lang w:val="en-US"/>
    </w:rPr>
  </w:style>
  <w:style w:type="paragraph" w:customStyle="1" w:styleId="EndNoteBibliography">
    <w:name w:val="EndNote Bibliography"/>
    <w:basedOn w:val="Normal"/>
    <w:link w:val="EndNoteBibliographyCar"/>
    <w:rsid w:val="00D32B91"/>
    <w:pPr>
      <w:spacing w:line="240" w:lineRule="auto"/>
    </w:pPr>
    <w:rPr>
      <w:rFonts w:ascii="Calibri" w:hAnsi="Calibri" w:cs="Calibri"/>
      <w:noProof/>
    </w:rPr>
  </w:style>
  <w:style w:type="character" w:customStyle="1" w:styleId="EndNoteBibliographyCar">
    <w:name w:val="EndNote Bibliography Car"/>
    <w:basedOn w:val="Fuentedeprrafopredeter"/>
    <w:link w:val="EndNoteBibliography"/>
    <w:rsid w:val="00D32B91"/>
    <w:rPr>
      <w:rFonts w:ascii="Calibri" w:hAnsi="Calibri" w:cs="Calibri"/>
      <w:noProof/>
      <w:lang w:val="en-US"/>
    </w:rPr>
  </w:style>
  <w:style w:type="paragraph" w:styleId="NormalWeb">
    <w:name w:val="Normal (Web)"/>
    <w:basedOn w:val="Normal"/>
    <w:uiPriority w:val="99"/>
    <w:unhideWhenUsed/>
    <w:rsid w:val="0009018E"/>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212D8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12D87"/>
    <w:rPr>
      <w:rFonts w:ascii="Segoe UI" w:hAnsi="Segoe UI" w:cs="Segoe UI"/>
      <w:sz w:val="18"/>
      <w:szCs w:val="18"/>
      <w:lang w:val="en-US"/>
    </w:rPr>
  </w:style>
  <w:style w:type="paragraph" w:styleId="Bibliografa">
    <w:name w:val="Bibliography"/>
    <w:basedOn w:val="Normal"/>
    <w:next w:val="Normal"/>
    <w:uiPriority w:val="37"/>
    <w:unhideWhenUsed/>
    <w:rsid w:val="00610EB9"/>
    <w:pPr>
      <w:tabs>
        <w:tab w:val="left" w:pos="504"/>
      </w:tabs>
      <w:spacing w:after="240" w:line="240" w:lineRule="auto"/>
      <w:ind w:left="504" w:hanging="504"/>
    </w:pPr>
  </w:style>
  <w:style w:type="character" w:styleId="Refdecomentario">
    <w:name w:val="annotation reference"/>
    <w:basedOn w:val="Fuentedeprrafopredeter"/>
    <w:uiPriority w:val="99"/>
    <w:semiHidden/>
    <w:unhideWhenUsed/>
    <w:rsid w:val="00F23A9B"/>
    <w:rPr>
      <w:sz w:val="16"/>
      <w:szCs w:val="16"/>
    </w:rPr>
  </w:style>
  <w:style w:type="paragraph" w:styleId="Textocomentario">
    <w:name w:val="annotation text"/>
    <w:basedOn w:val="Normal"/>
    <w:link w:val="TextocomentarioCar"/>
    <w:uiPriority w:val="99"/>
    <w:unhideWhenUsed/>
    <w:rsid w:val="00F23A9B"/>
    <w:pPr>
      <w:spacing w:line="240" w:lineRule="auto"/>
    </w:pPr>
    <w:rPr>
      <w:sz w:val="20"/>
      <w:szCs w:val="20"/>
    </w:rPr>
  </w:style>
  <w:style w:type="character" w:customStyle="1" w:styleId="TextocomentarioCar">
    <w:name w:val="Texto comentario Car"/>
    <w:basedOn w:val="Fuentedeprrafopredeter"/>
    <w:link w:val="Textocomentario"/>
    <w:uiPriority w:val="99"/>
    <w:rsid w:val="00F23A9B"/>
    <w:rPr>
      <w:sz w:val="20"/>
      <w:szCs w:val="20"/>
      <w:lang w:val="en-US"/>
    </w:rPr>
  </w:style>
  <w:style w:type="paragraph" w:styleId="Asuntodelcomentario">
    <w:name w:val="annotation subject"/>
    <w:basedOn w:val="Textocomentario"/>
    <w:next w:val="Textocomentario"/>
    <w:link w:val="AsuntodelcomentarioCar"/>
    <w:uiPriority w:val="99"/>
    <w:semiHidden/>
    <w:unhideWhenUsed/>
    <w:rsid w:val="00F23A9B"/>
    <w:rPr>
      <w:b/>
      <w:bCs/>
    </w:rPr>
  </w:style>
  <w:style w:type="character" w:customStyle="1" w:styleId="AsuntodelcomentarioCar">
    <w:name w:val="Asunto del comentario Car"/>
    <w:basedOn w:val="TextocomentarioCar"/>
    <w:link w:val="Asuntodelcomentario"/>
    <w:uiPriority w:val="99"/>
    <w:semiHidden/>
    <w:rsid w:val="00F23A9B"/>
    <w:rPr>
      <w:b/>
      <w:bCs/>
      <w:sz w:val="20"/>
      <w:szCs w:val="20"/>
      <w:lang w:val="en-US"/>
    </w:rPr>
  </w:style>
  <w:style w:type="character" w:customStyle="1" w:styleId="nlm-given-names">
    <w:name w:val="nlm-given-names"/>
    <w:basedOn w:val="Fuentedeprrafopredeter"/>
    <w:rsid w:val="00F23A9B"/>
  </w:style>
  <w:style w:type="character" w:customStyle="1" w:styleId="apple-converted-space">
    <w:name w:val="apple-converted-space"/>
    <w:basedOn w:val="Fuentedeprrafopredeter"/>
    <w:rsid w:val="00F23A9B"/>
  </w:style>
  <w:style w:type="character" w:customStyle="1" w:styleId="nlm-surname">
    <w:name w:val="nlm-surname"/>
    <w:basedOn w:val="Fuentedeprrafopredeter"/>
    <w:rsid w:val="00F23A9B"/>
  </w:style>
  <w:style w:type="paragraph" w:styleId="Revisin">
    <w:name w:val="Revision"/>
    <w:hidden/>
    <w:uiPriority w:val="99"/>
    <w:semiHidden/>
    <w:rsid w:val="00A46D5A"/>
    <w:pPr>
      <w:spacing w:after="0" w:line="240" w:lineRule="auto"/>
    </w:pPr>
    <w:rPr>
      <w:lang w:val="en-US"/>
    </w:rPr>
  </w:style>
  <w:style w:type="table" w:styleId="Tablaconcuadrcula">
    <w:name w:val="Table Grid"/>
    <w:basedOn w:val="Tablanormal"/>
    <w:uiPriority w:val="39"/>
    <w:rsid w:val="00836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4D6319"/>
    <w:rPr>
      <w:i/>
      <w:iCs/>
    </w:rPr>
  </w:style>
  <w:style w:type="paragraph" w:styleId="Prrafodelista">
    <w:name w:val="List Paragraph"/>
    <w:basedOn w:val="Normal"/>
    <w:uiPriority w:val="34"/>
    <w:qFormat/>
    <w:rsid w:val="00B113B5"/>
    <w:pPr>
      <w:ind w:left="720"/>
      <w:contextualSpacing/>
    </w:pPr>
  </w:style>
  <w:style w:type="character" w:customStyle="1" w:styleId="markw44fyixxl">
    <w:name w:val="markw44fyixxl"/>
    <w:basedOn w:val="Fuentedeprrafopredeter"/>
    <w:rsid w:val="00E243DF"/>
  </w:style>
  <w:style w:type="character" w:styleId="Hipervnculovisitado">
    <w:name w:val="FollowedHyperlink"/>
    <w:basedOn w:val="Fuentedeprrafopredeter"/>
    <w:uiPriority w:val="99"/>
    <w:semiHidden/>
    <w:unhideWhenUsed/>
    <w:rsid w:val="00123C65"/>
    <w:rPr>
      <w:color w:val="954F72" w:themeColor="followedHyperlink"/>
      <w:u w:val="single"/>
    </w:rPr>
  </w:style>
  <w:style w:type="character" w:customStyle="1" w:styleId="element-citation">
    <w:name w:val="element-citation"/>
    <w:basedOn w:val="Fuentedeprrafopredeter"/>
    <w:rsid w:val="001A1B93"/>
  </w:style>
  <w:style w:type="character" w:customStyle="1" w:styleId="ref-journal">
    <w:name w:val="ref-journal"/>
    <w:basedOn w:val="Fuentedeprrafopredeter"/>
    <w:rsid w:val="001A1B93"/>
  </w:style>
  <w:style w:type="character" w:customStyle="1" w:styleId="ref-vol">
    <w:name w:val="ref-vol"/>
    <w:basedOn w:val="Fuentedeprrafopredeter"/>
    <w:rsid w:val="001A1B93"/>
  </w:style>
  <w:style w:type="paragraph" w:customStyle="1" w:styleId="Body">
    <w:name w:val="Body"/>
    <w:rsid w:val="00935C83"/>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n-US" w:eastAsia="es-ES_tradnl"/>
      <w14:textOutline w14:w="0" w14:cap="flat" w14:cmpd="sng" w14:algn="ctr">
        <w14:noFill/>
        <w14:prstDash w14:val="solid"/>
        <w14:bevel/>
      </w14:textOutline>
    </w:rPr>
  </w:style>
  <w:style w:type="paragraph" w:styleId="Piedepgina">
    <w:name w:val="footer"/>
    <w:basedOn w:val="Normal"/>
    <w:link w:val="PiedepginaCar"/>
    <w:uiPriority w:val="99"/>
    <w:unhideWhenUsed/>
    <w:rsid w:val="004134C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134CE"/>
    <w:rPr>
      <w:lang w:val="en-US"/>
    </w:rPr>
  </w:style>
  <w:style w:type="character" w:styleId="Nmerodepgina">
    <w:name w:val="page number"/>
    <w:basedOn w:val="Fuentedeprrafopredeter"/>
    <w:uiPriority w:val="99"/>
    <w:semiHidden/>
    <w:unhideWhenUsed/>
    <w:rsid w:val="004134CE"/>
  </w:style>
  <w:style w:type="paragraph" w:styleId="Encabezado">
    <w:name w:val="header"/>
    <w:basedOn w:val="Normal"/>
    <w:link w:val="EncabezadoCar"/>
    <w:uiPriority w:val="99"/>
    <w:unhideWhenUsed/>
    <w:rsid w:val="007B433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B4330"/>
    <w:rPr>
      <w:lang w:val="en-US"/>
    </w:rPr>
  </w:style>
  <w:style w:type="character" w:customStyle="1" w:styleId="orcid-id-https">
    <w:name w:val="orcid-id-https"/>
    <w:basedOn w:val="Fuentedeprrafopredeter"/>
    <w:rsid w:val="00644B64"/>
  </w:style>
  <w:style w:type="character" w:styleId="Nmerodelnea">
    <w:name w:val="line number"/>
    <w:basedOn w:val="Fuentedeprrafopredeter"/>
    <w:uiPriority w:val="99"/>
    <w:semiHidden/>
    <w:unhideWhenUsed/>
    <w:rsid w:val="00204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39615">
      <w:bodyDiv w:val="1"/>
      <w:marLeft w:val="0"/>
      <w:marRight w:val="0"/>
      <w:marTop w:val="0"/>
      <w:marBottom w:val="0"/>
      <w:divBdr>
        <w:top w:val="none" w:sz="0" w:space="0" w:color="auto"/>
        <w:left w:val="none" w:sz="0" w:space="0" w:color="auto"/>
        <w:bottom w:val="none" w:sz="0" w:space="0" w:color="auto"/>
        <w:right w:val="none" w:sz="0" w:space="0" w:color="auto"/>
      </w:divBdr>
    </w:div>
    <w:div w:id="49042518">
      <w:bodyDiv w:val="1"/>
      <w:marLeft w:val="0"/>
      <w:marRight w:val="0"/>
      <w:marTop w:val="0"/>
      <w:marBottom w:val="0"/>
      <w:divBdr>
        <w:top w:val="none" w:sz="0" w:space="0" w:color="auto"/>
        <w:left w:val="none" w:sz="0" w:space="0" w:color="auto"/>
        <w:bottom w:val="none" w:sz="0" w:space="0" w:color="auto"/>
        <w:right w:val="none" w:sz="0" w:space="0" w:color="auto"/>
      </w:divBdr>
    </w:div>
    <w:div w:id="80415957">
      <w:bodyDiv w:val="1"/>
      <w:marLeft w:val="0"/>
      <w:marRight w:val="0"/>
      <w:marTop w:val="0"/>
      <w:marBottom w:val="0"/>
      <w:divBdr>
        <w:top w:val="none" w:sz="0" w:space="0" w:color="auto"/>
        <w:left w:val="none" w:sz="0" w:space="0" w:color="auto"/>
        <w:bottom w:val="none" w:sz="0" w:space="0" w:color="auto"/>
        <w:right w:val="none" w:sz="0" w:space="0" w:color="auto"/>
      </w:divBdr>
    </w:div>
    <w:div w:id="261643642">
      <w:bodyDiv w:val="1"/>
      <w:marLeft w:val="0"/>
      <w:marRight w:val="0"/>
      <w:marTop w:val="0"/>
      <w:marBottom w:val="0"/>
      <w:divBdr>
        <w:top w:val="none" w:sz="0" w:space="0" w:color="auto"/>
        <w:left w:val="none" w:sz="0" w:space="0" w:color="auto"/>
        <w:bottom w:val="none" w:sz="0" w:space="0" w:color="auto"/>
        <w:right w:val="none" w:sz="0" w:space="0" w:color="auto"/>
      </w:divBdr>
    </w:div>
    <w:div w:id="346366585">
      <w:bodyDiv w:val="1"/>
      <w:marLeft w:val="0"/>
      <w:marRight w:val="0"/>
      <w:marTop w:val="0"/>
      <w:marBottom w:val="0"/>
      <w:divBdr>
        <w:top w:val="none" w:sz="0" w:space="0" w:color="auto"/>
        <w:left w:val="none" w:sz="0" w:space="0" w:color="auto"/>
        <w:bottom w:val="none" w:sz="0" w:space="0" w:color="auto"/>
        <w:right w:val="none" w:sz="0" w:space="0" w:color="auto"/>
      </w:divBdr>
    </w:div>
    <w:div w:id="354042763">
      <w:bodyDiv w:val="1"/>
      <w:marLeft w:val="0"/>
      <w:marRight w:val="0"/>
      <w:marTop w:val="0"/>
      <w:marBottom w:val="0"/>
      <w:divBdr>
        <w:top w:val="none" w:sz="0" w:space="0" w:color="auto"/>
        <w:left w:val="none" w:sz="0" w:space="0" w:color="auto"/>
        <w:bottom w:val="none" w:sz="0" w:space="0" w:color="auto"/>
        <w:right w:val="none" w:sz="0" w:space="0" w:color="auto"/>
      </w:divBdr>
    </w:div>
    <w:div w:id="449591799">
      <w:bodyDiv w:val="1"/>
      <w:marLeft w:val="0"/>
      <w:marRight w:val="0"/>
      <w:marTop w:val="0"/>
      <w:marBottom w:val="0"/>
      <w:divBdr>
        <w:top w:val="none" w:sz="0" w:space="0" w:color="auto"/>
        <w:left w:val="none" w:sz="0" w:space="0" w:color="auto"/>
        <w:bottom w:val="none" w:sz="0" w:space="0" w:color="auto"/>
        <w:right w:val="none" w:sz="0" w:space="0" w:color="auto"/>
      </w:divBdr>
    </w:div>
    <w:div w:id="461994858">
      <w:bodyDiv w:val="1"/>
      <w:marLeft w:val="0"/>
      <w:marRight w:val="0"/>
      <w:marTop w:val="0"/>
      <w:marBottom w:val="0"/>
      <w:divBdr>
        <w:top w:val="none" w:sz="0" w:space="0" w:color="auto"/>
        <w:left w:val="none" w:sz="0" w:space="0" w:color="auto"/>
        <w:bottom w:val="none" w:sz="0" w:space="0" w:color="auto"/>
        <w:right w:val="none" w:sz="0" w:space="0" w:color="auto"/>
      </w:divBdr>
    </w:div>
    <w:div w:id="516622924">
      <w:bodyDiv w:val="1"/>
      <w:marLeft w:val="0"/>
      <w:marRight w:val="0"/>
      <w:marTop w:val="0"/>
      <w:marBottom w:val="0"/>
      <w:divBdr>
        <w:top w:val="none" w:sz="0" w:space="0" w:color="auto"/>
        <w:left w:val="none" w:sz="0" w:space="0" w:color="auto"/>
        <w:bottom w:val="none" w:sz="0" w:space="0" w:color="auto"/>
        <w:right w:val="none" w:sz="0" w:space="0" w:color="auto"/>
      </w:divBdr>
    </w:div>
    <w:div w:id="551769609">
      <w:bodyDiv w:val="1"/>
      <w:marLeft w:val="0"/>
      <w:marRight w:val="0"/>
      <w:marTop w:val="0"/>
      <w:marBottom w:val="0"/>
      <w:divBdr>
        <w:top w:val="none" w:sz="0" w:space="0" w:color="auto"/>
        <w:left w:val="none" w:sz="0" w:space="0" w:color="auto"/>
        <w:bottom w:val="none" w:sz="0" w:space="0" w:color="auto"/>
        <w:right w:val="none" w:sz="0" w:space="0" w:color="auto"/>
      </w:divBdr>
    </w:div>
    <w:div w:id="693308515">
      <w:bodyDiv w:val="1"/>
      <w:marLeft w:val="0"/>
      <w:marRight w:val="0"/>
      <w:marTop w:val="0"/>
      <w:marBottom w:val="0"/>
      <w:divBdr>
        <w:top w:val="none" w:sz="0" w:space="0" w:color="auto"/>
        <w:left w:val="none" w:sz="0" w:space="0" w:color="auto"/>
        <w:bottom w:val="none" w:sz="0" w:space="0" w:color="auto"/>
        <w:right w:val="none" w:sz="0" w:space="0" w:color="auto"/>
      </w:divBdr>
    </w:div>
    <w:div w:id="846015156">
      <w:bodyDiv w:val="1"/>
      <w:marLeft w:val="0"/>
      <w:marRight w:val="0"/>
      <w:marTop w:val="0"/>
      <w:marBottom w:val="0"/>
      <w:divBdr>
        <w:top w:val="none" w:sz="0" w:space="0" w:color="auto"/>
        <w:left w:val="none" w:sz="0" w:space="0" w:color="auto"/>
        <w:bottom w:val="none" w:sz="0" w:space="0" w:color="auto"/>
        <w:right w:val="none" w:sz="0" w:space="0" w:color="auto"/>
      </w:divBdr>
    </w:div>
    <w:div w:id="851263666">
      <w:bodyDiv w:val="1"/>
      <w:marLeft w:val="0"/>
      <w:marRight w:val="0"/>
      <w:marTop w:val="0"/>
      <w:marBottom w:val="0"/>
      <w:divBdr>
        <w:top w:val="none" w:sz="0" w:space="0" w:color="auto"/>
        <w:left w:val="none" w:sz="0" w:space="0" w:color="auto"/>
        <w:bottom w:val="none" w:sz="0" w:space="0" w:color="auto"/>
        <w:right w:val="none" w:sz="0" w:space="0" w:color="auto"/>
      </w:divBdr>
    </w:div>
    <w:div w:id="871266711">
      <w:bodyDiv w:val="1"/>
      <w:marLeft w:val="0"/>
      <w:marRight w:val="0"/>
      <w:marTop w:val="0"/>
      <w:marBottom w:val="0"/>
      <w:divBdr>
        <w:top w:val="none" w:sz="0" w:space="0" w:color="auto"/>
        <w:left w:val="none" w:sz="0" w:space="0" w:color="auto"/>
        <w:bottom w:val="none" w:sz="0" w:space="0" w:color="auto"/>
        <w:right w:val="none" w:sz="0" w:space="0" w:color="auto"/>
      </w:divBdr>
    </w:div>
    <w:div w:id="965702644">
      <w:bodyDiv w:val="1"/>
      <w:marLeft w:val="0"/>
      <w:marRight w:val="0"/>
      <w:marTop w:val="0"/>
      <w:marBottom w:val="0"/>
      <w:divBdr>
        <w:top w:val="none" w:sz="0" w:space="0" w:color="auto"/>
        <w:left w:val="none" w:sz="0" w:space="0" w:color="auto"/>
        <w:bottom w:val="none" w:sz="0" w:space="0" w:color="auto"/>
        <w:right w:val="none" w:sz="0" w:space="0" w:color="auto"/>
      </w:divBdr>
    </w:div>
    <w:div w:id="1021395077">
      <w:bodyDiv w:val="1"/>
      <w:marLeft w:val="0"/>
      <w:marRight w:val="0"/>
      <w:marTop w:val="0"/>
      <w:marBottom w:val="0"/>
      <w:divBdr>
        <w:top w:val="none" w:sz="0" w:space="0" w:color="auto"/>
        <w:left w:val="none" w:sz="0" w:space="0" w:color="auto"/>
        <w:bottom w:val="none" w:sz="0" w:space="0" w:color="auto"/>
        <w:right w:val="none" w:sz="0" w:space="0" w:color="auto"/>
      </w:divBdr>
    </w:div>
    <w:div w:id="1029187707">
      <w:bodyDiv w:val="1"/>
      <w:marLeft w:val="0"/>
      <w:marRight w:val="0"/>
      <w:marTop w:val="0"/>
      <w:marBottom w:val="0"/>
      <w:divBdr>
        <w:top w:val="none" w:sz="0" w:space="0" w:color="auto"/>
        <w:left w:val="none" w:sz="0" w:space="0" w:color="auto"/>
        <w:bottom w:val="none" w:sz="0" w:space="0" w:color="auto"/>
        <w:right w:val="none" w:sz="0" w:space="0" w:color="auto"/>
      </w:divBdr>
    </w:div>
    <w:div w:id="1203249145">
      <w:bodyDiv w:val="1"/>
      <w:marLeft w:val="0"/>
      <w:marRight w:val="0"/>
      <w:marTop w:val="0"/>
      <w:marBottom w:val="0"/>
      <w:divBdr>
        <w:top w:val="none" w:sz="0" w:space="0" w:color="auto"/>
        <w:left w:val="none" w:sz="0" w:space="0" w:color="auto"/>
        <w:bottom w:val="none" w:sz="0" w:space="0" w:color="auto"/>
        <w:right w:val="none" w:sz="0" w:space="0" w:color="auto"/>
      </w:divBdr>
    </w:div>
    <w:div w:id="1223254375">
      <w:bodyDiv w:val="1"/>
      <w:marLeft w:val="0"/>
      <w:marRight w:val="0"/>
      <w:marTop w:val="0"/>
      <w:marBottom w:val="0"/>
      <w:divBdr>
        <w:top w:val="none" w:sz="0" w:space="0" w:color="auto"/>
        <w:left w:val="none" w:sz="0" w:space="0" w:color="auto"/>
        <w:bottom w:val="none" w:sz="0" w:space="0" w:color="auto"/>
        <w:right w:val="none" w:sz="0" w:space="0" w:color="auto"/>
      </w:divBdr>
    </w:div>
    <w:div w:id="1375079649">
      <w:bodyDiv w:val="1"/>
      <w:marLeft w:val="0"/>
      <w:marRight w:val="0"/>
      <w:marTop w:val="0"/>
      <w:marBottom w:val="0"/>
      <w:divBdr>
        <w:top w:val="none" w:sz="0" w:space="0" w:color="auto"/>
        <w:left w:val="none" w:sz="0" w:space="0" w:color="auto"/>
        <w:bottom w:val="none" w:sz="0" w:space="0" w:color="auto"/>
        <w:right w:val="none" w:sz="0" w:space="0" w:color="auto"/>
      </w:divBdr>
    </w:div>
    <w:div w:id="1425682856">
      <w:bodyDiv w:val="1"/>
      <w:marLeft w:val="0"/>
      <w:marRight w:val="0"/>
      <w:marTop w:val="0"/>
      <w:marBottom w:val="0"/>
      <w:divBdr>
        <w:top w:val="none" w:sz="0" w:space="0" w:color="auto"/>
        <w:left w:val="none" w:sz="0" w:space="0" w:color="auto"/>
        <w:bottom w:val="none" w:sz="0" w:space="0" w:color="auto"/>
        <w:right w:val="none" w:sz="0" w:space="0" w:color="auto"/>
      </w:divBdr>
    </w:div>
    <w:div w:id="1454909833">
      <w:bodyDiv w:val="1"/>
      <w:marLeft w:val="0"/>
      <w:marRight w:val="0"/>
      <w:marTop w:val="0"/>
      <w:marBottom w:val="0"/>
      <w:divBdr>
        <w:top w:val="none" w:sz="0" w:space="0" w:color="auto"/>
        <w:left w:val="none" w:sz="0" w:space="0" w:color="auto"/>
        <w:bottom w:val="none" w:sz="0" w:space="0" w:color="auto"/>
        <w:right w:val="none" w:sz="0" w:space="0" w:color="auto"/>
      </w:divBdr>
    </w:div>
    <w:div w:id="1455826671">
      <w:bodyDiv w:val="1"/>
      <w:marLeft w:val="0"/>
      <w:marRight w:val="0"/>
      <w:marTop w:val="0"/>
      <w:marBottom w:val="0"/>
      <w:divBdr>
        <w:top w:val="none" w:sz="0" w:space="0" w:color="auto"/>
        <w:left w:val="none" w:sz="0" w:space="0" w:color="auto"/>
        <w:bottom w:val="none" w:sz="0" w:space="0" w:color="auto"/>
        <w:right w:val="none" w:sz="0" w:space="0" w:color="auto"/>
      </w:divBdr>
    </w:div>
    <w:div w:id="1517159509">
      <w:bodyDiv w:val="1"/>
      <w:marLeft w:val="0"/>
      <w:marRight w:val="0"/>
      <w:marTop w:val="0"/>
      <w:marBottom w:val="0"/>
      <w:divBdr>
        <w:top w:val="none" w:sz="0" w:space="0" w:color="auto"/>
        <w:left w:val="none" w:sz="0" w:space="0" w:color="auto"/>
        <w:bottom w:val="none" w:sz="0" w:space="0" w:color="auto"/>
        <w:right w:val="none" w:sz="0" w:space="0" w:color="auto"/>
      </w:divBdr>
    </w:div>
    <w:div w:id="1541555410">
      <w:bodyDiv w:val="1"/>
      <w:marLeft w:val="0"/>
      <w:marRight w:val="0"/>
      <w:marTop w:val="0"/>
      <w:marBottom w:val="0"/>
      <w:divBdr>
        <w:top w:val="none" w:sz="0" w:space="0" w:color="auto"/>
        <w:left w:val="none" w:sz="0" w:space="0" w:color="auto"/>
        <w:bottom w:val="none" w:sz="0" w:space="0" w:color="auto"/>
        <w:right w:val="none" w:sz="0" w:space="0" w:color="auto"/>
      </w:divBdr>
    </w:div>
    <w:div w:id="1579171461">
      <w:bodyDiv w:val="1"/>
      <w:marLeft w:val="0"/>
      <w:marRight w:val="0"/>
      <w:marTop w:val="0"/>
      <w:marBottom w:val="0"/>
      <w:divBdr>
        <w:top w:val="none" w:sz="0" w:space="0" w:color="auto"/>
        <w:left w:val="none" w:sz="0" w:space="0" w:color="auto"/>
        <w:bottom w:val="none" w:sz="0" w:space="0" w:color="auto"/>
        <w:right w:val="none" w:sz="0" w:space="0" w:color="auto"/>
      </w:divBdr>
    </w:div>
    <w:div w:id="1579511051">
      <w:bodyDiv w:val="1"/>
      <w:marLeft w:val="0"/>
      <w:marRight w:val="0"/>
      <w:marTop w:val="0"/>
      <w:marBottom w:val="0"/>
      <w:divBdr>
        <w:top w:val="none" w:sz="0" w:space="0" w:color="auto"/>
        <w:left w:val="none" w:sz="0" w:space="0" w:color="auto"/>
        <w:bottom w:val="none" w:sz="0" w:space="0" w:color="auto"/>
        <w:right w:val="none" w:sz="0" w:space="0" w:color="auto"/>
      </w:divBdr>
    </w:div>
    <w:div w:id="1607230462">
      <w:bodyDiv w:val="1"/>
      <w:marLeft w:val="0"/>
      <w:marRight w:val="0"/>
      <w:marTop w:val="0"/>
      <w:marBottom w:val="0"/>
      <w:divBdr>
        <w:top w:val="none" w:sz="0" w:space="0" w:color="auto"/>
        <w:left w:val="none" w:sz="0" w:space="0" w:color="auto"/>
        <w:bottom w:val="none" w:sz="0" w:space="0" w:color="auto"/>
        <w:right w:val="none" w:sz="0" w:space="0" w:color="auto"/>
      </w:divBdr>
    </w:div>
    <w:div w:id="1613975448">
      <w:bodyDiv w:val="1"/>
      <w:marLeft w:val="0"/>
      <w:marRight w:val="0"/>
      <w:marTop w:val="0"/>
      <w:marBottom w:val="0"/>
      <w:divBdr>
        <w:top w:val="none" w:sz="0" w:space="0" w:color="auto"/>
        <w:left w:val="none" w:sz="0" w:space="0" w:color="auto"/>
        <w:bottom w:val="none" w:sz="0" w:space="0" w:color="auto"/>
        <w:right w:val="none" w:sz="0" w:space="0" w:color="auto"/>
      </w:divBdr>
    </w:div>
    <w:div w:id="1642033189">
      <w:bodyDiv w:val="1"/>
      <w:marLeft w:val="0"/>
      <w:marRight w:val="0"/>
      <w:marTop w:val="0"/>
      <w:marBottom w:val="0"/>
      <w:divBdr>
        <w:top w:val="none" w:sz="0" w:space="0" w:color="auto"/>
        <w:left w:val="none" w:sz="0" w:space="0" w:color="auto"/>
        <w:bottom w:val="none" w:sz="0" w:space="0" w:color="auto"/>
        <w:right w:val="none" w:sz="0" w:space="0" w:color="auto"/>
      </w:divBdr>
    </w:div>
    <w:div w:id="1655715572">
      <w:bodyDiv w:val="1"/>
      <w:marLeft w:val="0"/>
      <w:marRight w:val="0"/>
      <w:marTop w:val="0"/>
      <w:marBottom w:val="0"/>
      <w:divBdr>
        <w:top w:val="none" w:sz="0" w:space="0" w:color="auto"/>
        <w:left w:val="none" w:sz="0" w:space="0" w:color="auto"/>
        <w:bottom w:val="none" w:sz="0" w:space="0" w:color="auto"/>
        <w:right w:val="none" w:sz="0" w:space="0" w:color="auto"/>
      </w:divBdr>
    </w:div>
    <w:div w:id="1691637433">
      <w:bodyDiv w:val="1"/>
      <w:marLeft w:val="0"/>
      <w:marRight w:val="0"/>
      <w:marTop w:val="0"/>
      <w:marBottom w:val="0"/>
      <w:divBdr>
        <w:top w:val="none" w:sz="0" w:space="0" w:color="auto"/>
        <w:left w:val="none" w:sz="0" w:space="0" w:color="auto"/>
        <w:bottom w:val="none" w:sz="0" w:space="0" w:color="auto"/>
        <w:right w:val="none" w:sz="0" w:space="0" w:color="auto"/>
      </w:divBdr>
    </w:div>
    <w:div w:id="1935017593">
      <w:bodyDiv w:val="1"/>
      <w:marLeft w:val="0"/>
      <w:marRight w:val="0"/>
      <w:marTop w:val="0"/>
      <w:marBottom w:val="0"/>
      <w:divBdr>
        <w:top w:val="none" w:sz="0" w:space="0" w:color="auto"/>
        <w:left w:val="none" w:sz="0" w:space="0" w:color="auto"/>
        <w:bottom w:val="none" w:sz="0" w:space="0" w:color="auto"/>
        <w:right w:val="none" w:sz="0" w:space="0" w:color="auto"/>
      </w:divBdr>
    </w:div>
    <w:div w:id="1970934484">
      <w:bodyDiv w:val="1"/>
      <w:marLeft w:val="0"/>
      <w:marRight w:val="0"/>
      <w:marTop w:val="0"/>
      <w:marBottom w:val="0"/>
      <w:divBdr>
        <w:top w:val="none" w:sz="0" w:space="0" w:color="auto"/>
        <w:left w:val="none" w:sz="0" w:space="0" w:color="auto"/>
        <w:bottom w:val="none" w:sz="0" w:space="0" w:color="auto"/>
        <w:right w:val="none" w:sz="0" w:space="0" w:color="auto"/>
      </w:divBdr>
    </w:div>
    <w:div w:id="2071800511">
      <w:bodyDiv w:val="1"/>
      <w:marLeft w:val="0"/>
      <w:marRight w:val="0"/>
      <w:marTop w:val="0"/>
      <w:marBottom w:val="0"/>
      <w:divBdr>
        <w:top w:val="none" w:sz="0" w:space="0" w:color="auto"/>
        <w:left w:val="none" w:sz="0" w:space="0" w:color="auto"/>
        <w:bottom w:val="none" w:sz="0" w:space="0" w:color="auto"/>
        <w:right w:val="none" w:sz="0" w:space="0" w:color="auto"/>
      </w:divBdr>
    </w:div>
    <w:div w:id="2114788346">
      <w:bodyDiv w:val="1"/>
      <w:marLeft w:val="0"/>
      <w:marRight w:val="0"/>
      <w:marTop w:val="0"/>
      <w:marBottom w:val="0"/>
      <w:divBdr>
        <w:top w:val="none" w:sz="0" w:space="0" w:color="auto"/>
        <w:left w:val="none" w:sz="0" w:space="0" w:color="auto"/>
        <w:bottom w:val="none" w:sz="0" w:space="0" w:color="auto"/>
        <w:right w:val="none" w:sz="0" w:space="0" w:color="auto"/>
      </w:divBdr>
    </w:div>
    <w:div w:id="2116166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41"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E2C55-A181-4195-988B-7458041F0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10125</Words>
  <Characters>57716</Characters>
  <Application>Microsoft Office Word</Application>
  <DocSecurity>0</DocSecurity>
  <Lines>480</Lines>
  <Paragraphs>135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67706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JIMENEZ BERNAL</dc:creator>
  <cp:keywords/>
  <dc:description/>
  <cp:lastModifiedBy>MARTA CRESPO MAULL</cp:lastModifiedBy>
  <cp:revision>2</cp:revision>
  <cp:lastPrinted>2020-06-11T12:18:00Z</cp:lastPrinted>
  <dcterms:created xsi:type="dcterms:W3CDTF">2021-05-10T10:27:00Z</dcterms:created>
  <dcterms:modified xsi:type="dcterms:W3CDTF">2021-05-10T10:27:00Z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zotero-version="5.0.69"&gt;&lt;session id="uM0vHhR8"/&gt;&lt;style id="http://www.zotero.org/styles/cancer-research" hasBibliography="1" bibliographyStyleHasBeenSet="1"/&gt;&lt;prefs&gt;&lt;pref name="fieldType" value="Field"/&gt;&lt;pref name="dontAskDelayCitat</vt:lpwstr>
  </property>
  <property fmtid="{D5CDD505-2E9C-101B-9397-08002B2CF9AE}" pid="3" name="ZOTERO_PREF_2">
    <vt:lpwstr>ionUpdates" value="true"/&gt;&lt;/prefs&gt;&lt;/data&gt;</vt:lpwstr>
  </property>
</Properties>
</file>