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left"/>
        <w:rPr>
          <w:b/>
          <w:bCs/>
          <w:kern w:val="0"/>
          <w:sz w:val="24"/>
        </w:rPr>
      </w:pPr>
      <w:r>
        <w:rPr>
          <w:b/>
          <w:bCs/>
          <w:kern w:val="0"/>
          <w:sz w:val="24"/>
        </w:rPr>
        <w:t xml:space="preserve">Materials and </w:t>
      </w:r>
      <w:r>
        <w:rPr>
          <w:rFonts w:hint="eastAsia"/>
          <w:b/>
          <w:bCs/>
          <w:kern w:val="0"/>
          <w:sz w:val="24"/>
        </w:rPr>
        <w:t>m</w:t>
      </w:r>
      <w:r>
        <w:rPr>
          <w:b/>
          <w:bCs/>
          <w:kern w:val="0"/>
          <w:sz w:val="24"/>
        </w:rPr>
        <w:t>ethods</w:t>
      </w:r>
    </w:p>
    <w:p>
      <w:pPr>
        <w:spacing w:line="480" w:lineRule="auto"/>
        <w:rPr>
          <w:b/>
          <w:bCs/>
          <w:kern w:val="0"/>
          <w:sz w:val="24"/>
        </w:rPr>
      </w:pPr>
      <w:r>
        <w:rPr>
          <w:b/>
          <w:bCs/>
          <w:kern w:val="0"/>
          <w:sz w:val="24"/>
        </w:rPr>
        <w:t xml:space="preserve">Patients and endometrial tissue microarray </w:t>
      </w:r>
    </w:p>
    <w:p>
      <w:pPr>
        <w:spacing w:line="480" w:lineRule="auto"/>
        <w:rPr>
          <w:sz w:val="24"/>
        </w:rPr>
      </w:pPr>
      <w:r>
        <w:rPr>
          <w:kern w:val="0"/>
          <w:sz w:val="24"/>
        </w:rPr>
        <w:t>This study was approved by the</w:t>
      </w:r>
      <w:bookmarkStart w:id="0" w:name="OLE_LINK79"/>
      <w:r>
        <w:rPr>
          <w:kern w:val="0"/>
          <w:sz w:val="24"/>
        </w:rPr>
        <w:t xml:space="preserve"> Institutional Review Board of Anhui Medical University (No: 20180023)</w:t>
      </w:r>
      <w:bookmarkEnd w:id="0"/>
      <w:r>
        <w:rPr>
          <w:kern w:val="0"/>
          <w:sz w:val="24"/>
        </w:rPr>
        <w:t xml:space="preserve">. A written informed consent was obtained from all patients prior to sample collection and storage. </w:t>
      </w:r>
      <w:r>
        <w:rPr>
          <w:sz w:val="24"/>
        </w:rPr>
        <w:t>The tissue microarray included 60 EC endometrial tissues and 36 normal endometrial tissues; these tissues were described in our previous study</w:t>
      </w:r>
      <w:r>
        <w:rPr>
          <w:rFonts w:hint="eastAsia"/>
          <w:sz w:val="24"/>
        </w:rPr>
        <w:t xml:space="preserve"> </w:t>
      </w:r>
      <w:r>
        <w:rPr>
          <w:sz w:val="24"/>
        </w:rPr>
        <w:fldChar w:fldCharType="begin"/>
      </w:r>
      <w:r>
        <w:rPr>
          <w:sz w:val="24"/>
        </w:rPr>
        <w:instrText xml:space="preserve"> ADDIN NE.Ref.{6BF70917-CCE3-4FBE-A0A1-843A19EE475E}</w:instrText>
      </w:r>
      <w:r>
        <w:rPr>
          <w:sz w:val="24"/>
        </w:rPr>
        <w:fldChar w:fldCharType="separate"/>
      </w:r>
      <w:r>
        <w:rPr>
          <w:rFonts w:eastAsia="Times New Roman"/>
          <w:color w:val="080000"/>
          <w:sz w:val="24"/>
        </w:rPr>
        <w:t>[</w:t>
      </w:r>
      <w:r>
        <w:rPr>
          <w:rFonts w:hint="eastAsia"/>
          <w:color w:val="080000"/>
          <w:sz w:val="24"/>
          <w:lang w:val="en-US" w:eastAsia="zh-CN"/>
        </w:rPr>
        <w:t>8</w:t>
      </w:r>
      <w:r>
        <w:rPr>
          <w:rFonts w:eastAsia="Times New Roman"/>
          <w:color w:val="080000"/>
          <w:sz w:val="24"/>
        </w:rPr>
        <w:t>]</w:t>
      </w:r>
      <w:r>
        <w:rPr>
          <w:sz w:val="24"/>
        </w:rPr>
        <w:fldChar w:fldCharType="end"/>
      </w:r>
      <w:r>
        <w:rPr>
          <w:rFonts w:hint="eastAsia"/>
          <w:sz w:val="24"/>
        </w:rPr>
        <w:t>.</w:t>
      </w:r>
      <w:r>
        <w:rPr>
          <w:sz w:val="24"/>
        </w:rPr>
        <w:t xml:space="preserve"> </w:t>
      </w:r>
      <w:r>
        <w:rPr>
          <w:color w:val="000000"/>
          <w:kern w:val="0"/>
          <w:sz w:val="24"/>
        </w:rPr>
        <w:t>Among the E</w:t>
      </w:r>
      <w:r>
        <w:rPr>
          <w:color w:val="000000"/>
          <w:sz w:val="24"/>
        </w:rPr>
        <w:t>C samples,</w:t>
      </w:r>
      <w:r>
        <w:rPr>
          <w:color w:val="000000"/>
          <w:kern w:val="0"/>
          <w:sz w:val="24"/>
        </w:rPr>
        <w:t xml:space="preserve"> 81.7% (n = 49) were collected from postmenopausal patients, and 18.6% (n = 11) were collected from premenopausal patients. A total of 85.0% (n = 51) of these samples exhibited endometrioid histology, and 15.0% (n = 9) exhibited serous histology. A total of 33.3% (n = 20) of these samples were FIGO stage I, 46.7% (n = 28) were FIGO stage II, 20.0% (n = 12) were FIGO stage III and IV, 90.0% (n = 54) were G1-G2 stage, and 10.0% (n = 10) were G3 stage. A total of 83.3% (n = 50) of these samples had ≤ 50% myometrial invasion, and </w:t>
      </w:r>
      <w:bookmarkStart w:id="31" w:name="_GoBack"/>
      <w:bookmarkEnd w:id="31"/>
      <w:r>
        <w:rPr>
          <w:color w:val="000000"/>
          <w:kern w:val="0"/>
          <w:sz w:val="24"/>
        </w:rPr>
        <w:t xml:space="preserve">16.7% (n = 10) had &gt; 50% myometrial invasion. A total of 10.0% (n = 6) of these patients were positive for lymphatic node metastasis, and 90.0% (n = 54) were negative for lymphatic node metastasis. </w:t>
      </w:r>
    </w:p>
    <w:p>
      <w:pPr>
        <w:autoSpaceDE w:val="0"/>
        <w:autoSpaceDN w:val="0"/>
        <w:adjustRightInd w:val="0"/>
        <w:spacing w:line="480" w:lineRule="auto"/>
        <w:rPr>
          <w:b/>
          <w:bCs/>
          <w:kern w:val="0"/>
          <w:sz w:val="24"/>
        </w:rPr>
      </w:pPr>
    </w:p>
    <w:p>
      <w:pPr>
        <w:autoSpaceDE w:val="0"/>
        <w:autoSpaceDN w:val="0"/>
        <w:adjustRightInd w:val="0"/>
        <w:spacing w:line="480" w:lineRule="auto"/>
        <w:rPr>
          <w:b/>
          <w:bCs/>
          <w:kern w:val="0"/>
          <w:sz w:val="24"/>
        </w:rPr>
      </w:pPr>
      <w:r>
        <w:rPr>
          <w:b/>
          <w:bCs/>
          <w:kern w:val="0"/>
          <w:sz w:val="24"/>
        </w:rPr>
        <w:t>Immunohistochemistry (IHC)</w:t>
      </w:r>
    </w:p>
    <w:p>
      <w:pPr>
        <w:autoSpaceDE w:val="0"/>
        <w:autoSpaceDN w:val="0"/>
        <w:adjustRightInd w:val="0"/>
        <w:spacing w:line="480" w:lineRule="auto"/>
      </w:pPr>
      <w:r>
        <w:rPr>
          <w:sz w:val="24"/>
        </w:rPr>
        <w:t xml:space="preserve">IHC assays were </w:t>
      </w:r>
      <w:bookmarkStart w:id="1" w:name="OLE_LINK129"/>
      <w:bookmarkStart w:id="2" w:name="OLE_LINK128"/>
      <w:r>
        <w:rPr>
          <w:sz w:val="24"/>
        </w:rPr>
        <w:t>performed as</w:t>
      </w:r>
      <w:bookmarkEnd w:id="1"/>
      <w:bookmarkEnd w:id="2"/>
      <w:r>
        <w:rPr>
          <w:sz w:val="24"/>
        </w:rPr>
        <w:t xml:space="preserve"> previously described</w:t>
      </w:r>
      <w:r>
        <w:rPr>
          <w:rFonts w:hint="eastAsia"/>
          <w:sz w:val="24"/>
        </w:rPr>
        <w:t xml:space="preserve"> </w:t>
      </w:r>
      <w:r>
        <w:rPr>
          <w:sz w:val="24"/>
        </w:rPr>
        <w:fldChar w:fldCharType="begin"/>
      </w:r>
      <w:r>
        <w:rPr>
          <w:sz w:val="24"/>
        </w:rPr>
        <w:instrText xml:space="preserve"> ADDIN NE.Ref.{9002E240-BA6C-4F92-9FB3-4EA58B10EFD7}</w:instrText>
      </w:r>
      <w:r>
        <w:rPr>
          <w:sz w:val="24"/>
        </w:rPr>
        <w:fldChar w:fldCharType="separate"/>
      </w:r>
      <w:r>
        <w:rPr>
          <w:rFonts w:eastAsia="Times New Roman"/>
          <w:color w:val="080000"/>
          <w:sz w:val="24"/>
        </w:rPr>
        <w:t>[</w:t>
      </w:r>
      <w:r>
        <w:rPr>
          <w:rFonts w:hint="eastAsia"/>
          <w:color w:val="080000"/>
          <w:sz w:val="24"/>
          <w:lang w:val="en-US" w:eastAsia="zh-CN"/>
        </w:rPr>
        <w:t>8</w:t>
      </w:r>
      <w:r>
        <w:rPr>
          <w:rFonts w:eastAsia="Times New Roman"/>
          <w:color w:val="080000"/>
          <w:sz w:val="24"/>
        </w:rPr>
        <w:t>]</w:t>
      </w:r>
      <w:r>
        <w:rPr>
          <w:sz w:val="24"/>
        </w:rPr>
        <w:fldChar w:fldCharType="end"/>
      </w:r>
      <w:r>
        <w:rPr>
          <w:rFonts w:hint="eastAsia"/>
          <w:sz w:val="24"/>
        </w:rPr>
        <w:t>.</w:t>
      </w:r>
      <w:r>
        <w:rPr>
          <w:sz w:val="24"/>
        </w:rPr>
        <w:t xml:space="preserve"> </w:t>
      </w:r>
      <w:r>
        <w:rPr>
          <w:rFonts w:eastAsia="MinionPro"/>
          <w:kern w:val="0"/>
          <w:sz w:val="24"/>
        </w:rPr>
        <w:t>Primary</w:t>
      </w:r>
      <w:r>
        <w:rPr>
          <w:sz w:val="24"/>
        </w:rPr>
        <w:t xml:space="preserve"> antibodies against METTL3 (15073-1-AP, Proteintech, diluted 1:</w:t>
      </w:r>
      <w:r>
        <w:rPr>
          <w:rFonts w:eastAsia="MinionPro"/>
          <w:kern w:val="0"/>
          <w:sz w:val="24"/>
        </w:rPr>
        <w:t>100), Y</w:t>
      </w:r>
      <w:r>
        <w:rPr>
          <w:sz w:val="24"/>
        </w:rPr>
        <w:t xml:space="preserve">THDF2 (24744-1-AP, </w:t>
      </w:r>
      <w:bookmarkStart w:id="3" w:name="OLE_LINK139"/>
      <w:bookmarkStart w:id="4" w:name="OLE_LINK138"/>
      <w:r>
        <w:rPr>
          <w:sz w:val="24"/>
        </w:rPr>
        <w:t>Proteintech</w:t>
      </w:r>
      <w:bookmarkEnd w:id="3"/>
      <w:bookmarkEnd w:id="4"/>
      <w:r>
        <w:rPr>
          <w:sz w:val="24"/>
        </w:rPr>
        <w:t>, diluted 1:</w:t>
      </w:r>
      <w:r>
        <w:rPr>
          <w:rFonts w:eastAsia="MinionPro"/>
          <w:kern w:val="0"/>
          <w:sz w:val="24"/>
        </w:rPr>
        <w:t>100), NL</w:t>
      </w:r>
      <w:r>
        <w:rPr>
          <w:sz w:val="24"/>
        </w:rPr>
        <w:t>RC5 (</w:t>
      </w:r>
      <w:bookmarkStart w:id="5" w:name="OLE_LINK130"/>
      <w:bookmarkStart w:id="6" w:name="OLE_LINK131"/>
      <w:bookmarkStart w:id="7" w:name="OLE_LINK135"/>
      <w:bookmarkStart w:id="8" w:name="OLE_LINK134"/>
      <w:r>
        <w:rPr>
          <w:sz w:val="24"/>
        </w:rPr>
        <w:t>DF13672, Affinity</w:t>
      </w:r>
      <w:bookmarkEnd w:id="5"/>
      <w:bookmarkEnd w:id="6"/>
      <w:r>
        <w:rPr>
          <w:sz w:val="24"/>
        </w:rPr>
        <w:t xml:space="preserve">, </w:t>
      </w:r>
      <w:bookmarkStart w:id="9" w:name="OLE_LINK136"/>
      <w:bookmarkStart w:id="10" w:name="OLE_LINK137"/>
      <w:r>
        <w:rPr>
          <w:sz w:val="24"/>
        </w:rPr>
        <w:t>diluted 1:100</w:t>
      </w:r>
      <w:bookmarkEnd w:id="7"/>
      <w:bookmarkEnd w:id="8"/>
      <w:bookmarkEnd w:id="9"/>
      <w:bookmarkEnd w:id="10"/>
      <w:r>
        <w:rPr>
          <w:sz w:val="24"/>
        </w:rPr>
        <w:t>)</w:t>
      </w:r>
      <w:r>
        <w:rPr>
          <w:kern w:val="0"/>
          <w:sz w:val="24"/>
        </w:rPr>
        <w:t xml:space="preserve">, </w:t>
      </w:r>
      <w:r>
        <w:rPr>
          <w:sz w:val="24"/>
        </w:rPr>
        <w:t>and CD8 (</w:t>
      </w:r>
      <w:bookmarkStart w:id="11" w:name="OLE_LINK133"/>
      <w:bookmarkStart w:id="12" w:name="OLE_LINK132"/>
      <w:r>
        <w:rPr>
          <w:sz w:val="24"/>
        </w:rPr>
        <w:t>GB12068</w:t>
      </w:r>
      <w:bookmarkEnd w:id="11"/>
      <w:bookmarkEnd w:id="12"/>
      <w:r>
        <w:rPr>
          <w:sz w:val="24"/>
        </w:rPr>
        <w:t>, Servicebio, diluted 1:3000) were used. The secondary antibody was purchased from Servicebio (G1210-2-A).</w:t>
      </w:r>
      <w:r>
        <w:rPr>
          <w:rFonts w:hint="eastAsia"/>
          <w:sz w:val="24"/>
          <w:lang w:val="en-US" w:eastAsia="zh-CN"/>
        </w:rPr>
        <w:t xml:space="preserve"> </w:t>
      </w:r>
      <w:r>
        <w:rPr>
          <w:sz w:val="24"/>
          <w:lang w:val="en-US" w:eastAsia="zh-CN"/>
        </w:rPr>
        <w:t>Quantita</w:t>
      </w:r>
      <w:r>
        <w:rPr>
          <w:rFonts w:hint="default"/>
          <w:sz w:val="24"/>
          <w:lang w:val="en-US" w:eastAsia="zh-CN"/>
        </w:rPr>
        <w:t xml:space="preserve">tive analyses were conducted for five random fields at </w:t>
      </w:r>
      <w:r>
        <w:rPr>
          <w:sz w:val="24"/>
          <w:lang w:val="en-US" w:eastAsia="zh-CN"/>
        </w:rPr>
        <w:t xml:space="preserve">× </w:t>
      </w:r>
      <w:r>
        <w:rPr>
          <w:rFonts w:hint="default"/>
          <w:sz w:val="24"/>
          <w:lang w:val="en-US" w:eastAsia="zh-CN"/>
        </w:rPr>
        <w:t xml:space="preserve">200 magnification for each endometrial tissue slice. All sections were observed under an Axioscope A1 microscope (Carl Zeiss, Germany) and photographed. The background light of each photo was consistent. Dark brown staining indicated a positive reaction. The intensity of dark brown staining was analyzed using Image-Pro plus 6.0 (Media Cybernetics, Inc.). </w:t>
      </w:r>
    </w:p>
    <w:p>
      <w:pPr>
        <w:autoSpaceDE w:val="0"/>
        <w:autoSpaceDN w:val="0"/>
        <w:adjustRightInd w:val="0"/>
        <w:spacing w:line="480" w:lineRule="auto"/>
        <w:rPr>
          <w:kern w:val="0"/>
          <w:sz w:val="24"/>
        </w:rPr>
      </w:pPr>
    </w:p>
    <w:p>
      <w:pPr>
        <w:autoSpaceDE w:val="0"/>
        <w:autoSpaceDN w:val="0"/>
        <w:adjustRightInd w:val="0"/>
        <w:spacing w:line="480" w:lineRule="auto"/>
        <w:rPr>
          <w:b/>
          <w:bCs/>
          <w:kern w:val="0"/>
          <w:sz w:val="24"/>
        </w:rPr>
      </w:pPr>
      <w:r>
        <w:rPr>
          <w:b/>
          <w:bCs/>
          <w:kern w:val="0"/>
          <w:sz w:val="24"/>
        </w:rPr>
        <w:t>Cell lines and cell culture</w:t>
      </w:r>
    </w:p>
    <w:p>
      <w:pPr>
        <w:autoSpaceDE w:val="0"/>
        <w:autoSpaceDN w:val="0"/>
        <w:adjustRightInd w:val="0"/>
        <w:spacing w:line="480" w:lineRule="auto"/>
        <w:rPr>
          <w:color w:val="000000"/>
          <w:kern w:val="0"/>
          <w:sz w:val="24"/>
        </w:rPr>
      </w:pPr>
      <w:r>
        <w:rPr>
          <w:color w:val="000000"/>
          <w:kern w:val="0"/>
          <w:sz w:val="24"/>
        </w:rPr>
        <w:t>The human HEC-1A and HEC-1B EC cell lines were purchased from American Type Culture Collection (ATCC), and the Ishikawa EC cell line was purchased from European Collection of Authenticated Cell Cultures (ECACC). The human endometrial cancer cell lines were grown in RPMI-1640 (Invitrogen, USA) supplemented with 10% fetal bovine serum (FBS; HyClone, UT, USA) in a 5% CO</w:t>
      </w:r>
      <w:r>
        <w:rPr>
          <w:color w:val="000000"/>
          <w:kern w:val="0"/>
          <w:sz w:val="24"/>
          <w:vertAlign w:val="subscript"/>
        </w:rPr>
        <w:t>2</w:t>
      </w:r>
      <w:r>
        <w:rPr>
          <w:color w:val="000000"/>
          <w:kern w:val="0"/>
          <w:sz w:val="24"/>
        </w:rPr>
        <w:t xml:space="preserve"> incubator at 37 °C.</w:t>
      </w:r>
    </w:p>
    <w:p>
      <w:pPr>
        <w:autoSpaceDE w:val="0"/>
        <w:autoSpaceDN w:val="0"/>
        <w:adjustRightInd w:val="0"/>
        <w:spacing w:line="480" w:lineRule="auto"/>
        <w:rPr>
          <w:b/>
          <w:bCs/>
          <w:kern w:val="0"/>
          <w:sz w:val="24"/>
        </w:rPr>
      </w:pPr>
    </w:p>
    <w:p>
      <w:pPr>
        <w:autoSpaceDE w:val="0"/>
        <w:autoSpaceDN w:val="0"/>
        <w:adjustRightInd w:val="0"/>
        <w:spacing w:line="480" w:lineRule="auto"/>
        <w:rPr>
          <w:b/>
          <w:bCs/>
          <w:kern w:val="0"/>
          <w:sz w:val="24"/>
        </w:rPr>
      </w:pPr>
      <w:r>
        <w:rPr>
          <w:b/>
          <w:bCs/>
          <w:kern w:val="0"/>
          <w:sz w:val="24"/>
        </w:rPr>
        <w:t>Lentivirus construction and infection</w:t>
      </w:r>
    </w:p>
    <w:p>
      <w:pPr>
        <w:autoSpaceDE w:val="0"/>
        <w:autoSpaceDN w:val="0"/>
        <w:adjustRightInd w:val="0"/>
        <w:spacing w:line="480" w:lineRule="auto"/>
        <w:rPr>
          <w:sz w:val="24"/>
        </w:rPr>
      </w:pPr>
      <w:r>
        <w:rPr>
          <w:kern w:val="0"/>
          <w:sz w:val="24"/>
        </w:rPr>
        <w:t xml:space="preserve">The </w:t>
      </w:r>
      <w:bookmarkStart w:id="13" w:name="OLE_LINK14"/>
      <w:bookmarkStart w:id="14" w:name="OLE_LINK15"/>
      <w:r>
        <w:rPr>
          <w:kern w:val="0"/>
          <w:sz w:val="24"/>
        </w:rPr>
        <w:t xml:space="preserve">METTL3, YTHDF2, </w:t>
      </w:r>
      <w:r>
        <w:rPr>
          <w:rFonts w:hint="eastAsia"/>
          <w:kern w:val="0"/>
          <w:sz w:val="24"/>
          <w:lang w:val="en-US" w:eastAsia="zh-CN"/>
        </w:rPr>
        <w:t xml:space="preserve">and </w:t>
      </w:r>
      <w:r>
        <w:rPr>
          <w:kern w:val="0"/>
          <w:sz w:val="24"/>
        </w:rPr>
        <w:t>NLRC5</w:t>
      </w:r>
      <w:bookmarkEnd w:id="13"/>
      <w:bookmarkEnd w:id="14"/>
      <w:r>
        <w:rPr>
          <w:kern w:val="0"/>
          <w:sz w:val="24"/>
        </w:rPr>
        <w:t xml:space="preserve"> overexpression or knockdown lentivirus systems were purchased from </w:t>
      </w:r>
      <w:bookmarkStart w:id="15" w:name="OLE_LINK145"/>
      <w:bookmarkStart w:id="16" w:name="OLE_LINK108"/>
      <w:r>
        <w:rPr>
          <w:kern w:val="0"/>
          <w:sz w:val="24"/>
        </w:rPr>
        <w:t>Sangon Biotech</w:t>
      </w:r>
      <w:bookmarkEnd w:id="15"/>
      <w:bookmarkEnd w:id="16"/>
      <w:r>
        <w:rPr>
          <w:kern w:val="0"/>
          <w:sz w:val="24"/>
        </w:rPr>
        <w:t xml:space="preserve"> (</w:t>
      </w:r>
      <w:r>
        <w:rPr>
          <w:iCs/>
          <w:kern w:val="0"/>
          <w:sz w:val="24"/>
        </w:rPr>
        <w:t>Shanghai</w:t>
      </w:r>
      <w:r>
        <w:rPr>
          <w:kern w:val="0"/>
          <w:sz w:val="24"/>
        </w:rPr>
        <w:t xml:space="preserve">) Co.,Ltd., and the lentiviral vectors carried FLAG tags and puromycin resistance genes. Empty lentivirus served as the negative control. Cells were cultured in 2 μg/mL puromycin to screen for cells with stable METTL3, YTHDF2, </w:t>
      </w:r>
      <w:r>
        <w:rPr>
          <w:rFonts w:hint="eastAsia"/>
          <w:kern w:val="0"/>
          <w:sz w:val="24"/>
          <w:lang w:val="en-US" w:eastAsia="zh-CN"/>
        </w:rPr>
        <w:t xml:space="preserve">and </w:t>
      </w:r>
      <w:r>
        <w:rPr>
          <w:kern w:val="0"/>
          <w:sz w:val="24"/>
        </w:rPr>
        <w:t>NLRC5 overexpression or downregulation. Gene expression was verified by quantitative real-time PCR analysis (qRT</w:t>
      </w:r>
      <w:r>
        <w:rPr>
          <w:sz w:val="24"/>
        </w:rPr>
        <w:t>‒</w:t>
      </w:r>
      <w:r>
        <w:rPr>
          <w:kern w:val="0"/>
          <w:sz w:val="24"/>
        </w:rPr>
        <w:t>PCR) and western blotting.</w:t>
      </w:r>
    </w:p>
    <w:p>
      <w:pPr>
        <w:autoSpaceDE w:val="0"/>
        <w:autoSpaceDN w:val="0"/>
        <w:adjustRightInd w:val="0"/>
        <w:spacing w:line="480" w:lineRule="auto"/>
        <w:rPr>
          <w:color w:val="000000"/>
          <w:kern w:val="0"/>
          <w:sz w:val="24"/>
        </w:rPr>
      </w:pPr>
      <w:r>
        <w:rPr>
          <w:kern w:val="0"/>
          <w:sz w:val="24"/>
        </w:rPr>
        <w:t xml:space="preserve"> </w:t>
      </w:r>
    </w:p>
    <w:p>
      <w:pPr>
        <w:autoSpaceDE w:val="0"/>
        <w:autoSpaceDN w:val="0"/>
        <w:adjustRightInd w:val="0"/>
        <w:spacing w:line="480" w:lineRule="auto"/>
        <w:rPr>
          <w:b/>
          <w:bCs/>
          <w:kern w:val="0"/>
          <w:sz w:val="24"/>
        </w:rPr>
      </w:pPr>
      <w:r>
        <w:rPr>
          <w:b/>
          <w:bCs/>
          <w:kern w:val="0"/>
          <w:sz w:val="24"/>
        </w:rPr>
        <w:t>Western blotting</w:t>
      </w:r>
    </w:p>
    <w:p>
      <w:pPr>
        <w:autoSpaceDE w:val="0"/>
        <w:autoSpaceDN w:val="0"/>
        <w:adjustRightInd w:val="0"/>
        <w:spacing w:line="480" w:lineRule="auto"/>
        <w:rPr>
          <w:rFonts w:eastAsia="MinionPro"/>
          <w:kern w:val="0"/>
          <w:sz w:val="24"/>
        </w:rPr>
      </w:pPr>
      <w:r>
        <w:rPr>
          <w:rFonts w:eastAsia="MinionPro"/>
          <w:kern w:val="0"/>
          <w:sz w:val="24"/>
        </w:rPr>
        <w:t xml:space="preserve">Western blotting </w:t>
      </w:r>
      <w:r>
        <w:rPr>
          <w:sz w:val="24"/>
        </w:rPr>
        <w:t>assays were</w:t>
      </w:r>
      <w:r>
        <w:rPr>
          <w:rFonts w:eastAsia="MinionPro"/>
          <w:kern w:val="0"/>
          <w:sz w:val="24"/>
        </w:rPr>
        <w:t xml:space="preserve"> performed as described previously</w:t>
      </w:r>
      <w:r>
        <w:rPr>
          <w:rFonts w:hint="eastAsia" w:eastAsia="MinionPro"/>
          <w:kern w:val="0"/>
          <w:sz w:val="24"/>
        </w:rPr>
        <w:t xml:space="preserve"> </w:t>
      </w:r>
      <w:r>
        <w:rPr>
          <w:rFonts w:eastAsia="MinionPro"/>
          <w:kern w:val="0"/>
          <w:sz w:val="24"/>
        </w:rPr>
        <w:fldChar w:fldCharType="begin"/>
      </w:r>
      <w:r>
        <w:rPr>
          <w:rFonts w:eastAsia="MinionPro"/>
          <w:kern w:val="0"/>
          <w:sz w:val="24"/>
        </w:rPr>
        <w:instrText xml:space="preserve"> ADDIN NE.Ref.{84CCF273-646C-42A3-A66D-7FD9BEC5D03A}</w:instrText>
      </w:r>
      <w:r>
        <w:rPr>
          <w:rFonts w:eastAsia="MinionPro"/>
          <w:kern w:val="0"/>
          <w:sz w:val="24"/>
        </w:rPr>
        <w:fldChar w:fldCharType="separate"/>
      </w:r>
      <w:r>
        <w:rPr>
          <w:rFonts w:eastAsia="Times New Roman"/>
          <w:color w:val="080000"/>
          <w:sz w:val="24"/>
        </w:rPr>
        <w:t>[</w:t>
      </w:r>
      <w:r>
        <w:rPr>
          <w:rFonts w:hint="eastAsia"/>
          <w:color w:val="080000"/>
          <w:sz w:val="24"/>
          <w:lang w:val="en-US" w:eastAsia="zh-CN"/>
        </w:rPr>
        <w:t>8</w:t>
      </w:r>
      <w:r>
        <w:rPr>
          <w:rFonts w:eastAsia="Times New Roman"/>
          <w:color w:val="080000"/>
          <w:sz w:val="24"/>
        </w:rPr>
        <w:t>]</w:t>
      </w:r>
      <w:r>
        <w:rPr>
          <w:rFonts w:eastAsia="MinionPro"/>
          <w:kern w:val="0"/>
          <w:sz w:val="24"/>
        </w:rPr>
        <w:fldChar w:fldCharType="end"/>
      </w:r>
      <w:r>
        <w:rPr>
          <w:rFonts w:hint="eastAsia" w:eastAsia="MinionPro"/>
          <w:kern w:val="0"/>
          <w:sz w:val="24"/>
        </w:rPr>
        <w:t>.</w:t>
      </w:r>
      <w:r>
        <w:rPr>
          <w:rFonts w:eastAsia="MinionPro"/>
          <w:kern w:val="0"/>
          <w:sz w:val="24"/>
        </w:rPr>
        <w:t xml:space="preserve"> The primary antibodies used in this study included antibodies against </w:t>
      </w:r>
      <w:r>
        <w:rPr>
          <w:sz w:val="24"/>
        </w:rPr>
        <w:t>METTL3 (15073-1-AP, Proteintech, diluted 1:</w:t>
      </w:r>
      <w:r>
        <w:rPr>
          <w:rFonts w:eastAsia="MinionPro"/>
          <w:kern w:val="0"/>
          <w:sz w:val="24"/>
        </w:rPr>
        <w:t>1000), Y</w:t>
      </w:r>
      <w:r>
        <w:rPr>
          <w:sz w:val="24"/>
        </w:rPr>
        <w:t>THDF2 (24744-1-AP, Proteintech, diluted 1:</w:t>
      </w:r>
      <w:r>
        <w:rPr>
          <w:rFonts w:eastAsia="MinionPro"/>
          <w:kern w:val="0"/>
          <w:sz w:val="24"/>
        </w:rPr>
        <w:t>5000), NLRC5 (D</w:t>
      </w:r>
      <w:r>
        <w:rPr>
          <w:sz w:val="24"/>
        </w:rPr>
        <w:t>F13672, Affinity, diluted 1:10</w:t>
      </w:r>
      <w:r>
        <w:rPr>
          <w:rFonts w:eastAsia="MinionPro"/>
          <w:kern w:val="0"/>
          <w:sz w:val="24"/>
        </w:rPr>
        <w:t xml:space="preserve">00), </w:t>
      </w:r>
      <w:r>
        <w:rPr>
          <w:sz w:val="24"/>
        </w:rPr>
        <w:t>and GAPDH (E-AB-20032, Elabscience, diluted 1:10000). The h</w:t>
      </w:r>
      <w:r>
        <w:rPr>
          <w:rFonts w:eastAsia="MinionPro"/>
          <w:kern w:val="0"/>
          <w:sz w:val="24"/>
        </w:rPr>
        <w:t>orseradish peroxidase-conjugated secondary antibody was from Thermo Fisher Scientific. Signals were detected using a LI-COR/Odyssey infrared imaging system (LI-COR Biosciences). The results were quantitatively analyzed using ImageJ software (National Institutes of Health).</w:t>
      </w:r>
    </w:p>
    <w:p>
      <w:pPr>
        <w:autoSpaceDE w:val="0"/>
        <w:autoSpaceDN w:val="0"/>
        <w:adjustRightInd w:val="0"/>
        <w:spacing w:line="480" w:lineRule="auto"/>
        <w:rPr>
          <w:b/>
          <w:bCs/>
          <w:kern w:val="0"/>
          <w:sz w:val="24"/>
        </w:rPr>
      </w:pPr>
    </w:p>
    <w:p>
      <w:pPr>
        <w:autoSpaceDE w:val="0"/>
        <w:autoSpaceDN w:val="0"/>
        <w:adjustRightInd w:val="0"/>
        <w:spacing w:line="480" w:lineRule="auto"/>
        <w:rPr>
          <w:rFonts w:eastAsia="MinionPro"/>
          <w:b/>
          <w:bCs/>
          <w:kern w:val="0"/>
          <w:sz w:val="24"/>
        </w:rPr>
      </w:pPr>
      <w:r>
        <w:rPr>
          <w:rFonts w:eastAsia="MinionPro"/>
          <w:b/>
          <w:bCs/>
          <w:kern w:val="0"/>
          <w:sz w:val="24"/>
        </w:rPr>
        <w:t>QRT‒PCR</w:t>
      </w:r>
    </w:p>
    <w:p>
      <w:pPr>
        <w:autoSpaceDE w:val="0"/>
        <w:autoSpaceDN w:val="0"/>
        <w:adjustRightInd w:val="0"/>
        <w:spacing w:line="480" w:lineRule="auto"/>
        <w:rPr>
          <w:kern w:val="0"/>
          <w:sz w:val="24"/>
        </w:rPr>
      </w:pPr>
      <w:r>
        <w:rPr>
          <w:rFonts w:eastAsia="MinionPro"/>
          <w:kern w:val="0"/>
          <w:sz w:val="24"/>
        </w:rPr>
        <w:t>qRT‒PCR analysis was performed as described previously</w:t>
      </w:r>
      <w:r>
        <w:rPr>
          <w:rFonts w:hint="eastAsia" w:eastAsia="MinionPro"/>
          <w:kern w:val="0"/>
          <w:sz w:val="24"/>
        </w:rPr>
        <w:t xml:space="preserve"> [</w:t>
      </w:r>
      <w:r>
        <w:rPr>
          <w:rFonts w:hint="eastAsia" w:eastAsia="MinionPro"/>
          <w:sz w:val="24"/>
          <w:lang w:val="en-US" w:eastAsia="zh-CN"/>
        </w:rPr>
        <w:t>8</w:t>
      </w:r>
      <w:r>
        <w:rPr>
          <w:rFonts w:hint="eastAsia"/>
          <w:sz w:val="24"/>
        </w:rPr>
        <w:t>].</w:t>
      </w:r>
      <w:r>
        <w:rPr>
          <w:kern w:val="0"/>
          <w:sz w:val="24"/>
        </w:rPr>
        <w:t xml:space="preserve"> Transcript levels were analyzed according to the 2</w:t>
      </w:r>
      <w:r>
        <w:rPr>
          <w:kern w:val="0"/>
          <w:sz w:val="24"/>
          <w:vertAlign w:val="superscript"/>
        </w:rPr>
        <w:t>-ΔΔCT</w:t>
      </w:r>
      <w:r>
        <w:rPr>
          <w:kern w:val="0"/>
          <w:sz w:val="24"/>
        </w:rPr>
        <w:t xml:space="preserve"> method, and </w:t>
      </w:r>
      <w:r>
        <w:rPr>
          <w:color w:val="000000"/>
          <w:sz w:val="24"/>
        </w:rPr>
        <w:t>glyceraldehyde-3-phosphate dehydrogenase (GAPDH)</w:t>
      </w:r>
      <w:r>
        <w:rPr>
          <w:kern w:val="0"/>
          <w:sz w:val="24"/>
        </w:rPr>
        <w:t xml:space="preserve"> expression was used as the control. All the primer sequences are provided as follows: </w:t>
      </w:r>
    </w:p>
    <w:p>
      <w:pPr>
        <w:autoSpaceDE w:val="0"/>
        <w:autoSpaceDN w:val="0"/>
        <w:adjustRightInd w:val="0"/>
        <w:spacing w:line="480" w:lineRule="auto"/>
        <w:rPr>
          <w:kern w:val="0"/>
          <w:sz w:val="24"/>
        </w:rPr>
      </w:pPr>
      <w:bookmarkStart w:id="17" w:name="OLE_LINK67"/>
      <w:r>
        <w:rPr>
          <w:kern w:val="0"/>
          <w:sz w:val="24"/>
        </w:rPr>
        <w:t xml:space="preserve">METTL3 </w:t>
      </w:r>
    </w:p>
    <w:p>
      <w:pPr>
        <w:autoSpaceDE w:val="0"/>
        <w:autoSpaceDN w:val="0"/>
        <w:adjustRightInd w:val="0"/>
        <w:spacing w:line="480" w:lineRule="auto"/>
        <w:rPr>
          <w:kern w:val="0"/>
          <w:sz w:val="24"/>
        </w:rPr>
      </w:pPr>
      <w:r>
        <w:rPr>
          <w:kern w:val="0"/>
          <w:sz w:val="24"/>
        </w:rPr>
        <w:t>Forward: 5’-AGCCCCACTTCCTACCAGATG-3’</w:t>
      </w:r>
    </w:p>
    <w:p>
      <w:pPr>
        <w:autoSpaceDE w:val="0"/>
        <w:autoSpaceDN w:val="0"/>
        <w:adjustRightInd w:val="0"/>
        <w:spacing w:line="480" w:lineRule="auto"/>
        <w:rPr>
          <w:kern w:val="0"/>
          <w:sz w:val="24"/>
        </w:rPr>
      </w:pPr>
      <w:r>
        <w:rPr>
          <w:kern w:val="0"/>
          <w:sz w:val="24"/>
        </w:rPr>
        <w:t>Reverse: 5’-TGAGAACTGTTATTTCCCCATGC-3’</w:t>
      </w:r>
    </w:p>
    <w:p>
      <w:pPr>
        <w:autoSpaceDE w:val="0"/>
        <w:autoSpaceDN w:val="0"/>
        <w:adjustRightInd w:val="0"/>
        <w:spacing w:line="480" w:lineRule="auto"/>
        <w:rPr>
          <w:kern w:val="0"/>
          <w:sz w:val="24"/>
        </w:rPr>
      </w:pPr>
      <w:r>
        <w:rPr>
          <w:kern w:val="0"/>
          <w:sz w:val="24"/>
        </w:rPr>
        <w:t>YTH</w:t>
      </w:r>
      <w:r>
        <w:rPr>
          <w:rFonts w:hint="eastAsia"/>
          <w:kern w:val="0"/>
          <w:sz w:val="24"/>
          <w:lang w:val="en-US" w:eastAsia="zh-CN"/>
        </w:rPr>
        <w:t>D</w:t>
      </w:r>
      <w:r>
        <w:rPr>
          <w:kern w:val="0"/>
          <w:sz w:val="24"/>
        </w:rPr>
        <w:t>F2</w:t>
      </w:r>
    </w:p>
    <w:p>
      <w:pPr>
        <w:autoSpaceDE w:val="0"/>
        <w:autoSpaceDN w:val="0"/>
        <w:adjustRightInd w:val="0"/>
        <w:spacing w:line="480" w:lineRule="auto"/>
        <w:rPr>
          <w:kern w:val="0"/>
          <w:sz w:val="24"/>
        </w:rPr>
      </w:pPr>
      <w:r>
        <w:rPr>
          <w:kern w:val="0"/>
          <w:sz w:val="24"/>
        </w:rPr>
        <w:t>Forward: 5’-AGCCCCACTTCCTACCAGATG-3’</w:t>
      </w:r>
    </w:p>
    <w:p>
      <w:pPr>
        <w:autoSpaceDE w:val="0"/>
        <w:autoSpaceDN w:val="0"/>
        <w:adjustRightInd w:val="0"/>
        <w:spacing w:line="480" w:lineRule="auto"/>
        <w:rPr>
          <w:kern w:val="0"/>
          <w:sz w:val="24"/>
        </w:rPr>
      </w:pPr>
      <w:r>
        <w:rPr>
          <w:kern w:val="0"/>
          <w:sz w:val="24"/>
        </w:rPr>
        <w:t>Reverse: 5’-TGAGAACTGTTATTTCCCCATGC-3’</w:t>
      </w:r>
    </w:p>
    <w:p>
      <w:pPr>
        <w:autoSpaceDE w:val="0"/>
        <w:autoSpaceDN w:val="0"/>
        <w:adjustRightInd w:val="0"/>
        <w:spacing w:line="480" w:lineRule="auto"/>
        <w:rPr>
          <w:kern w:val="0"/>
          <w:sz w:val="24"/>
        </w:rPr>
      </w:pPr>
      <w:r>
        <w:rPr>
          <w:kern w:val="0"/>
          <w:sz w:val="24"/>
        </w:rPr>
        <w:t>NLRC5</w:t>
      </w:r>
    </w:p>
    <w:p>
      <w:pPr>
        <w:autoSpaceDE w:val="0"/>
        <w:autoSpaceDN w:val="0"/>
        <w:adjustRightInd w:val="0"/>
        <w:spacing w:line="480" w:lineRule="auto"/>
        <w:rPr>
          <w:kern w:val="0"/>
          <w:sz w:val="24"/>
        </w:rPr>
      </w:pPr>
      <w:r>
        <w:rPr>
          <w:kern w:val="0"/>
          <w:sz w:val="24"/>
        </w:rPr>
        <w:t>Forward: 5’-GTTCTTAGGGTTCCGTCAGCG-3’</w:t>
      </w:r>
    </w:p>
    <w:p>
      <w:pPr>
        <w:autoSpaceDE w:val="0"/>
        <w:autoSpaceDN w:val="0"/>
        <w:adjustRightInd w:val="0"/>
        <w:spacing w:line="480" w:lineRule="auto"/>
        <w:rPr>
          <w:kern w:val="0"/>
          <w:sz w:val="24"/>
        </w:rPr>
      </w:pPr>
      <w:r>
        <w:rPr>
          <w:kern w:val="0"/>
          <w:sz w:val="24"/>
        </w:rPr>
        <w:t>Reverse: 5’-CAGTCCTTCAGAGTGGCACAGAG-3’</w:t>
      </w:r>
    </w:p>
    <w:p>
      <w:pPr>
        <w:autoSpaceDE w:val="0"/>
        <w:autoSpaceDN w:val="0"/>
        <w:adjustRightInd w:val="0"/>
        <w:spacing w:line="480" w:lineRule="auto"/>
        <w:rPr>
          <w:color w:val="000000"/>
          <w:sz w:val="24"/>
        </w:rPr>
      </w:pPr>
      <w:r>
        <w:rPr>
          <w:color w:val="000000"/>
          <w:sz w:val="24"/>
        </w:rPr>
        <w:t>GAPDH</w:t>
      </w:r>
    </w:p>
    <w:p>
      <w:pPr>
        <w:autoSpaceDE w:val="0"/>
        <w:autoSpaceDN w:val="0"/>
        <w:adjustRightInd w:val="0"/>
        <w:spacing w:line="480" w:lineRule="auto"/>
        <w:rPr>
          <w:color w:val="000000"/>
          <w:sz w:val="24"/>
        </w:rPr>
      </w:pPr>
      <w:r>
        <w:rPr>
          <w:kern w:val="0"/>
          <w:sz w:val="24"/>
        </w:rPr>
        <w:t>Forward: 5’-</w:t>
      </w:r>
      <w:r>
        <w:rPr>
          <w:color w:val="000000"/>
          <w:sz w:val="24"/>
        </w:rPr>
        <w:t>ACCCGCCCTATCTCAACTACC</w:t>
      </w:r>
      <w:r>
        <w:rPr>
          <w:kern w:val="0"/>
          <w:sz w:val="24"/>
        </w:rPr>
        <w:t>-3’</w:t>
      </w:r>
    </w:p>
    <w:p>
      <w:pPr>
        <w:autoSpaceDE w:val="0"/>
        <w:autoSpaceDN w:val="0"/>
        <w:adjustRightInd w:val="0"/>
        <w:spacing w:line="480" w:lineRule="auto"/>
        <w:rPr>
          <w:color w:val="000000"/>
          <w:sz w:val="24"/>
        </w:rPr>
      </w:pPr>
      <w:r>
        <w:rPr>
          <w:kern w:val="0"/>
          <w:sz w:val="24"/>
        </w:rPr>
        <w:t>Reverse: 5’-</w:t>
      </w:r>
      <w:r>
        <w:rPr>
          <w:color w:val="000000"/>
          <w:sz w:val="24"/>
        </w:rPr>
        <w:t>AGGACACCATAATGACAGCC</w:t>
      </w:r>
      <w:r>
        <w:rPr>
          <w:kern w:val="0"/>
          <w:sz w:val="24"/>
        </w:rPr>
        <w:t>-3’</w:t>
      </w:r>
    </w:p>
    <w:bookmarkEnd w:id="17"/>
    <w:p>
      <w:pPr>
        <w:autoSpaceDE w:val="0"/>
        <w:autoSpaceDN w:val="0"/>
        <w:adjustRightInd w:val="0"/>
        <w:spacing w:line="480" w:lineRule="auto"/>
        <w:rPr>
          <w:sz w:val="24"/>
        </w:rPr>
      </w:pPr>
    </w:p>
    <w:p>
      <w:pPr>
        <w:autoSpaceDE w:val="0"/>
        <w:autoSpaceDN w:val="0"/>
        <w:adjustRightInd w:val="0"/>
        <w:spacing w:line="480" w:lineRule="auto"/>
        <w:rPr>
          <w:b/>
          <w:sz w:val="24"/>
        </w:rPr>
      </w:pPr>
      <w:r>
        <w:rPr>
          <w:b/>
          <w:sz w:val="24"/>
        </w:rPr>
        <w:t>CD8</w:t>
      </w:r>
      <w:r>
        <w:rPr>
          <w:b/>
          <w:sz w:val="24"/>
          <w:vertAlign w:val="superscript"/>
        </w:rPr>
        <w:t>+</w:t>
      </w:r>
      <w:r>
        <w:rPr>
          <w:b/>
          <w:sz w:val="24"/>
        </w:rPr>
        <w:t xml:space="preserve"> T-cell proliferation assay</w:t>
      </w:r>
    </w:p>
    <w:p>
      <w:pPr>
        <w:autoSpaceDE w:val="0"/>
        <w:autoSpaceDN w:val="0"/>
        <w:adjustRightInd w:val="0"/>
        <w:spacing w:line="480" w:lineRule="auto"/>
        <w:rPr>
          <w:sz w:val="24"/>
        </w:rPr>
      </w:pPr>
      <w:r>
        <w:rPr>
          <w:sz w:val="24"/>
        </w:rPr>
        <w:t>The purification of CD8</w:t>
      </w:r>
      <w:r>
        <w:rPr>
          <w:sz w:val="24"/>
          <w:vertAlign w:val="superscript"/>
        </w:rPr>
        <w:t>+</w:t>
      </w:r>
      <w:r>
        <w:rPr>
          <w:sz w:val="24"/>
        </w:rPr>
        <w:t xml:space="preserve"> T cells was</w:t>
      </w:r>
      <w:r>
        <w:rPr>
          <w:rFonts w:eastAsia="MinionPro"/>
          <w:kern w:val="0"/>
          <w:sz w:val="24"/>
        </w:rPr>
        <w:t xml:space="preserve"> performed as described previously</w:t>
      </w:r>
      <w:r>
        <w:rPr>
          <w:rFonts w:hint="eastAsia" w:eastAsia="MinionPro"/>
          <w:kern w:val="0"/>
          <w:sz w:val="24"/>
        </w:rPr>
        <w:t xml:space="preserve"> [</w:t>
      </w:r>
      <w:r>
        <w:rPr>
          <w:rFonts w:hint="eastAsia" w:eastAsia="MinionPro"/>
          <w:sz w:val="24"/>
          <w:lang w:val="en-US" w:eastAsia="zh-CN"/>
        </w:rPr>
        <w:t>8</w:t>
      </w:r>
      <w:r>
        <w:rPr>
          <w:rFonts w:hint="eastAsia"/>
          <w:sz w:val="24"/>
        </w:rPr>
        <w:t>].</w:t>
      </w:r>
      <w:r>
        <w:rPr>
          <w:sz w:val="24"/>
        </w:rPr>
        <w:t xml:space="preserve"> CD8</w:t>
      </w:r>
      <w:r>
        <w:rPr>
          <w:sz w:val="24"/>
          <w:vertAlign w:val="superscript"/>
        </w:rPr>
        <w:t>+</w:t>
      </w:r>
      <w:r>
        <w:rPr>
          <w:sz w:val="24"/>
        </w:rPr>
        <w:t xml:space="preserve"> T cells were stimulated with antibodies against CD3 (300438, BioLegend) and CD28 (302934, BioLegend) and cocultured with </w:t>
      </w:r>
      <w:r>
        <w:rPr>
          <w:bCs/>
          <w:kern w:val="0"/>
          <w:sz w:val="24"/>
        </w:rPr>
        <w:t>lentivirus-infected cells</w:t>
      </w:r>
      <w:r>
        <w:rPr>
          <w:sz w:val="24"/>
        </w:rPr>
        <w:t xml:space="preserve"> in 96-well plates at a ratio of 5:1 for 3 days. The proliferation of </w:t>
      </w:r>
      <w:bookmarkStart w:id="18" w:name="OLE_LINK144"/>
      <w:bookmarkStart w:id="19" w:name="OLE_LINK106"/>
      <w:r>
        <w:rPr>
          <w:sz w:val="24"/>
        </w:rPr>
        <w:t>the CD8</w:t>
      </w:r>
      <w:r>
        <w:rPr>
          <w:sz w:val="24"/>
          <w:vertAlign w:val="superscript"/>
        </w:rPr>
        <w:t>+</w:t>
      </w:r>
      <w:r>
        <w:rPr>
          <w:sz w:val="24"/>
        </w:rPr>
        <w:t xml:space="preserve"> T cells</w:t>
      </w:r>
      <w:bookmarkEnd w:id="18"/>
      <w:bookmarkEnd w:id="19"/>
      <w:r>
        <w:rPr>
          <w:sz w:val="24"/>
        </w:rPr>
        <w:t xml:space="preserve"> was measured by carboxyfluorescein diacetate succinimidyl ester (CFSE, S8269, Selleck, USA) using flow cytometry. The data were analyzed using FlowJo software (FlowJo</w:t>
      </w:r>
      <w:r>
        <w:rPr>
          <w:rFonts w:eastAsia="STIX"/>
          <w:sz w:val="24"/>
        </w:rPr>
        <w:t xml:space="preserve">™ </w:t>
      </w:r>
      <w:r>
        <w:rPr>
          <w:sz w:val="24"/>
        </w:rPr>
        <w:t>v10.8).</w:t>
      </w:r>
    </w:p>
    <w:p>
      <w:pPr>
        <w:autoSpaceDE w:val="0"/>
        <w:autoSpaceDN w:val="0"/>
        <w:adjustRightInd w:val="0"/>
        <w:spacing w:line="480" w:lineRule="auto"/>
        <w:rPr>
          <w:sz w:val="24"/>
        </w:rPr>
      </w:pPr>
    </w:p>
    <w:p>
      <w:pPr>
        <w:autoSpaceDE w:val="0"/>
        <w:autoSpaceDN w:val="0"/>
        <w:adjustRightInd w:val="0"/>
        <w:spacing w:line="480" w:lineRule="auto"/>
        <w:rPr>
          <w:b/>
          <w:iCs/>
          <w:sz w:val="24"/>
        </w:rPr>
      </w:pPr>
      <w:r>
        <w:rPr>
          <w:b/>
          <w:iCs/>
          <w:sz w:val="24"/>
        </w:rPr>
        <w:t xml:space="preserve">Cell counting kit-8 (CCK-8) assay </w:t>
      </w:r>
    </w:p>
    <w:p>
      <w:pPr>
        <w:autoSpaceDE w:val="0"/>
        <w:autoSpaceDN w:val="0"/>
        <w:adjustRightInd w:val="0"/>
        <w:spacing w:line="480" w:lineRule="auto"/>
        <w:rPr>
          <w:sz w:val="24"/>
        </w:rPr>
      </w:pPr>
      <w:bookmarkStart w:id="20" w:name="OLE_LINK7"/>
      <w:bookmarkStart w:id="21" w:name="OLE_LINK8"/>
      <w:bookmarkStart w:id="22" w:name="OLE_LINK11"/>
      <w:r>
        <w:rPr>
          <w:bCs/>
          <w:kern w:val="0"/>
          <w:sz w:val="24"/>
        </w:rPr>
        <w:t>The proliferation of lentivirus-infected EC cells</w:t>
      </w:r>
      <w:bookmarkEnd w:id="20"/>
      <w:bookmarkEnd w:id="21"/>
      <w:bookmarkEnd w:id="22"/>
      <w:r>
        <w:rPr>
          <w:sz w:val="24"/>
        </w:rPr>
        <w:t xml:space="preserve"> </w:t>
      </w:r>
      <w:bookmarkStart w:id="23" w:name="OLE_LINK13"/>
      <w:bookmarkStart w:id="24" w:name="OLE_LINK12"/>
      <w:r>
        <w:rPr>
          <w:sz w:val="24"/>
        </w:rPr>
        <w:t>in the coculture system</w:t>
      </w:r>
      <w:bookmarkEnd w:id="23"/>
      <w:bookmarkEnd w:id="24"/>
      <w:r>
        <w:rPr>
          <w:sz w:val="24"/>
        </w:rPr>
        <w:t xml:space="preserve"> was assessed using the CCK-8 assay (Dojindo Laboratories, Japan) </w:t>
      </w:r>
      <w:r>
        <w:rPr>
          <w:rFonts w:eastAsia="MinionPro"/>
          <w:kern w:val="0"/>
          <w:sz w:val="24"/>
        </w:rPr>
        <w:t>as described previously</w:t>
      </w:r>
      <w:r>
        <w:rPr>
          <w:rFonts w:hint="eastAsia" w:eastAsia="MinionPro"/>
          <w:kern w:val="0"/>
          <w:sz w:val="24"/>
        </w:rPr>
        <w:t xml:space="preserve"> [</w:t>
      </w:r>
      <w:r>
        <w:rPr>
          <w:rFonts w:hint="eastAsia" w:eastAsia="MinionPro"/>
          <w:sz w:val="24"/>
          <w:lang w:val="en-US" w:eastAsia="zh-CN"/>
        </w:rPr>
        <w:t>8</w:t>
      </w:r>
      <w:r>
        <w:rPr>
          <w:rFonts w:hint="eastAsia"/>
          <w:sz w:val="24"/>
        </w:rPr>
        <w:t>].</w:t>
      </w:r>
    </w:p>
    <w:p>
      <w:pPr>
        <w:autoSpaceDE w:val="0"/>
        <w:autoSpaceDN w:val="0"/>
        <w:adjustRightInd w:val="0"/>
        <w:spacing w:line="480" w:lineRule="auto"/>
        <w:rPr>
          <w:sz w:val="24"/>
        </w:rPr>
      </w:pPr>
    </w:p>
    <w:p>
      <w:pPr>
        <w:autoSpaceDE w:val="0"/>
        <w:autoSpaceDN w:val="0"/>
        <w:adjustRightInd w:val="0"/>
        <w:spacing w:line="480" w:lineRule="auto"/>
        <w:rPr>
          <w:b/>
          <w:iCs/>
          <w:sz w:val="24"/>
        </w:rPr>
      </w:pPr>
      <w:bookmarkStart w:id="25" w:name="OLE_LINK20"/>
      <w:bookmarkStart w:id="26" w:name="OLE_LINK18"/>
      <w:bookmarkStart w:id="27" w:name="OLE_LINK19"/>
      <w:r>
        <w:rPr>
          <w:b/>
          <w:iCs/>
          <w:sz w:val="24"/>
        </w:rPr>
        <w:t xml:space="preserve">Annexin V APC/7-AAD double staining assay </w:t>
      </w:r>
      <w:bookmarkEnd w:id="25"/>
      <w:bookmarkEnd w:id="26"/>
      <w:bookmarkEnd w:id="27"/>
    </w:p>
    <w:p>
      <w:pPr>
        <w:autoSpaceDE w:val="0"/>
        <w:autoSpaceDN w:val="0"/>
        <w:adjustRightInd w:val="0"/>
        <w:spacing w:line="480" w:lineRule="auto"/>
        <w:rPr>
          <w:sz w:val="24"/>
        </w:rPr>
      </w:pPr>
      <w:r>
        <w:rPr>
          <w:bCs/>
          <w:kern w:val="0"/>
          <w:sz w:val="24"/>
        </w:rPr>
        <w:t>The apoptosis of lentivirus-infected EC cells</w:t>
      </w:r>
      <w:r>
        <w:rPr>
          <w:sz w:val="24"/>
        </w:rPr>
        <w:t xml:space="preserve"> in the coculture system was assessed using APC and 7-AAD-conjugated Annexin V staining (BD Pharmingen, La Jolla, CA) </w:t>
      </w:r>
      <w:r>
        <w:rPr>
          <w:rFonts w:eastAsia="MinionPro"/>
          <w:kern w:val="0"/>
          <w:sz w:val="24"/>
        </w:rPr>
        <w:t>as described previously</w:t>
      </w:r>
      <w:r>
        <w:rPr>
          <w:rFonts w:hint="eastAsia" w:eastAsia="MinionPro"/>
          <w:kern w:val="0"/>
          <w:sz w:val="24"/>
        </w:rPr>
        <w:t xml:space="preserve"> [</w:t>
      </w:r>
      <w:r>
        <w:rPr>
          <w:rFonts w:hint="eastAsia" w:eastAsia="MinionPro"/>
          <w:sz w:val="24"/>
          <w:lang w:val="en-US" w:eastAsia="zh-CN"/>
        </w:rPr>
        <w:t>8</w:t>
      </w:r>
      <w:r>
        <w:rPr>
          <w:rFonts w:hint="eastAsia"/>
          <w:sz w:val="24"/>
        </w:rPr>
        <w:t>].</w:t>
      </w:r>
      <w:r>
        <w:rPr>
          <w:sz w:val="24"/>
        </w:rPr>
        <w:t xml:space="preserve"> </w:t>
      </w:r>
    </w:p>
    <w:p>
      <w:pPr>
        <w:autoSpaceDE w:val="0"/>
        <w:autoSpaceDN w:val="0"/>
        <w:adjustRightInd w:val="0"/>
        <w:spacing w:line="480" w:lineRule="auto"/>
        <w:rPr>
          <w:sz w:val="24"/>
        </w:rPr>
      </w:pPr>
    </w:p>
    <w:p>
      <w:pPr>
        <w:autoSpaceDE w:val="0"/>
        <w:autoSpaceDN w:val="0"/>
        <w:adjustRightInd w:val="0"/>
        <w:spacing w:line="480" w:lineRule="auto"/>
        <w:rPr>
          <w:b/>
          <w:sz w:val="24"/>
        </w:rPr>
      </w:pPr>
      <w:bookmarkStart w:id="28" w:name="OLE_LINK96"/>
      <w:bookmarkStart w:id="29" w:name="OLE_LINK105"/>
      <w:r>
        <w:rPr>
          <w:b/>
          <w:sz w:val="24"/>
        </w:rPr>
        <w:t>Migration assay</w:t>
      </w:r>
    </w:p>
    <w:p>
      <w:pPr>
        <w:autoSpaceDE w:val="0"/>
        <w:autoSpaceDN w:val="0"/>
        <w:adjustRightInd w:val="0"/>
        <w:spacing w:line="480" w:lineRule="auto"/>
        <w:rPr>
          <w:sz w:val="24"/>
        </w:rPr>
      </w:pPr>
      <w:r>
        <w:rPr>
          <w:rFonts w:eastAsia="MinionPro"/>
          <w:kern w:val="0"/>
          <w:sz w:val="24"/>
        </w:rPr>
        <w:t xml:space="preserve">The migration assay was performed using Transwell chamber (Millipore, Billerica, USA) </w:t>
      </w:r>
      <w:r>
        <w:rPr>
          <w:sz w:val="24"/>
        </w:rPr>
        <w:t xml:space="preserve">to assess the </w:t>
      </w:r>
      <w:r>
        <w:rPr>
          <w:bCs/>
          <w:kern w:val="0"/>
          <w:sz w:val="24"/>
        </w:rPr>
        <w:t xml:space="preserve">lentivirus infected EC cell </w:t>
      </w:r>
      <w:r>
        <w:rPr>
          <w:sz w:val="24"/>
        </w:rPr>
        <w:t>in the co-cultured system</w:t>
      </w:r>
      <w:r>
        <w:rPr>
          <w:rFonts w:eastAsia="MinionPro"/>
          <w:kern w:val="0"/>
          <w:sz w:val="24"/>
        </w:rPr>
        <w:t>.</w:t>
      </w:r>
      <w:r>
        <w:rPr>
          <w:sz w:val="24"/>
        </w:rPr>
        <w:t xml:space="preserve"> EC cells (2 × 10</w:t>
      </w:r>
      <w:r>
        <w:rPr>
          <w:sz w:val="24"/>
          <w:vertAlign w:val="superscript"/>
        </w:rPr>
        <w:t>4</w:t>
      </w:r>
      <w:r>
        <w:rPr>
          <w:sz w:val="24"/>
        </w:rPr>
        <w:t>) were plated in the upper chamber with Matrigel-coated membranes and incubated overnight. A total of 1 × 10</w:t>
      </w:r>
      <w:r>
        <w:rPr>
          <w:sz w:val="24"/>
          <w:vertAlign w:val="superscript"/>
        </w:rPr>
        <w:t xml:space="preserve">5 </w:t>
      </w:r>
      <w:r>
        <w:rPr>
          <w:sz w:val="24"/>
        </w:rPr>
        <w:t>CD8</w:t>
      </w:r>
      <w:r>
        <w:rPr>
          <w:sz w:val="24"/>
          <w:vertAlign w:val="superscript"/>
        </w:rPr>
        <w:t>+</w:t>
      </w:r>
      <w:r>
        <w:rPr>
          <w:sz w:val="24"/>
        </w:rPr>
        <w:t xml:space="preserve"> T cells</w:t>
      </w:r>
      <w:r>
        <w:rPr>
          <w:kern w:val="0"/>
          <w:sz w:val="24"/>
        </w:rPr>
        <w:t xml:space="preserve"> were</w:t>
      </w:r>
      <w:r>
        <w:rPr>
          <w:sz w:val="24"/>
        </w:rPr>
        <w:t xml:space="preserve"> seeded in the lower chamber in medium supplemented with 10% fetal bovine serum. After 48 h, the cells were fixed in 10% neutral buffered formalin solution for 30 min and stained with 0.05% crystal violet solution for 30 min, and the number of cells that migrated through the pores to the lower surface of the membrane was counted under an inverted microscope.</w:t>
      </w:r>
    </w:p>
    <w:bookmarkEnd w:id="28"/>
    <w:bookmarkEnd w:id="29"/>
    <w:p>
      <w:pPr>
        <w:autoSpaceDE w:val="0"/>
        <w:autoSpaceDN w:val="0"/>
        <w:adjustRightInd w:val="0"/>
        <w:spacing w:line="480" w:lineRule="auto"/>
        <w:rPr>
          <w:sz w:val="24"/>
        </w:rPr>
      </w:pPr>
    </w:p>
    <w:p>
      <w:pPr>
        <w:autoSpaceDE w:val="0"/>
        <w:autoSpaceDN w:val="0"/>
        <w:adjustRightInd w:val="0"/>
        <w:spacing w:line="480" w:lineRule="auto"/>
        <w:rPr>
          <w:b/>
          <w:bCs/>
          <w:sz w:val="24"/>
        </w:rPr>
      </w:pPr>
      <w:r>
        <w:rPr>
          <w:b/>
          <w:bCs/>
          <w:kern w:val="0"/>
          <w:sz w:val="24"/>
        </w:rPr>
        <w:t xml:space="preserve">Methylated RNA immunoprecipitation quantitative PCR (MeRIP-PCR) </w:t>
      </w:r>
      <w:r>
        <w:rPr>
          <w:b/>
          <w:bCs/>
          <w:sz w:val="24"/>
        </w:rPr>
        <w:t>assay</w:t>
      </w:r>
    </w:p>
    <w:p>
      <w:pPr>
        <w:autoSpaceDE w:val="0"/>
        <w:autoSpaceDN w:val="0"/>
        <w:adjustRightInd w:val="0"/>
        <w:spacing w:line="480" w:lineRule="auto"/>
        <w:rPr>
          <w:kern w:val="0"/>
          <w:sz w:val="24"/>
        </w:rPr>
      </w:pPr>
      <w:r>
        <w:rPr>
          <w:sz w:val="24"/>
        </w:rPr>
        <w:t>shMETTL3 HEC-1B cells and shNC HEC-1B cells were irradiated with ultraviolet light at 254 nm and 400 mJ/cm</w:t>
      </w:r>
      <w:r>
        <w:rPr>
          <w:sz w:val="24"/>
          <w:vertAlign w:val="superscript"/>
        </w:rPr>
        <w:t>2</w:t>
      </w:r>
      <w:r>
        <w:rPr>
          <w:sz w:val="24"/>
        </w:rPr>
        <w:t xml:space="preserve"> (Stratagene Stratalinker), and the cells were lysed by disruptive sonication in RIP lysis buffer (MagnaRIP Kit; EMD Millipore) at 4 °C. Immunoprecipitation was performed overnight using an anti-m6A antibody (ab208577, Abcam) at 4 °C. After washing with PBS, RNA was extracted with phenol:chloroform isoamyl alcohol and subjected to qRT‒PCR.</w:t>
      </w:r>
      <w:r>
        <w:rPr>
          <w:kern w:val="0"/>
          <w:sz w:val="24"/>
        </w:rPr>
        <w:t xml:space="preserve"> </w:t>
      </w:r>
      <w:r>
        <w:rPr>
          <w:sz w:val="24"/>
        </w:rPr>
        <w:t>The amount of m6A-modified NLRC5 mRNA was determined. The relative enrichment was calculated by calculating the 2</w:t>
      </w:r>
      <w:r>
        <w:rPr>
          <w:sz w:val="24"/>
          <w:vertAlign w:val="superscript"/>
        </w:rPr>
        <w:t>−ΔΔCt</w:t>
      </w:r>
      <w:r>
        <w:rPr>
          <w:sz w:val="24"/>
        </w:rPr>
        <w:t xml:space="preserve"> value compared to the input sample. %Input = 2</w:t>
      </w:r>
      <w:r>
        <w:rPr>
          <w:sz w:val="24"/>
          <w:vertAlign w:val="superscript"/>
        </w:rPr>
        <w:t>−</w:t>
      </w:r>
      <w:r>
        <w:rPr>
          <w:sz w:val="24"/>
        </w:rPr>
        <w:t>[</w:t>
      </w:r>
      <w:r>
        <w:rPr>
          <w:sz w:val="24"/>
          <w:vertAlign w:val="superscript"/>
        </w:rPr>
        <w:t>Ct</w:t>
      </w:r>
      <w:r>
        <w:rPr>
          <w:sz w:val="24"/>
          <w:vertAlign w:val="subscript"/>
        </w:rPr>
        <w:t xml:space="preserve">IP </w:t>
      </w:r>
      <w:r>
        <w:rPr>
          <w:sz w:val="24"/>
          <w:vertAlign w:val="superscript"/>
        </w:rPr>
        <w:t>–</w:t>
      </w:r>
      <w:r>
        <w:rPr>
          <w:sz w:val="24"/>
        </w:rPr>
        <w:t>(</w:t>
      </w:r>
      <w:r>
        <w:rPr>
          <w:sz w:val="24"/>
          <w:vertAlign w:val="superscript"/>
        </w:rPr>
        <w:t>Ct</w:t>
      </w:r>
      <w:r>
        <w:rPr>
          <w:sz w:val="24"/>
          <w:vertAlign w:val="subscript"/>
        </w:rPr>
        <w:t>Input</w:t>
      </w:r>
      <w:r>
        <w:rPr>
          <w:sz w:val="24"/>
          <w:vertAlign w:val="superscript"/>
        </w:rPr>
        <w:t>−Log</w:t>
      </w:r>
      <w:r>
        <w:rPr>
          <w:sz w:val="24"/>
          <w:vertAlign w:val="subscript"/>
        </w:rPr>
        <w:t>2</w:t>
      </w:r>
      <w:r>
        <w:rPr>
          <w:sz w:val="24"/>
          <w:vertAlign w:val="superscript"/>
        </w:rPr>
        <w:t>10</w:t>
      </w:r>
      <w:r>
        <w:rPr>
          <w:sz w:val="24"/>
        </w:rPr>
        <w:t>)].</w:t>
      </w:r>
    </w:p>
    <w:p>
      <w:pPr>
        <w:autoSpaceDE w:val="0"/>
        <w:autoSpaceDN w:val="0"/>
        <w:adjustRightInd w:val="0"/>
        <w:spacing w:line="480" w:lineRule="auto"/>
        <w:rPr>
          <w:kern w:val="0"/>
          <w:sz w:val="24"/>
        </w:rPr>
      </w:pPr>
    </w:p>
    <w:p>
      <w:pPr>
        <w:autoSpaceDE w:val="0"/>
        <w:autoSpaceDN w:val="0"/>
        <w:adjustRightInd w:val="0"/>
        <w:spacing w:line="480" w:lineRule="auto"/>
        <w:rPr>
          <w:b/>
          <w:bCs/>
          <w:sz w:val="24"/>
        </w:rPr>
      </w:pPr>
      <w:r>
        <w:rPr>
          <w:b/>
          <w:bCs/>
          <w:sz w:val="24"/>
        </w:rPr>
        <w:t>RNA immunoprecipitation</w:t>
      </w:r>
      <w:r>
        <w:rPr>
          <w:b/>
          <w:bCs/>
          <w:kern w:val="0"/>
          <w:sz w:val="24"/>
        </w:rPr>
        <w:t xml:space="preserve"> </w:t>
      </w:r>
      <w:r>
        <w:rPr>
          <w:b/>
          <w:bCs/>
          <w:sz w:val="24"/>
        </w:rPr>
        <w:t xml:space="preserve">(RIP) assay </w:t>
      </w:r>
    </w:p>
    <w:p>
      <w:pPr>
        <w:autoSpaceDE w:val="0"/>
        <w:autoSpaceDN w:val="0"/>
        <w:adjustRightInd w:val="0"/>
        <w:spacing w:line="480" w:lineRule="auto"/>
        <w:rPr>
          <w:sz w:val="24"/>
        </w:rPr>
      </w:pPr>
      <w:r>
        <w:rPr>
          <w:sz w:val="24"/>
        </w:rPr>
        <w:t>RIP assays were performed using an EZ-Magna RIP™ RNAbinding Protein Immunoprecipitation kit (Millipore, 17-701). Cells at approximately 90% confluence were lysed with complete RIP lysis buffer supplemented with RNase inhibitor and protease inhibitor, and then, 100 μL of whole cell extract was incubated with RIP buffer containing magnetic beads conjugated to anti-METTL3 (15073-1-AP, Proteintech</w:t>
      </w:r>
      <w:r>
        <w:rPr>
          <w:rFonts w:eastAsia="MinionPro"/>
          <w:kern w:val="0"/>
          <w:sz w:val="24"/>
        </w:rPr>
        <w:t xml:space="preserve">) or </w:t>
      </w:r>
      <w:r>
        <w:rPr>
          <w:sz w:val="24"/>
        </w:rPr>
        <w:t>anti-</w:t>
      </w:r>
      <w:r>
        <w:rPr>
          <w:rFonts w:eastAsia="MinionPro"/>
          <w:kern w:val="0"/>
          <w:sz w:val="24"/>
        </w:rPr>
        <w:t>Y</w:t>
      </w:r>
      <w:r>
        <w:rPr>
          <w:sz w:val="24"/>
        </w:rPr>
        <w:t>THDF2 (24744-1-AP, Proteintech</w:t>
      </w:r>
      <w:r>
        <w:rPr>
          <w:rFonts w:eastAsia="MinionPro"/>
          <w:kern w:val="0"/>
          <w:sz w:val="24"/>
        </w:rPr>
        <w:t>)</w:t>
      </w:r>
      <w:r>
        <w:rPr>
          <w:sz w:val="24"/>
        </w:rPr>
        <w:t>. An anti-IgG antibody (Cell Signaling Technology, 2729) was used as the nonspecific control. qRT‒PCR analysis was performed to measure the NLRC5 RNA levels. Relative fold enrichment was calculated with the 2</w:t>
      </w:r>
      <w:r>
        <w:rPr>
          <w:sz w:val="24"/>
          <w:vertAlign w:val="superscript"/>
        </w:rPr>
        <w:t>−ΔΔCt</w:t>
      </w:r>
      <w:r>
        <w:rPr>
          <w:sz w:val="24"/>
        </w:rPr>
        <w:t xml:space="preserve"> method.</w:t>
      </w:r>
    </w:p>
    <w:p>
      <w:pPr>
        <w:autoSpaceDE w:val="0"/>
        <w:autoSpaceDN w:val="0"/>
        <w:adjustRightInd w:val="0"/>
        <w:spacing w:line="480" w:lineRule="auto"/>
        <w:rPr>
          <w:kern w:val="0"/>
          <w:sz w:val="24"/>
        </w:rPr>
      </w:pPr>
    </w:p>
    <w:p>
      <w:pPr>
        <w:autoSpaceDE w:val="0"/>
        <w:autoSpaceDN w:val="0"/>
        <w:adjustRightInd w:val="0"/>
        <w:spacing w:line="480" w:lineRule="auto"/>
        <w:rPr>
          <w:b/>
          <w:bCs/>
          <w:kern w:val="0"/>
          <w:sz w:val="24"/>
        </w:rPr>
      </w:pPr>
      <w:r>
        <w:rPr>
          <w:b/>
          <w:bCs/>
          <w:kern w:val="0"/>
          <w:sz w:val="24"/>
        </w:rPr>
        <w:t>RNA stability</w:t>
      </w:r>
    </w:p>
    <w:p>
      <w:pPr>
        <w:autoSpaceDE w:val="0"/>
        <w:autoSpaceDN w:val="0"/>
        <w:adjustRightInd w:val="0"/>
        <w:spacing w:line="480" w:lineRule="auto"/>
        <w:rPr>
          <w:rFonts w:eastAsia="MinionPro"/>
          <w:kern w:val="0"/>
          <w:sz w:val="24"/>
        </w:rPr>
      </w:pPr>
      <w:r>
        <w:rPr>
          <w:rFonts w:eastAsia="MinionPro"/>
          <w:kern w:val="0"/>
          <w:sz w:val="24"/>
        </w:rPr>
        <w:t xml:space="preserve">To assess NLRC5 mRNA stability, cells were incubated with 5 μg/ml actinomycin D (SBR00013, Sigma) to terminate transcription. Samples were collected at 0, 3, and 6 hours after termination. </w:t>
      </w:r>
      <w:r>
        <w:rPr>
          <w:iCs/>
          <w:kern w:val="0"/>
          <w:sz w:val="24"/>
        </w:rPr>
        <w:t>NLRC5</w:t>
      </w:r>
      <w:r>
        <w:rPr>
          <w:i/>
          <w:iCs/>
          <w:kern w:val="0"/>
          <w:sz w:val="24"/>
        </w:rPr>
        <w:t xml:space="preserve"> </w:t>
      </w:r>
      <w:r>
        <w:rPr>
          <w:iCs/>
          <w:kern w:val="0"/>
          <w:sz w:val="24"/>
        </w:rPr>
        <w:t xml:space="preserve">mRNA </w:t>
      </w:r>
      <w:r>
        <w:rPr>
          <w:rFonts w:eastAsia="MinionPro"/>
          <w:kern w:val="0"/>
          <w:sz w:val="24"/>
        </w:rPr>
        <w:t xml:space="preserve">expression was determined by </w:t>
      </w:r>
      <w:r>
        <w:rPr>
          <w:sz w:val="24"/>
        </w:rPr>
        <w:t>qRT‒PCR</w:t>
      </w:r>
      <w:r>
        <w:rPr>
          <w:rFonts w:eastAsia="MinionPro"/>
          <w:kern w:val="0"/>
          <w:sz w:val="24"/>
        </w:rPr>
        <w:t>.</w:t>
      </w:r>
    </w:p>
    <w:p>
      <w:pPr>
        <w:autoSpaceDE w:val="0"/>
        <w:autoSpaceDN w:val="0"/>
        <w:adjustRightInd w:val="0"/>
        <w:spacing w:line="480" w:lineRule="auto"/>
        <w:rPr>
          <w:rFonts w:eastAsia="MinionPro"/>
          <w:kern w:val="0"/>
          <w:sz w:val="24"/>
        </w:rPr>
      </w:pPr>
    </w:p>
    <w:p>
      <w:pPr>
        <w:autoSpaceDE w:val="0"/>
        <w:autoSpaceDN w:val="0"/>
        <w:adjustRightInd w:val="0"/>
        <w:spacing w:line="480" w:lineRule="auto"/>
        <w:rPr>
          <w:b/>
          <w:bCs/>
          <w:kern w:val="0"/>
          <w:sz w:val="24"/>
        </w:rPr>
      </w:pPr>
      <w:r>
        <w:rPr>
          <w:b/>
          <w:bCs/>
          <w:i/>
          <w:kern w:val="0"/>
          <w:sz w:val="24"/>
        </w:rPr>
        <w:t>In</w:t>
      </w:r>
      <w:r>
        <w:rPr>
          <w:b/>
          <w:bCs/>
          <w:kern w:val="0"/>
          <w:sz w:val="24"/>
        </w:rPr>
        <w:t xml:space="preserve"> </w:t>
      </w:r>
      <w:r>
        <w:rPr>
          <w:b/>
          <w:bCs/>
          <w:i/>
          <w:iCs/>
          <w:kern w:val="0"/>
          <w:sz w:val="24"/>
        </w:rPr>
        <w:t>vivo</w:t>
      </w:r>
      <w:r>
        <w:rPr>
          <w:b/>
          <w:bCs/>
          <w:kern w:val="0"/>
          <w:sz w:val="24"/>
        </w:rPr>
        <w:t xml:space="preserve"> xenograft experiments</w:t>
      </w:r>
    </w:p>
    <w:p>
      <w:pPr>
        <w:autoSpaceDE w:val="0"/>
        <w:autoSpaceDN w:val="0"/>
        <w:adjustRightInd w:val="0"/>
        <w:spacing w:line="480" w:lineRule="auto"/>
        <w:rPr>
          <w:kern w:val="0"/>
          <w:sz w:val="24"/>
        </w:rPr>
      </w:pPr>
      <w:r>
        <w:rPr>
          <w:kern w:val="0"/>
          <w:sz w:val="24"/>
        </w:rPr>
        <w:t xml:space="preserve">The experimental animal procedures were approved by the Ethics Review Committee of the </w:t>
      </w:r>
      <w:bookmarkStart w:id="30" w:name="OLE_LINK80"/>
      <w:r>
        <w:rPr>
          <w:kern w:val="0"/>
          <w:sz w:val="24"/>
        </w:rPr>
        <w:t>Department of Laboratory Animal Science of Anhui Medical University (No: LLSC201800855)</w:t>
      </w:r>
      <w:bookmarkEnd w:id="30"/>
      <w:r>
        <w:rPr>
          <w:kern w:val="0"/>
          <w:sz w:val="24"/>
        </w:rPr>
        <w:t>. Six-week-old female BALB/C mice were purchased from Hangzhou Ziyuan Laboratory Animal Science and Technology Co. Ltd. and were housed in an SPF environment. EC cells transfected with the METTL3 overexpression</w:t>
      </w:r>
      <w:r>
        <w:rPr>
          <w:rFonts w:hint="eastAsia"/>
          <w:kern w:val="0"/>
          <w:sz w:val="24"/>
          <w:lang w:val="en-US" w:eastAsia="zh-CN"/>
        </w:rPr>
        <w:t xml:space="preserve"> </w:t>
      </w:r>
      <w:r>
        <w:rPr>
          <w:kern w:val="0"/>
          <w:sz w:val="24"/>
        </w:rPr>
        <w:t xml:space="preserve">or the </w:t>
      </w:r>
      <w:r>
        <w:rPr>
          <w:rFonts w:hint="eastAsia"/>
          <w:kern w:val="0"/>
          <w:sz w:val="24"/>
          <w:lang w:val="en-US" w:eastAsia="zh-CN"/>
        </w:rPr>
        <w:t>vector</w:t>
      </w:r>
      <w:r>
        <w:rPr>
          <w:kern w:val="0"/>
          <w:sz w:val="24"/>
        </w:rPr>
        <w:t xml:space="preserve"> (5 × 10</w:t>
      </w:r>
      <w:r>
        <w:rPr>
          <w:kern w:val="0"/>
          <w:sz w:val="24"/>
          <w:vertAlign w:val="superscript"/>
        </w:rPr>
        <w:t>6</w:t>
      </w:r>
      <w:r>
        <w:rPr>
          <w:kern w:val="0"/>
          <w:sz w:val="24"/>
        </w:rPr>
        <w:t>) and suspended in RPMI-1640 medium (Invitrogen, USA) were subcutaneously injected into the left armpit. After four weeks, the mice were killed, and the tumors were harvested, weighed, and imaged</w:t>
      </w:r>
      <w:r>
        <w:rPr>
          <w:sz w:val="24"/>
        </w:rPr>
        <w:t xml:space="preserve">. The </w:t>
      </w:r>
      <w:r>
        <w:rPr>
          <w:kern w:val="0"/>
          <w:sz w:val="24"/>
        </w:rPr>
        <w:t xml:space="preserve">tumor </w:t>
      </w:r>
      <w:r>
        <w:rPr>
          <w:sz w:val="24"/>
        </w:rPr>
        <w:t>volumes were calculated using the following formula: tumor volume (mm</w:t>
      </w:r>
      <w:r>
        <w:rPr>
          <w:sz w:val="24"/>
          <w:vertAlign w:val="superscript"/>
        </w:rPr>
        <w:t>3</w:t>
      </w:r>
      <w:r>
        <w:rPr>
          <w:sz w:val="24"/>
        </w:rPr>
        <w:t>) = (ab</w:t>
      </w:r>
      <w:r>
        <w:rPr>
          <w:sz w:val="24"/>
          <w:vertAlign w:val="superscript"/>
        </w:rPr>
        <w:t>2</w:t>
      </w:r>
      <w:r>
        <w:rPr>
          <w:sz w:val="24"/>
        </w:rPr>
        <w:t>)/2 [a: the longest axis (mm), b: the shortest axis (mm)]</w:t>
      </w:r>
      <w:r>
        <w:rPr>
          <w:kern w:val="0"/>
          <w:sz w:val="24"/>
        </w:rPr>
        <w:t>. The tumors were fixed in 4% formaldehyde, paraffin-embedded and analyzed by IHC. Peripheral blood was analyzed by flow cytometry.</w:t>
      </w:r>
    </w:p>
    <w:p>
      <w:pPr>
        <w:autoSpaceDE w:val="0"/>
        <w:autoSpaceDN w:val="0"/>
        <w:adjustRightInd w:val="0"/>
        <w:spacing w:line="480" w:lineRule="auto"/>
        <w:rPr>
          <w:kern w:val="0"/>
          <w:sz w:val="24"/>
        </w:rPr>
      </w:pPr>
    </w:p>
    <w:p>
      <w:pPr>
        <w:autoSpaceDE w:val="0"/>
        <w:autoSpaceDN w:val="0"/>
        <w:adjustRightInd w:val="0"/>
        <w:spacing w:line="480" w:lineRule="auto"/>
        <w:rPr>
          <w:rFonts w:hint="default"/>
          <w:b/>
          <w:bCs/>
          <w:kern w:val="0"/>
          <w:sz w:val="24"/>
          <w:lang w:val="en-US" w:eastAsia="zh-CN"/>
        </w:rPr>
      </w:pPr>
      <w:r>
        <w:rPr>
          <w:b/>
          <w:bCs/>
          <w:kern w:val="0"/>
          <w:sz w:val="24"/>
          <w:lang w:val="en-US" w:eastAsia="zh-CN"/>
        </w:rPr>
        <w:t xml:space="preserve">Flow cytometry </w:t>
      </w:r>
      <w:r>
        <w:rPr>
          <w:rFonts w:hint="eastAsia"/>
          <w:b/>
          <w:bCs/>
          <w:kern w:val="0"/>
          <w:sz w:val="24"/>
          <w:lang w:val="en-US" w:eastAsia="zh-CN"/>
        </w:rPr>
        <w:t xml:space="preserve">for </w:t>
      </w:r>
      <w:r>
        <w:rPr>
          <w:b/>
          <w:bCs/>
          <w:kern w:val="0"/>
          <w:sz w:val="24"/>
          <w:lang w:val="en-US" w:eastAsia="zh-CN"/>
        </w:rPr>
        <w:t>CD8</w:t>
      </w:r>
      <w:r>
        <w:rPr>
          <w:b/>
          <w:bCs/>
          <w:kern w:val="0"/>
          <w:sz w:val="24"/>
          <w:vertAlign w:val="superscript"/>
          <w:lang w:val="en-US" w:eastAsia="zh-CN"/>
        </w:rPr>
        <w:t>+</w:t>
      </w:r>
      <w:r>
        <w:rPr>
          <w:b/>
          <w:bCs/>
          <w:kern w:val="0"/>
          <w:sz w:val="24"/>
          <w:lang w:val="en-US" w:eastAsia="zh-CN"/>
        </w:rPr>
        <w:t xml:space="preserve"> </w:t>
      </w:r>
      <w:r>
        <w:rPr>
          <w:rFonts w:hint="default"/>
          <w:b/>
          <w:bCs/>
          <w:kern w:val="0"/>
          <w:sz w:val="24"/>
          <w:lang w:val="en-US" w:eastAsia="zh-CN"/>
        </w:rPr>
        <w:t>T cells frequency</w:t>
      </w:r>
      <w:r>
        <w:rPr>
          <w:rFonts w:hint="eastAsia"/>
          <w:b/>
          <w:bCs/>
          <w:kern w:val="0"/>
          <w:sz w:val="24"/>
          <w:lang w:val="en-US" w:eastAsia="zh-CN"/>
        </w:rPr>
        <w:t xml:space="preserve"> in p</w:t>
      </w:r>
      <w:r>
        <w:rPr>
          <w:b/>
          <w:bCs/>
          <w:kern w:val="0"/>
          <w:sz w:val="24"/>
          <w:lang w:val="en-US" w:eastAsia="zh-CN"/>
        </w:rPr>
        <w:t>eripheral blood</w:t>
      </w:r>
    </w:p>
    <w:p>
      <w:pPr>
        <w:autoSpaceDE w:val="0"/>
        <w:autoSpaceDN w:val="0"/>
        <w:adjustRightInd w:val="0"/>
        <w:spacing w:line="480" w:lineRule="auto"/>
        <w:rPr>
          <w:rFonts w:hint="default"/>
          <w:kern w:val="0"/>
          <w:sz w:val="24"/>
          <w:lang w:val="en-US"/>
        </w:rPr>
      </w:pPr>
      <w:r>
        <w:rPr>
          <w:bCs/>
          <w:kern w:val="0"/>
          <w:sz w:val="24"/>
        </w:rPr>
        <w:t xml:space="preserve">The </w:t>
      </w:r>
      <w:r>
        <w:rPr>
          <w:kern w:val="0"/>
          <w:sz w:val="24"/>
          <w:lang w:val="en-US" w:eastAsia="zh-CN"/>
        </w:rPr>
        <w:t>CD8</w:t>
      </w:r>
      <w:r>
        <w:rPr>
          <w:kern w:val="0"/>
          <w:sz w:val="24"/>
          <w:vertAlign w:val="superscript"/>
          <w:lang w:val="en-US" w:eastAsia="zh-CN"/>
        </w:rPr>
        <w:t>+</w:t>
      </w:r>
      <w:r>
        <w:rPr>
          <w:kern w:val="0"/>
          <w:sz w:val="24"/>
          <w:lang w:val="en-US" w:eastAsia="zh-CN"/>
        </w:rPr>
        <w:t xml:space="preserve"> </w:t>
      </w:r>
      <w:r>
        <w:rPr>
          <w:rFonts w:hint="default"/>
          <w:kern w:val="0"/>
          <w:sz w:val="24"/>
          <w:lang w:val="en-US" w:eastAsia="zh-CN"/>
        </w:rPr>
        <w:t>T cells frequency among CD45</w:t>
      </w:r>
      <w:r>
        <w:rPr>
          <w:rFonts w:hint="default"/>
          <w:kern w:val="0"/>
          <w:sz w:val="24"/>
          <w:vertAlign w:val="superscript"/>
          <w:lang w:val="en-US" w:eastAsia="zh-CN"/>
        </w:rPr>
        <w:t>+</w:t>
      </w:r>
      <w:r>
        <w:rPr>
          <w:rFonts w:hint="default"/>
          <w:kern w:val="0"/>
          <w:sz w:val="24"/>
          <w:lang w:val="en-US" w:eastAsia="zh-CN"/>
        </w:rPr>
        <w:t xml:space="preserve"> cells from the peripheral blood of mice</w:t>
      </w:r>
      <w:r>
        <w:rPr>
          <w:sz w:val="24"/>
        </w:rPr>
        <w:t xml:space="preserve"> </w:t>
      </w:r>
      <w:r>
        <w:rPr>
          <w:rFonts w:eastAsia="MinionPro"/>
          <w:kern w:val="0"/>
          <w:sz w:val="24"/>
        </w:rPr>
        <w:t>as described previously</w:t>
      </w:r>
      <w:r>
        <w:rPr>
          <w:rFonts w:hint="eastAsia" w:eastAsia="MinionPro"/>
          <w:kern w:val="0"/>
          <w:sz w:val="24"/>
        </w:rPr>
        <w:t xml:space="preserve"> [</w:t>
      </w:r>
      <w:r>
        <w:rPr>
          <w:rFonts w:hint="eastAsia" w:eastAsia="MinionPro"/>
          <w:sz w:val="24"/>
          <w:lang w:val="en-US" w:eastAsia="zh-CN"/>
        </w:rPr>
        <w:t>8</w:t>
      </w:r>
      <w:r>
        <w:rPr>
          <w:rFonts w:hint="eastAsia"/>
          <w:sz w:val="24"/>
        </w:rPr>
        <w:t>]</w:t>
      </w:r>
      <w:r>
        <w:rPr>
          <w:rFonts w:hint="eastAsia"/>
          <w:kern w:val="0"/>
          <w:sz w:val="24"/>
          <w:lang w:val="en-US" w:eastAsia="zh-CN"/>
        </w:rPr>
        <w:t>. Briefly,</w:t>
      </w:r>
      <w:r>
        <w:rPr>
          <w:rFonts w:hint="default"/>
          <w:kern w:val="0"/>
          <w:sz w:val="24"/>
          <w:lang w:val="en-US" w:eastAsia="zh-CN"/>
        </w:rPr>
        <w:t xml:space="preserve"> CD8</w:t>
      </w:r>
      <w:r>
        <w:rPr>
          <w:rFonts w:hint="default"/>
          <w:kern w:val="0"/>
          <w:sz w:val="24"/>
          <w:vertAlign w:val="superscript"/>
          <w:lang w:val="en-US" w:eastAsia="zh-CN"/>
        </w:rPr>
        <w:t>+</w:t>
      </w:r>
      <w:r>
        <w:rPr>
          <w:rFonts w:hint="default"/>
          <w:kern w:val="0"/>
          <w:sz w:val="24"/>
          <w:lang w:val="en-US" w:eastAsia="zh-CN"/>
        </w:rPr>
        <w:t xml:space="preserve"> T cells were collected and concentrated, and incubated with 5 </w:t>
      </w:r>
      <w:r>
        <w:rPr>
          <w:kern w:val="0"/>
          <w:sz w:val="24"/>
          <w:lang w:val="en-US" w:eastAsia="zh-CN"/>
        </w:rPr>
        <w:t>μ</w:t>
      </w:r>
      <w:r>
        <w:rPr>
          <w:rFonts w:hint="default"/>
          <w:kern w:val="0"/>
          <w:sz w:val="24"/>
          <w:lang w:val="en-US" w:eastAsia="zh-CN"/>
        </w:rPr>
        <w:t xml:space="preserve">L of specific fluorescent CD8 antibody (100,705, Biolegend, USA) and specific fluorescent CD45 antibody (368,507, Biolegend) for 20 min. 500 μL </w:t>
      </w:r>
      <w:r>
        <w:rPr>
          <w:rFonts w:hint="eastAsia"/>
          <w:kern w:val="0"/>
          <w:sz w:val="24"/>
          <w:lang w:val="en-US" w:eastAsia="zh-CN"/>
        </w:rPr>
        <w:t>s</w:t>
      </w:r>
      <w:r>
        <w:rPr>
          <w:rFonts w:hint="default"/>
          <w:kern w:val="0"/>
          <w:sz w:val="24"/>
          <w:lang w:val="en-US" w:eastAsia="zh-CN"/>
        </w:rPr>
        <w:t xml:space="preserve">aline was added separately into the cell solution, </w:t>
      </w:r>
      <w:r>
        <w:rPr>
          <w:rFonts w:hint="eastAsia"/>
          <w:kern w:val="0"/>
          <w:sz w:val="24"/>
          <w:lang w:val="en-US" w:eastAsia="zh-CN"/>
        </w:rPr>
        <w:t>then</w:t>
      </w:r>
      <w:r>
        <w:rPr>
          <w:rFonts w:hint="default"/>
          <w:kern w:val="0"/>
          <w:sz w:val="24"/>
          <w:lang w:val="en-US" w:eastAsia="zh-CN"/>
        </w:rPr>
        <w:t xml:space="preserve"> centrifugation at 5000 rpm for 5 min. The supernatant was removed, and the collected cells at the bottom were dispersed into 300 μL of saline. Finally, the effective separation rate was analyzed by counting 1.2 × 10</w:t>
      </w:r>
      <w:r>
        <w:rPr>
          <w:rFonts w:hint="default"/>
          <w:kern w:val="0"/>
          <w:sz w:val="24"/>
          <w:vertAlign w:val="superscript"/>
          <w:lang w:val="en-US" w:eastAsia="zh-CN"/>
        </w:rPr>
        <w:t>4</w:t>
      </w:r>
      <w:r>
        <w:rPr>
          <w:rFonts w:hint="default"/>
          <w:kern w:val="0"/>
          <w:sz w:val="24"/>
          <w:lang w:val="en-US" w:eastAsia="zh-CN"/>
        </w:rPr>
        <w:t xml:space="preserve"> cells per sample using an LSR II flow cytometer (BD Biosciences, CA, USA) and Cell Quest software (BD Biosciences, CA, USA)</w:t>
      </w:r>
      <w:r>
        <w:rPr>
          <w:rFonts w:hint="eastAsia"/>
          <w:kern w:val="0"/>
          <w:sz w:val="24"/>
          <w:lang w:val="en-US" w:eastAsia="zh-CN"/>
        </w:rPr>
        <w:t>.</w:t>
      </w:r>
    </w:p>
    <w:p>
      <w:pPr>
        <w:autoSpaceDE w:val="0"/>
        <w:autoSpaceDN w:val="0"/>
        <w:adjustRightInd w:val="0"/>
        <w:spacing w:line="480" w:lineRule="auto"/>
        <w:rPr>
          <w:kern w:val="0"/>
          <w:sz w:val="24"/>
        </w:rPr>
      </w:pPr>
      <w:r>
        <w:rPr>
          <w:rFonts w:hint="default"/>
          <w:kern w:val="0"/>
          <w:sz w:val="24"/>
          <w:lang w:val="en-US" w:eastAsia="zh-CN"/>
        </w:rPr>
        <w:t>.</w:t>
      </w:r>
    </w:p>
    <w:p>
      <w:pPr>
        <w:autoSpaceDE w:val="0"/>
        <w:autoSpaceDN w:val="0"/>
        <w:adjustRightInd w:val="0"/>
        <w:spacing w:line="480" w:lineRule="auto"/>
        <w:rPr>
          <w:b/>
          <w:bCs/>
          <w:kern w:val="0"/>
          <w:sz w:val="24"/>
        </w:rPr>
      </w:pPr>
      <w:r>
        <w:rPr>
          <w:b/>
          <w:bCs/>
          <w:kern w:val="0"/>
          <w:sz w:val="24"/>
        </w:rPr>
        <w:t>Statistical analysis</w:t>
      </w:r>
    </w:p>
    <w:p>
      <w:pPr>
        <w:autoSpaceDE w:val="0"/>
        <w:autoSpaceDN w:val="0"/>
        <w:adjustRightInd w:val="0"/>
        <w:spacing w:line="480" w:lineRule="auto"/>
        <w:rPr>
          <w:sz w:val="24"/>
        </w:rPr>
      </w:pPr>
      <w:r>
        <w:rPr>
          <w:sz w:val="24"/>
        </w:rPr>
        <w:t xml:space="preserve">All the data were analyzed using SPSS 23.0 software (SPSS Inc., Chicago, USA). The data are expressed as the mean ± SEM. Statistical analyses were performed using analysis of variance. Significant differences and variance between groups were identified using Student’s </w:t>
      </w:r>
      <w:r>
        <w:rPr>
          <w:i/>
          <w:iCs/>
          <w:sz w:val="24"/>
        </w:rPr>
        <w:t>t</w:t>
      </w:r>
      <w:r>
        <w:rPr>
          <w:sz w:val="24"/>
        </w:rPr>
        <w:t xml:space="preserve"> test and the F test, respectively. Correlation analysis was performed using Pearson correlation. The median METTL3 and YTHDF2 expression levels were used as cutoff values for grouping. The survival curves were measured by the Kaplan‒Meier method. </w:t>
      </w:r>
      <w:r>
        <w:rPr>
          <w:i/>
          <w:iCs/>
          <w:sz w:val="24"/>
        </w:rPr>
        <w:t xml:space="preserve">P </w:t>
      </w:r>
      <w:r>
        <w:rPr>
          <w:rFonts w:eastAsia="VVCCG G+ Te X_ C M_ Maths_"/>
          <w:i/>
          <w:iCs/>
          <w:sz w:val="24"/>
        </w:rPr>
        <w:t xml:space="preserve">&lt; </w:t>
      </w:r>
      <w:r>
        <w:rPr>
          <w:sz w:val="24"/>
        </w:rPr>
        <w:t>0.05 was considered statistically significant.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ionPro">
    <w:altName w:val="宋体"/>
    <w:panose1 w:val="00000000000000000000"/>
    <w:charset w:val="86"/>
    <w:family w:val="roman"/>
    <w:pitch w:val="default"/>
    <w:sig w:usb0="00000000" w:usb1="00000000" w:usb2="00000010" w:usb3="00000000" w:csb0="00040000" w:csb1="00000000"/>
  </w:font>
  <w:font w:name="STIX">
    <w:altName w:val="微软雅黑"/>
    <w:panose1 w:val="00000000000000000000"/>
    <w:charset w:val="86"/>
    <w:family w:val="swiss"/>
    <w:pitch w:val="default"/>
    <w:sig w:usb0="00000000" w:usb1="00000000" w:usb2="00000010" w:usb3="00000000" w:csb0="00040000" w:csb1="00000000"/>
  </w:font>
  <w:font w:name="VVCCG G+ Te X_ C M_ Maths_">
    <w:altName w:val="微软雅黑"/>
    <w:panose1 w:val="00000000000000000000"/>
    <w:charset w:val="86"/>
    <w:family w:val="swiss"/>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xMDRmMzk3YTI2YTY3YTcyOGNhODVlNWM1NmRjNmIifQ=="/>
  </w:docVars>
  <w:rsids>
    <w:rsidRoot w:val="00000000"/>
    <w:rsid w:val="006120AD"/>
    <w:rsid w:val="067B6D70"/>
    <w:rsid w:val="1A2C0C48"/>
    <w:rsid w:val="20892D7B"/>
    <w:rsid w:val="22C92446"/>
    <w:rsid w:val="25CD6C69"/>
    <w:rsid w:val="26861ECE"/>
    <w:rsid w:val="27322E65"/>
    <w:rsid w:val="2FB22EE1"/>
    <w:rsid w:val="31611490"/>
    <w:rsid w:val="406B59E0"/>
    <w:rsid w:val="41E84D69"/>
    <w:rsid w:val="46913623"/>
    <w:rsid w:val="54021A6D"/>
    <w:rsid w:val="5AAC7A8E"/>
    <w:rsid w:val="6E9B1D3D"/>
    <w:rsid w:val="6ED22586"/>
    <w:rsid w:val="75CB3EFA"/>
    <w:rsid w:val="7A431A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1414</Words>
  <Characters>8316</Characters>
  <Lines>0</Lines>
  <Paragraphs>0</Paragraphs>
  <TotalTime>16</TotalTime>
  <ScaleCrop>false</ScaleCrop>
  <LinksUpToDate>false</LinksUpToDate>
  <CharactersWithSpaces>9694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2023-03-13T02:51:00Z</dcterms:created>
  <dc:creator>Administrator</dc:creator>
  <cp:lastModifiedBy>James</cp:lastModifiedBy>
  <dcterms:modified xsi:type="dcterms:W3CDTF">2023-03-18T04:46:45Z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294FC79007B84C8598EA811816DD14E7</vt:lpwstr>
  </property>
</Properties>
</file>