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pacing w:lineRule="auto" w:line="480" w:beforeAutospacing="1" w:after="90"/>
        <w:jc w:val="left"/>
        <w:rPr>
          <w:rFonts w:ascii="Times New Roman" w:hAnsi="Times New Roman" w:eastAsia="宋体" w:cs="Times New Roman"/>
          <w:b/>
          <w:b/>
          <w:bCs/>
          <w:color w:val="000000" w:themeColor="text1"/>
          <w:kern w:val="0"/>
          <w:sz w:val="24"/>
        </w:rPr>
      </w:pPr>
      <w:r>
        <w:rPr>
          <w:rFonts w:eastAsia="宋体" w:cs="Times New Roman" w:ascii="Times New Roman" w:hAnsi="Times New Roman"/>
          <w:b/>
          <w:bCs/>
          <w:color w:val="000000" w:themeColor="text1"/>
          <w:kern w:val="0"/>
          <w:sz w:val="24"/>
        </w:rPr>
        <w:t>Supplementary Information</w:t>
      </w:r>
    </w:p>
    <w:tbl>
      <w:tblPr>
        <w:tblW w:w="722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736"/>
        <w:gridCol w:w="1937"/>
        <w:gridCol w:w="3549"/>
      </w:tblGrid>
      <w:tr>
        <w:trPr>
          <w:trHeight w:val="191" w:hRule="atLeast"/>
        </w:trPr>
        <w:tc>
          <w:tcPr>
            <w:tcW w:w="7222" w:type="dxa"/>
            <w:gridSpan w:val="3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48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cs="Times New Roman" w:ascii="Times New Roman" w:hAnsi="Times New Roman"/>
                <w:color w:val="000000" w:themeColor="text1"/>
                <w:szCs w:val="21"/>
              </w:rPr>
              <w:t xml:space="preserve">Table S1 The information </w:t>
            </w:r>
            <w:r>
              <w:rPr>
                <w:rFonts w:cs="Times New Roman" w:ascii="Times New Roman" w:hAnsi="Times New Roman"/>
                <w:color w:val="000000" w:themeColor="text1"/>
                <w:szCs w:val="21"/>
              </w:rPr>
              <w:t>of</w:t>
            </w:r>
            <w:r>
              <w:rPr>
                <w:rFonts w:cs="Times New Roman" w:ascii="Times New Roman" w:hAnsi="Times New Roman"/>
                <w:color w:val="000000" w:themeColor="text1"/>
                <w:szCs w:val="21"/>
              </w:rPr>
              <w:t xml:space="preserve"> ELISA Kits used in this study</w:t>
            </w:r>
          </w:p>
        </w:tc>
      </w:tr>
      <w:tr>
        <w:trPr>
          <w:trHeight w:val="329" w:hRule="atLeast"/>
        </w:trPr>
        <w:tc>
          <w:tcPr>
            <w:tcW w:w="1736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48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cs="Times New Roman" w:ascii="Times New Roman" w:hAnsi="Times New Roman"/>
                <w:color w:val="000000" w:themeColor="text1"/>
                <w:szCs w:val="21"/>
              </w:rPr>
              <w:t>Testing Target</w:t>
            </w:r>
          </w:p>
        </w:tc>
        <w:tc>
          <w:tcPr>
            <w:tcW w:w="1937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48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cs="Times New Roman" w:ascii="Times New Roman" w:hAnsi="Times New Roman"/>
                <w:color w:val="000000" w:themeColor="text1"/>
                <w:szCs w:val="21"/>
              </w:rPr>
              <w:t>Catalog numbers</w:t>
            </w:r>
          </w:p>
        </w:tc>
        <w:tc>
          <w:tcPr>
            <w:tcW w:w="354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48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cs="Times New Roman" w:ascii="Times New Roman" w:hAnsi="Times New Roman"/>
                <w:color w:val="000000" w:themeColor="text1"/>
                <w:szCs w:val="21"/>
              </w:rPr>
              <w:t>Manufacturer</w:t>
            </w:r>
          </w:p>
        </w:tc>
      </w:tr>
      <w:tr>
        <w:trPr>
          <w:trHeight w:val="233" w:hRule="atLeast"/>
        </w:trPr>
        <w:tc>
          <w:tcPr>
            <w:tcW w:w="1736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48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cs="Times New Roman" w:ascii="Times New Roman" w:hAnsi="Times New Roman"/>
                <w:color w:val="000000" w:themeColor="text1"/>
                <w:szCs w:val="21"/>
              </w:rPr>
              <w:t>sLRP1</w:t>
            </w:r>
          </w:p>
        </w:tc>
        <w:tc>
          <w:tcPr>
            <w:tcW w:w="1937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48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cs="Times New Roman" w:ascii="Times New Roman" w:hAnsi="Times New Roman"/>
                <w:color w:val="000000" w:themeColor="text1"/>
                <w:szCs w:val="21"/>
              </w:rPr>
              <w:t>SEB010Hu</w:t>
            </w:r>
          </w:p>
        </w:tc>
        <w:tc>
          <w:tcPr>
            <w:tcW w:w="3549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48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cs="Times New Roman" w:ascii="Times New Roman" w:hAnsi="Times New Roman"/>
                <w:color w:val="000000" w:themeColor="text1"/>
                <w:szCs w:val="21"/>
              </w:rPr>
              <w:t>Cloud-Clone Corp.Wuhan</w:t>
            </w:r>
          </w:p>
        </w:tc>
      </w:tr>
      <w:tr>
        <w:trPr>
          <w:trHeight w:val="191" w:hRule="atLeast"/>
        </w:trPr>
        <w:tc>
          <w:tcPr>
            <w:tcW w:w="1736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48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cs="Times New Roman" w:ascii="Times New Roman" w:hAnsi="Times New Roman"/>
                <w:color w:val="000000" w:themeColor="text1"/>
                <w:szCs w:val="21"/>
              </w:rPr>
              <w:t>KLK4</w:t>
            </w:r>
          </w:p>
        </w:tc>
        <w:tc>
          <w:tcPr>
            <w:tcW w:w="1937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48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cs="Times New Roman" w:ascii="Times New Roman" w:hAnsi="Times New Roman"/>
                <w:color w:val="000000" w:themeColor="text1"/>
                <w:szCs w:val="21"/>
              </w:rPr>
              <w:t>CSB-EL012455HU</w:t>
            </w:r>
          </w:p>
        </w:tc>
        <w:tc>
          <w:tcPr>
            <w:tcW w:w="3549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48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cs="Times New Roman" w:ascii="Times New Roman" w:hAnsi="Times New Roman"/>
                <w:color w:val="000000" w:themeColor="text1"/>
                <w:szCs w:val="21"/>
              </w:rPr>
              <w:t>CUSABIO</w:t>
            </w:r>
          </w:p>
        </w:tc>
      </w:tr>
      <w:tr>
        <w:trPr>
          <w:trHeight w:val="233" w:hRule="atLeast"/>
        </w:trPr>
        <w:tc>
          <w:tcPr>
            <w:tcW w:w="1736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48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cs="Times New Roman" w:ascii="Times New Roman" w:hAnsi="Times New Roman"/>
                <w:color w:val="000000" w:themeColor="text1"/>
                <w:szCs w:val="21"/>
              </w:rPr>
              <w:t xml:space="preserve">Gelsolin(GSN) </w:t>
            </w:r>
          </w:p>
        </w:tc>
        <w:tc>
          <w:tcPr>
            <w:tcW w:w="1937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48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cs="Times New Roman" w:ascii="Times New Roman" w:hAnsi="Times New Roman"/>
                <w:color w:val="000000" w:themeColor="text1"/>
                <w:szCs w:val="21"/>
              </w:rPr>
              <w:t>SEA372Hu</w:t>
            </w:r>
          </w:p>
        </w:tc>
        <w:tc>
          <w:tcPr>
            <w:tcW w:w="3549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48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cs="Times New Roman" w:ascii="Times New Roman" w:hAnsi="Times New Roman"/>
                <w:color w:val="000000" w:themeColor="text1"/>
                <w:szCs w:val="21"/>
              </w:rPr>
              <w:t>Cloud-Clone Corp. Wuhan</w:t>
            </w:r>
          </w:p>
        </w:tc>
      </w:tr>
      <w:tr>
        <w:trPr>
          <w:trHeight w:val="233" w:hRule="atLeast"/>
        </w:trPr>
        <w:tc>
          <w:tcPr>
            <w:tcW w:w="1736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48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cs="Times New Roman" w:ascii="Times New Roman" w:hAnsi="Times New Roman"/>
                <w:color w:val="000000" w:themeColor="text1"/>
                <w:szCs w:val="21"/>
              </w:rPr>
              <w:t>Caspase 3</w:t>
            </w:r>
          </w:p>
        </w:tc>
        <w:tc>
          <w:tcPr>
            <w:tcW w:w="1937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48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cs="Times New Roman" w:ascii="Times New Roman" w:hAnsi="Times New Roman"/>
                <w:color w:val="000000" w:themeColor="text1"/>
                <w:szCs w:val="21"/>
              </w:rPr>
              <w:t>ZN2053</w:t>
            </w:r>
          </w:p>
        </w:tc>
        <w:tc>
          <w:tcPr>
            <w:tcW w:w="354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48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cs="Times New Roman" w:ascii="Times New Roman" w:hAnsi="Times New Roman"/>
                <w:color w:val="000000" w:themeColor="text1"/>
                <w:szCs w:val="21"/>
              </w:rPr>
              <w:t>Beijing Biolaibo Technology Co., LTD</w:t>
            </w:r>
          </w:p>
        </w:tc>
      </w:tr>
    </w:tbl>
    <w:p>
      <w:pPr>
        <w:pStyle w:val="Normal"/>
        <w:snapToGrid w:val="false"/>
        <w:spacing w:lineRule="auto" w:line="480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cs="Times New Roman" w:ascii="Times New Roman" w:hAnsi="Times New Roman"/>
          <w:color w:val="000000" w:themeColor="text1"/>
          <w:sz w:val="24"/>
        </w:rPr>
      </w:r>
    </w:p>
    <w:p>
      <w:pPr>
        <w:pStyle w:val="Normal"/>
        <w:snapToGrid w:val="false"/>
        <w:spacing w:lineRule="auto" w:line="480"/>
        <w:rPr>
          <w:rFonts w:ascii="Times New Roman" w:hAnsi="Times New Roman" w:cs="Times New Roman"/>
          <w:b/>
          <w:b/>
          <w:bCs/>
          <w:color w:val="000000" w:themeColor="text1"/>
          <w:sz w:val="24"/>
        </w:rPr>
      </w:pPr>
      <w:r>
        <w:rPr>
          <w:rFonts w:cs="Times New Roman" w:ascii="Times New Roman" w:hAnsi="Times New Roman"/>
          <w:b/>
          <w:bCs/>
          <w:color w:val="000000" w:themeColor="text1"/>
          <w:sz w:val="24"/>
        </w:rPr>
        <w:t xml:space="preserve">Figure </w:t>
      </w:r>
      <w:bookmarkStart w:id="0" w:name="OLE_LINK156"/>
      <w:bookmarkStart w:id="1" w:name="OLE_LINK155"/>
      <w:r>
        <w:rPr>
          <w:rFonts w:cs="Times New Roman" w:ascii="Times New Roman" w:hAnsi="Times New Roman"/>
          <w:b/>
          <w:bCs/>
          <w:color w:val="000000" w:themeColor="text1"/>
          <w:sz w:val="24"/>
        </w:rPr>
        <w:t>Legend</w:t>
      </w:r>
      <w:bookmarkEnd w:id="0"/>
      <w:bookmarkEnd w:id="1"/>
      <w:r>
        <w:rPr>
          <w:rFonts w:cs="Times New Roman" w:ascii="Times New Roman" w:hAnsi="Times New Roman"/>
          <w:b/>
          <w:bCs/>
          <w:color w:val="000000" w:themeColor="text1"/>
          <w:sz w:val="24"/>
        </w:rPr>
        <w:t>s</w:t>
      </w:r>
    </w:p>
    <w:p>
      <w:pPr>
        <w:pStyle w:val="Normal"/>
        <w:snapToGrid w:val="false"/>
        <w:spacing w:lineRule="auto" w:line="480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cs="Times New Roman" w:ascii="Times New Roman" w:hAnsi="Times New Roman"/>
          <w:color w:val="000000" w:themeColor="text1"/>
          <w:sz w:val="24"/>
        </w:rPr>
        <w:t xml:space="preserve">Fig. S1. The distribution of four plasma proteins between APOE </w:t>
      </w:r>
      <w:r>
        <w:rPr>
          <w:rFonts w:cs="Times New Roman" w:ascii="Times New Roman" w:hAnsi="Times New Roman"/>
          <w:i/>
          <w:iCs/>
          <w:color w:val="000000" w:themeColor="text1"/>
          <w:sz w:val="24"/>
          <w:lang w:val="el-GR"/>
        </w:rPr>
        <w:t>ε</w:t>
      </w:r>
      <w:r>
        <w:rPr>
          <w:rFonts w:cs="Times New Roman" w:ascii="Times New Roman" w:hAnsi="Times New Roman"/>
          <w:i/>
          <w:iCs/>
          <w:color w:val="000000" w:themeColor="text1"/>
          <w:sz w:val="24"/>
        </w:rPr>
        <w:t>4</w:t>
      </w:r>
      <w:r>
        <w:rPr>
          <w:rFonts w:cs="Times New Roman" w:ascii="Times New Roman" w:hAnsi="Times New Roman"/>
          <w:color w:val="000000" w:themeColor="text1"/>
          <w:sz w:val="24"/>
        </w:rPr>
        <w:t xml:space="preserve"> carriers and non-carriers. A-D shows plasma levels of sLRP1, KLK4, GSN, and Caspase 3. Red denotes APOE </w:t>
      </w:r>
      <w:r>
        <w:rPr>
          <w:rFonts w:cs="Times New Roman" w:ascii="Times New Roman" w:hAnsi="Times New Roman"/>
          <w:i/>
          <w:iCs/>
          <w:color w:val="000000" w:themeColor="text1"/>
          <w:sz w:val="24"/>
          <w:lang w:val="el-GR"/>
        </w:rPr>
        <w:t>ε</w:t>
      </w:r>
      <w:r>
        <w:rPr>
          <w:rFonts w:cs="Times New Roman" w:ascii="Times New Roman" w:hAnsi="Times New Roman"/>
          <w:i/>
          <w:iCs/>
          <w:color w:val="000000" w:themeColor="text1"/>
          <w:sz w:val="24"/>
        </w:rPr>
        <w:t>4</w:t>
      </w:r>
      <w:r>
        <w:rPr>
          <w:rFonts w:cs="Times New Roman" w:ascii="Times New Roman" w:hAnsi="Times New Roman"/>
          <w:color w:val="000000" w:themeColor="text1"/>
          <w:sz w:val="24"/>
        </w:rPr>
        <w:t xml:space="preserve"> carriers. Blue denotes APOE </w:t>
      </w:r>
      <w:r>
        <w:rPr>
          <w:rFonts w:cs="Times New Roman" w:ascii="Times New Roman" w:hAnsi="Times New Roman"/>
          <w:i/>
          <w:iCs/>
          <w:color w:val="000000" w:themeColor="text1"/>
          <w:sz w:val="24"/>
          <w:lang w:val="el-GR"/>
        </w:rPr>
        <w:t>ε</w:t>
      </w:r>
      <w:r>
        <w:rPr>
          <w:rFonts w:cs="Times New Roman" w:ascii="Times New Roman" w:hAnsi="Times New Roman"/>
          <w:i/>
          <w:iCs/>
          <w:color w:val="000000" w:themeColor="text1"/>
          <w:sz w:val="24"/>
        </w:rPr>
        <w:t xml:space="preserve">4 </w:t>
      </w:r>
      <w:r>
        <w:rPr>
          <w:rFonts w:cs="Times New Roman" w:ascii="Times New Roman" w:hAnsi="Times New Roman"/>
          <w:color w:val="000000" w:themeColor="text1"/>
          <w:sz w:val="24"/>
        </w:rPr>
        <w:t>non-carriers. *</w:t>
      </w:r>
      <w:r>
        <w:rPr>
          <w:rFonts w:cs="Times New Roman" w:ascii="Times New Roman" w:hAnsi="Times New Roman"/>
          <w:i/>
          <w:iCs/>
          <w:color w:val="000000" w:themeColor="text1"/>
          <w:sz w:val="24"/>
        </w:rPr>
        <w:t xml:space="preserve">P </w:t>
      </w:r>
      <w:r>
        <w:rPr>
          <w:rFonts w:cs="Times New Roman" w:ascii="Times New Roman" w:hAnsi="Times New Roman"/>
          <w:color w:val="000000" w:themeColor="text1"/>
          <w:sz w:val="24"/>
        </w:rPr>
        <w:t>&lt; 0.05, **</w:t>
      </w:r>
      <w:r>
        <w:rPr>
          <w:rFonts w:cs="Times New Roman" w:ascii="Times New Roman" w:hAnsi="Times New Roman"/>
          <w:i/>
          <w:iCs/>
          <w:color w:val="000000" w:themeColor="text1"/>
          <w:sz w:val="24"/>
        </w:rPr>
        <w:t xml:space="preserve">P </w:t>
      </w:r>
      <w:r>
        <w:rPr>
          <w:rFonts w:cs="Times New Roman" w:ascii="Times New Roman" w:hAnsi="Times New Roman"/>
          <w:color w:val="000000" w:themeColor="text1"/>
          <w:sz w:val="24"/>
        </w:rPr>
        <w:t>&lt; 0.01, ***</w:t>
      </w:r>
      <w:r>
        <w:rPr>
          <w:rFonts w:cs="Times New Roman" w:ascii="Times New Roman" w:hAnsi="Times New Roman"/>
          <w:i/>
          <w:iCs/>
          <w:color w:val="000000" w:themeColor="text1"/>
          <w:sz w:val="24"/>
        </w:rPr>
        <w:t xml:space="preserve">P </w:t>
      </w:r>
      <w:r>
        <w:rPr>
          <w:rFonts w:cs="Times New Roman" w:ascii="Times New Roman" w:hAnsi="Times New Roman"/>
          <w:color w:val="000000" w:themeColor="text1"/>
          <w:sz w:val="24"/>
        </w:rPr>
        <w:t xml:space="preserve">&lt; 0.001 </w:t>
      </w:r>
    </w:p>
    <w:p>
      <w:pPr>
        <w:pStyle w:val="Normal"/>
        <w:snapToGrid w:val="false"/>
        <w:spacing w:lineRule="auto" w:line="480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cs="Times New Roman" w:ascii="Times New Roman" w:hAnsi="Times New Roman"/>
          <w:color w:val="000000" w:themeColor="text1"/>
          <w:sz w:val="24"/>
        </w:rPr>
        <w:t>Fig. S2. The distribution of four plasma proteins between females and males. A-D shows plasma levels of sLRP1, KLK4, GSN, and Caspase 3. Red denotes female. Blue denotes male. *</w:t>
      </w:r>
      <w:r>
        <w:rPr>
          <w:rFonts w:cs="Times New Roman" w:ascii="Times New Roman" w:hAnsi="Times New Roman"/>
          <w:i/>
          <w:iCs/>
          <w:color w:val="000000" w:themeColor="text1"/>
          <w:sz w:val="24"/>
        </w:rPr>
        <w:t xml:space="preserve">P </w:t>
      </w:r>
      <w:r>
        <w:rPr>
          <w:rFonts w:cs="Times New Roman" w:ascii="Times New Roman" w:hAnsi="Times New Roman"/>
          <w:color w:val="000000" w:themeColor="text1"/>
          <w:sz w:val="24"/>
        </w:rPr>
        <w:t>&lt; 0.05, **</w:t>
      </w:r>
      <w:r>
        <w:rPr>
          <w:rFonts w:cs="Times New Roman" w:ascii="Times New Roman" w:hAnsi="Times New Roman"/>
          <w:i/>
          <w:iCs/>
          <w:color w:val="000000" w:themeColor="text1"/>
          <w:sz w:val="24"/>
        </w:rPr>
        <w:t xml:space="preserve">P </w:t>
      </w:r>
      <w:r>
        <w:rPr>
          <w:rFonts w:cs="Times New Roman" w:ascii="Times New Roman" w:hAnsi="Times New Roman"/>
          <w:color w:val="000000" w:themeColor="text1"/>
          <w:sz w:val="24"/>
        </w:rPr>
        <w:t>&lt; 0.01, ***</w:t>
      </w:r>
      <w:r>
        <w:rPr>
          <w:rFonts w:cs="Times New Roman" w:ascii="Times New Roman" w:hAnsi="Times New Roman"/>
          <w:i/>
          <w:iCs/>
          <w:color w:val="000000" w:themeColor="text1"/>
          <w:sz w:val="24"/>
        </w:rPr>
        <w:t xml:space="preserve">P </w:t>
      </w:r>
      <w:r>
        <w:rPr>
          <w:rFonts w:cs="Times New Roman" w:ascii="Times New Roman" w:hAnsi="Times New Roman"/>
          <w:color w:val="000000" w:themeColor="text1"/>
          <w:sz w:val="24"/>
        </w:rPr>
        <w:t xml:space="preserve">&lt; 0.001 </w:t>
      </w:r>
    </w:p>
    <w:p>
      <w:pPr>
        <w:pStyle w:val="Normal"/>
        <w:snapToGrid w:val="false"/>
        <w:spacing w:lineRule="auto" w:line="480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cs="Times New Roman" w:ascii="Times New Roman" w:hAnsi="Times New Roman"/>
          <w:color w:val="000000" w:themeColor="text1"/>
          <w:sz w:val="24"/>
        </w:rPr>
        <w:t>Fig. S3 Four blood-based biomarkers and their composite for AD and MCI classification. A, Receiver operating characteristic (ROC) curves showing the performance of four blood-based biomarkers and their composite for AD classification in combined cohorts. B, ROC analyses for MCI classification in combined cohorts</w:t>
      </w:r>
    </w:p>
    <w:p>
      <w:pPr>
        <w:pStyle w:val="Normal"/>
        <w:snapToGrid w:val="false"/>
        <w:spacing w:lineRule="auto" w:line="480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cs="Times New Roman" w:ascii="Times New Roman" w:hAnsi="Times New Roman"/>
          <w:color w:val="000000" w:themeColor="text1"/>
          <w:sz w:val="24"/>
        </w:rPr>
      </w:r>
    </w:p>
    <w:p>
      <w:pPr>
        <w:pStyle w:val="Normal"/>
        <w:snapToGrid w:val="false"/>
        <w:spacing w:lineRule="auto" w:line="480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cs="Times New Roman" w:ascii="Times New Roman" w:hAnsi="Times New Roman"/>
          <w:color w:val="000000" w:themeColor="text1"/>
          <w:sz w:val="24"/>
        </w:rPr>
      </w:r>
    </w:p>
    <w:p>
      <w:pPr>
        <w:pStyle w:val="Normal"/>
        <w:snapToGrid w:val="false"/>
        <w:spacing w:lineRule="auto" w:line="480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cs="Times New Roman" w:ascii="Times New Roman" w:hAnsi="Times New Roman"/>
          <w:color w:val="000000" w:themeColor="text1"/>
          <w:sz w:val="24"/>
        </w:rPr>
      </w:r>
    </w:p>
    <w:p>
      <w:pPr>
        <w:pStyle w:val="Normal"/>
        <w:snapToGrid w:val="false"/>
        <w:spacing w:lineRule="auto" w:line="480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cs="Times New Roman" w:ascii="Times New Roman" w:hAnsi="Times New Roman"/>
          <w:color w:val="000000" w:themeColor="text1"/>
          <w:sz w:val="24"/>
        </w:rPr>
      </w:r>
    </w:p>
    <w:p>
      <w:pPr>
        <w:pStyle w:val="Normal"/>
        <w:snapToGrid w:val="false"/>
        <w:spacing w:lineRule="auto" w:line="480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cs="Times New Roman" w:ascii="Times New Roman" w:hAnsi="Times New Roman"/>
          <w:color w:val="000000" w:themeColor="text1"/>
          <w:sz w:val="24"/>
        </w:rPr>
      </w:r>
    </w:p>
    <w:p>
      <w:pPr>
        <w:pStyle w:val="Normal"/>
        <w:snapToGrid w:val="false"/>
        <w:spacing w:lineRule="auto" w:line="480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cs="Times New Roman" w:ascii="Times New Roman" w:hAnsi="Times New Roman"/>
          <w:color w:val="000000" w:themeColor="text1"/>
          <w:sz w:val="24"/>
        </w:rPr>
      </w:r>
    </w:p>
    <w:p>
      <w:pPr>
        <w:pStyle w:val="Normal"/>
        <w:snapToGrid w:val="false"/>
        <w:spacing w:lineRule="auto" w:line="480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cs="Times New Roman" w:ascii="Times New Roman" w:hAnsi="Times New Roman"/>
          <w:color w:val="000000" w:themeColor="text1"/>
          <w:sz w:val="24"/>
        </w:rPr>
        <w:t>Fig. S1</w:t>
      </w:r>
    </w:p>
    <w:p>
      <w:pPr>
        <w:pStyle w:val="Normal"/>
        <w:snapToGrid w:val="false"/>
        <w:spacing w:lineRule="auto" w:line="480"/>
        <w:jc w:val="center"/>
        <w:rPr>
          <w:rFonts w:ascii="Times New Roman" w:hAnsi="Times New Roman" w:cs="Times New Roman"/>
          <w:color w:val="000000" w:themeColor="text1"/>
          <w:sz w:val="24"/>
        </w:rPr>
      </w:pPr>
      <w:r>
        <w:rPr/>
        <w:drawing>
          <wp:inline distT="0" distB="0" distL="0" distR="0">
            <wp:extent cx="3501390" cy="3959860"/>
            <wp:effectExtent l="0" t="0" r="0" b="0"/>
            <wp:docPr id="1" name="图片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1390" cy="395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napToGrid w:val="false"/>
        <w:spacing w:lineRule="auto" w:line="480"/>
        <w:rPr>
          <w:rFonts w:ascii="Times New Roman" w:hAnsi="Times New Roman" w:cs="Times New Roman"/>
          <w:color w:val="000000" w:themeColor="text1"/>
          <w:sz w:val="24"/>
        </w:rPr>
      </w:pPr>
      <w:bookmarkStart w:id="2" w:name="OLE_LINK348"/>
      <w:bookmarkStart w:id="3" w:name="OLE_LINK347"/>
      <w:r>
        <w:rPr>
          <w:rFonts w:cs="Times New Roman" w:ascii="Times New Roman" w:hAnsi="Times New Roman"/>
          <w:color w:val="000000" w:themeColor="text1"/>
          <w:sz w:val="24"/>
        </w:rPr>
        <w:t>Fig. S2</w:t>
      </w:r>
      <w:bookmarkEnd w:id="2"/>
      <w:bookmarkEnd w:id="3"/>
    </w:p>
    <w:p>
      <w:pPr>
        <w:pStyle w:val="Normal"/>
        <w:snapToGrid w:val="false"/>
        <w:spacing w:lineRule="auto" w:line="480"/>
        <w:jc w:val="center"/>
        <w:rPr>
          <w:rFonts w:ascii="Times New Roman" w:hAnsi="Times New Roman" w:cs="Times New Roman"/>
          <w:color w:val="000000" w:themeColor="text1"/>
          <w:sz w:val="24"/>
        </w:rPr>
      </w:pPr>
      <w:r>
        <w:rPr/>
        <w:drawing>
          <wp:inline distT="0" distB="0" distL="0" distR="0">
            <wp:extent cx="3402965" cy="3959860"/>
            <wp:effectExtent l="0" t="0" r="0" b="0"/>
            <wp:docPr id="2" name="图片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2965" cy="395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napToGrid w:val="false"/>
        <w:spacing w:lineRule="auto" w:line="480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cs="Times New Roman" w:ascii="Times New Roman" w:hAnsi="Times New Roman"/>
          <w:color w:val="000000" w:themeColor="text1"/>
          <w:sz w:val="24"/>
        </w:rPr>
        <w:t>Fig. S3</w:t>
      </w:r>
    </w:p>
    <w:p>
      <w:pPr>
        <w:pStyle w:val="Normal"/>
        <w:snapToGrid w:val="false"/>
        <w:spacing w:lineRule="auto" w:line="480"/>
        <w:jc w:val="center"/>
        <w:rPr>
          <w:rFonts w:ascii="Times New Roman" w:hAnsi="Times New Roman" w:cs="Times New Roman"/>
          <w:color w:val="000000" w:themeColor="text1"/>
          <w:sz w:val="24"/>
        </w:rPr>
      </w:pPr>
      <w:r>
        <w:rPr/>
        <w:drawing>
          <wp:inline distT="0" distB="0" distL="0" distR="0">
            <wp:extent cx="3959860" cy="1855470"/>
            <wp:effectExtent l="0" t="0" r="0" b="0"/>
            <wp:docPr id="3" name="图片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860" cy="185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sectPr>
      <w:footerReference w:type="even" r:id="rId5"/>
      <w:footerReference w:type="default" r:id="rId6"/>
      <w:footerReference w:type="first" r:id="rId7"/>
      <w:type w:val="nextPage"/>
      <w:pgSz w:w="11906" w:h="16838"/>
      <w:pgMar w:left="1800" w:right="1800" w:gutter="0" w:header="0" w:top="1440" w:footer="992" w:bottom="1440"/>
      <w:lnNumType w:countBy="1" w:restart="continuous" w:distance="283"/>
      <w:pgNumType w:fmt="decimal"/>
      <w:formProt w:val="false"/>
      <w:textDirection w:val="lrTb"/>
      <w:docGrid w:type="lines" w:linePitch="312" w:charSpace="614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等线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509582110"/>
    </w:sdtPr>
    <w:sdtContent>
      <w:p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0</w:t>
        </w:r>
        <w:r>
          <w:rPr>
            <w:rStyle w:val="Pagenumber"/>
          </w:rPr>
          <w:fldChar w:fldCharType="end"/>
        </w:r>
      </w:p>
    </w:sdtContent>
  </w:sdt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2048460790"/>
    </w:sdtPr>
    <w:sdtContent>
      <w:p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3</w:t>
        </w:r>
        <w:r>
          <w:rPr>
            <w:rStyle w:val="Pagenumber"/>
          </w:rPr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050706968"/>
    </w:sdtPr>
    <w:sdtContent>
      <w:p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3</w:t>
        </w:r>
        <w:r>
          <w:rPr>
            <w:rStyle w:val="Pagenumber"/>
          </w:rPr>
          <w:fldChar w:fldCharType="end"/>
        </w:r>
      </w:p>
    </w:sdtContent>
  </w:sdt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54"/>
  <w:defaultTabStop w:val="420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等线" w:hAnsi="等线" w:eastAsia="等线" w:cs="" w:asciiTheme="minorHAnsi" w:cstheme="minorBidi" w:eastAsiaTheme="minorEastAsia" w:hAnsiTheme="minorHAnsi"/>
        <w:kern w:val="2"/>
        <w:sz w:val="21"/>
        <w:szCs w:val="24"/>
        <w:lang w:val="en-US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339a2"/>
    <w:pPr>
      <w:widowControl w:val="false"/>
      <w:bidi w:val="0"/>
      <w:spacing w:before="0" w:after="0"/>
      <w:jc w:val="both"/>
    </w:pPr>
    <w:rPr>
      <w:rFonts w:ascii="等线" w:hAnsi="等线" w:eastAsia="等线" w:cs="" w:asciiTheme="minorHAnsi" w:cstheme="minorBidi" w:eastAsiaTheme="minorEastAsia" w:hAnsiTheme="minorHAnsi"/>
      <w:color w:val="auto"/>
      <w:kern w:val="2"/>
      <w:sz w:val="21"/>
      <w:szCs w:val="24"/>
      <w:lang w:val="en-US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页脚 字符"/>
    <w:basedOn w:val="DefaultParagraphFont"/>
    <w:link w:val="Footer"/>
    <w:uiPriority w:val="99"/>
    <w:qFormat/>
    <w:rsid w:val="00b339a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qFormat/>
    <w:rsid w:val="00b339a2"/>
    <w:rPr/>
  </w:style>
  <w:style w:type="character" w:styleId="Linenumber">
    <w:name w:val="line number"/>
    <w:basedOn w:val="DefaultParagraphFont"/>
    <w:uiPriority w:val="99"/>
    <w:semiHidden/>
    <w:unhideWhenUsed/>
    <w:qFormat/>
    <w:rsid w:val="00b339a2"/>
    <w:rPr/>
  </w:style>
  <w:style w:type="character" w:styleId="LineNumbering">
    <w:name w:val="Line Number"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link w:val="Style14"/>
    <w:uiPriority w:val="99"/>
    <w:unhideWhenUsed/>
    <w:rsid w:val="00b339a2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LibreOffice/7.4.1.2$Windows_X86_64 LibreOffice_project/3c58a8f3a960df8bc8fd77b461821e42c061c5f0</Application>
  <AppVersion>15.0000</AppVersion>
  <Pages>3</Pages>
  <Words>174</Words>
  <Characters>944</Characters>
  <CharactersWithSpaces>1095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2023-02-14T06:42:00Z</dcterms:created>
  <dc:creator>王 彦</dc:creator>
  <dc:description/>
  <dc:language>en-IN</dc:language>
  <cp:lastModifiedBy/>
  <dcterms:modified xsi:type="dcterms:W3CDTF">2023-05-16T13:02:50Z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