
<file path=[Content_Types].xml><?xml version="1.0" encoding="utf-8"?>
<Types xmlns="http://schemas.openxmlformats.org/package/2006/content-types">
  <Default Extension="jpeg" ContentType="image/jpeg"/>
  <Default Extension="JPG" ContentType="image/.jp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rPr>
          <w:rFonts w:hint="eastAsia" w:ascii="Times New Roman" w:hAnsi="Times New Roman" w:cs="Times New Roman"/>
          <w:b/>
          <w:sz w:val="32"/>
          <w:szCs w:val="32"/>
        </w:rPr>
      </w:pPr>
      <w:r>
        <w:rPr>
          <w:rFonts w:ascii="Times New Roman" w:hAnsi="Times New Roman" w:cs="Times New Roman"/>
          <w:b/>
          <w:sz w:val="32"/>
          <w:szCs w:val="32"/>
        </w:rPr>
        <w:t>Supplementary Materials</w:t>
      </w: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GO Enrichment pathway associated with cellular component (A), and biological process (B).</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2</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The differentially expression of 10 plasma protein candidates among three groups.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3</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The differentially expression of 14 serum amino acids among three groups.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4</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The differentially expression of 15 bile acids among three groups.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5</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The differentia</w:t>
      </w:r>
      <w:r>
        <w:rPr>
          <w:rFonts w:hint="default" w:ascii="Times New Roman" w:hAnsi="Times New Roman" w:cs="Times New Roman"/>
          <w:sz w:val="24"/>
          <w:szCs w:val="24"/>
          <w:lang w:val="en-US"/>
        </w:rPr>
        <w:t>l</w:t>
      </w:r>
      <w:bookmarkStart w:id="4" w:name="_GoBack"/>
      <w:bookmarkEnd w:id="4"/>
      <w:r>
        <w:rPr>
          <w:rFonts w:hint="default" w:ascii="Times New Roman" w:hAnsi="Times New Roman" w:cs="Times New Roman"/>
          <w:sz w:val="24"/>
          <w:szCs w:val="24"/>
        </w:rPr>
        <w:t>ly expression of six classic tumor markers among three groups.</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6</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Proteins and am</w:t>
      </w:r>
      <w:r>
        <w:rPr>
          <w:rFonts w:hint="default" w:ascii="Times New Roman" w:hAnsi="Times New Roman" w:cs="Times New Roman"/>
          <w:sz w:val="24"/>
          <w:szCs w:val="24"/>
          <w:lang w:val="en-US"/>
        </w:rPr>
        <w:t>in</w:t>
      </w:r>
      <w:r>
        <w:rPr>
          <w:rFonts w:hint="default" w:ascii="Times New Roman" w:hAnsi="Times New Roman" w:cs="Times New Roman"/>
          <w:sz w:val="24"/>
          <w:szCs w:val="24"/>
        </w:rPr>
        <w:t>o acids related to NSCLC stage.</w:t>
      </w:r>
    </w:p>
    <w:p>
      <w:pPr>
        <w:rPr>
          <w:rFonts w:hint="default" w:ascii="Times New Roman" w:hAnsi="Times New Roman" w:cs="Times New Roman"/>
          <w:sz w:val="24"/>
          <w:szCs w:val="24"/>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7</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Single index with AUC&gt;0.7 for NSCLC screening.</w:t>
      </w:r>
    </w:p>
    <w:p>
      <w:pPr>
        <w:rPr>
          <w:rFonts w:hint="default" w:ascii="Times New Roman" w:hAnsi="Times New Roman" w:cs="Times New Roman"/>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8</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Single index with AUC&gt;0.7 in differentiating NSCLC and BPD.</w:t>
      </w:r>
    </w:p>
    <w:p>
      <w:pPr>
        <w:rPr>
          <w:rFonts w:hint="default" w:ascii="Times New Roman" w:hAnsi="Times New Roman" w:cs="Times New Roman"/>
        </w:rPr>
      </w:pP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9</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The process and the result of binary logistic regression with backward elimination methods.</w:t>
      </w:r>
    </w:p>
    <w:p>
      <w:pPr>
        <w:rPr>
          <w:rFonts w:hint="default" w:ascii="Times New Roman" w:hAnsi="Times New Roman" w:cs="Times New Roman"/>
          <w:sz w:val="24"/>
          <w:szCs w:val="24"/>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Screened differentially expressed proteins and corresponding validation proteins.</w:t>
      </w:r>
    </w:p>
    <w:p>
      <w:pPr>
        <w:rPr>
          <w:rFonts w:hint="default" w:ascii="Times New Roman" w:hAnsi="Times New Roman" w:cs="Times New Roman"/>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2</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Performance of single predictor in NSCLC screening.</w:t>
      </w:r>
    </w:p>
    <w:p>
      <w:pPr>
        <w:rPr>
          <w:rFonts w:hint="default" w:ascii="Times New Roman" w:hAnsi="Times New Roman" w:cs="Times New Roman"/>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3</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Performance of single predictor in NSCLC diagnosis.</w:t>
      </w:r>
    </w:p>
    <w:p>
      <w:pPr>
        <w:rPr>
          <w:rFonts w:hint="default" w:ascii="Times New Roman" w:hAnsi="Times New Roman" w:cs="Times New Roman"/>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4</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Screening model by stepwise binary logistic regression analysis in training samples.</w:t>
      </w:r>
    </w:p>
    <w:p>
      <w:pPr>
        <w:rPr>
          <w:rFonts w:hint="default" w:ascii="Times New Roman" w:hAnsi="Times New Roman" w:cs="Times New Roman"/>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5</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Performance analysis of 3 models in screening NSCLC.</w:t>
      </w:r>
    </w:p>
    <w:p>
      <w:pPr>
        <w:rPr>
          <w:rFonts w:hint="default" w:ascii="Times New Roman" w:hAnsi="Times New Roman" w:cs="Times New Roman"/>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6</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Testing of 3 models in screening NSCLC.</w:t>
      </w:r>
    </w:p>
    <w:p>
      <w:pPr>
        <w:rPr>
          <w:rFonts w:hint="default" w:ascii="Times New Roman" w:hAnsi="Times New Roman" w:cs="Times New Roman"/>
        </w:rPr>
      </w:pPr>
    </w:p>
    <w:p>
      <w:pPr>
        <w:pStyle w:val="2"/>
        <w:rPr>
          <w:rFonts w:hint="default" w:ascii="Times New Roman" w:hAnsi="Times New Roman" w:eastAsia="等线"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7</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Diagnosis model by stepwise binary logistic regression analysis in training samples.</w:t>
      </w: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8</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Performance analysis of 3 models in differentiating NSCLC and BPD.</w:t>
      </w:r>
    </w:p>
    <w:p>
      <w:pPr>
        <w:rPr>
          <w:rFonts w:hint="default" w:ascii="Times New Roman" w:hAnsi="Times New Roman" w:cs="Times New Roman"/>
        </w:rPr>
      </w:pP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9</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Testing of 3 models in differentiating NSCLC and BPD.</w:t>
      </w:r>
    </w:p>
    <w:p>
      <w:pPr>
        <w:rPr>
          <w:rFonts w:hint="default" w:ascii="Times New Roman" w:hAnsi="Times New Roman" w:cs="Times New Roman"/>
        </w:rPr>
      </w:pPr>
    </w:p>
    <w:p>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10</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The concentration units of these candidates.</w:t>
      </w:r>
    </w:p>
    <w:p>
      <w:pPr>
        <w:rPr>
          <w:rFonts w:hint="default" w:ascii="Times New Roman" w:hAnsi="Times New Roman" w:cs="Times New Roman"/>
        </w:rPr>
      </w:pPr>
    </w:p>
    <w:p>
      <w:pPr>
        <w:rPr>
          <w:rFonts w:hint="default" w:ascii="Times New Roman" w:hAnsi="Times New Roman" w:cs="Times New Roman"/>
        </w:rPr>
      </w:pPr>
    </w:p>
    <w:p/>
    <w:p/>
    <w:p/>
    <w:p/>
    <w:p/>
    <w:p/>
    <w:p/>
    <w:p/>
    <w:p/>
    <w:p/>
    <w:p/>
    <w:p/>
    <w:p/>
    <w:p/>
    <w:p/>
    <w:p/>
    <w:p/>
    <w:p/>
    <w:p/>
    <w:p/>
    <w:p/>
    <w:p/>
    <w:p/>
    <w:p/>
    <w:p/>
    <w:p/>
    <w:p>
      <w:pPr>
        <w:rPr>
          <w:rFonts w:hint="eastAsia"/>
        </w:rPr>
      </w:pPr>
    </w:p>
    <w:p>
      <w:pPr>
        <w:keepNext/>
      </w:pPr>
      <w:r>
        <w:drawing>
          <wp:inline distT="0" distB="0" distL="0" distR="0">
            <wp:extent cx="5274310" cy="177101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1771015"/>
                    </a:xfrm>
                    <a:prstGeom prst="rect">
                      <a:avLst/>
                    </a:prstGeom>
                    <a:noFill/>
                    <a:ln>
                      <a:noFill/>
                    </a:ln>
                  </pic:spPr>
                </pic:pic>
              </a:graphicData>
            </a:graphic>
          </wp:inline>
        </w:drawing>
      </w:r>
    </w:p>
    <w:p>
      <w:pPr>
        <w:rPr>
          <w:rFonts w:hint="default" w:ascii="Times New Roman" w:hAnsi="Times New Roman" w:cs="Times New Roman"/>
          <w:b w:val="0"/>
          <w:bCs w:val="0"/>
          <w:sz w:val="24"/>
          <w:szCs w:val="24"/>
        </w:rPr>
      </w:pPr>
      <w:r>
        <w:rPr>
          <w:rFonts w:hint="default" w:ascii="Times New Roman" w:hAnsi="Times New Roman" w:cs="Times New Roman"/>
          <w:b/>
          <w:bCs/>
          <w:sz w:val="24"/>
          <w:szCs w:val="24"/>
        </w:rPr>
        <w:t>Supplement</w:t>
      </w:r>
      <w:r>
        <w:rPr>
          <w:rFonts w:hint="eastAsia" w:ascii="Times New Roman" w:hAnsi="Times New Roman" w:cs="Times New Roman"/>
          <w:b/>
          <w:bCs/>
          <w:sz w:val="24"/>
          <w:szCs w:val="24"/>
        </w:rPr>
        <w:t>ary</w:t>
      </w:r>
      <w:r>
        <w:rPr>
          <w:rFonts w:hint="default" w:ascii="Times New Roman" w:hAnsi="Times New Roman" w:cs="Times New Roman"/>
          <w:b/>
          <w:bCs/>
          <w:sz w:val="24"/>
          <w:szCs w:val="24"/>
        </w:rPr>
        <w:t xml:space="preserve">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b w:val="0"/>
          <w:bCs w:val="0"/>
          <w:sz w:val="24"/>
          <w:szCs w:val="24"/>
        </w:rPr>
        <w:t>GO Enrichment pathway associated with cellular component (A), and biological process (B).</w:t>
      </w:r>
    </w:p>
    <w:p>
      <w:pPr>
        <w:rPr>
          <w:rFonts w:hint="default" w:ascii="Times New Roman" w:hAnsi="Times New Roman" w:cs="Times New Roman"/>
          <w:b/>
          <w:bCs/>
          <w:sz w:val="24"/>
          <w:szCs w:val="24"/>
        </w:rPr>
      </w:pPr>
    </w:p>
    <w:p/>
    <w:p>
      <w:pPr>
        <w:rPr>
          <w:sz w:val="24"/>
          <w:szCs w:val="24"/>
        </w:rPr>
      </w:pPr>
    </w:p>
    <w:p>
      <w:pPr>
        <w:rPr>
          <w:sz w:val="24"/>
          <w:szCs w:val="24"/>
        </w:rPr>
      </w:pPr>
    </w:p>
    <w:p>
      <w:pPr>
        <w:rPr>
          <w:sz w:val="24"/>
          <w:szCs w:val="24"/>
        </w:rPr>
      </w:pPr>
    </w:p>
    <w:p>
      <w:pPr>
        <w:keepNext/>
      </w:pPr>
      <w:r>
        <w:drawing>
          <wp:inline distT="0" distB="0" distL="0" distR="0">
            <wp:extent cx="5308600" cy="5746750"/>
            <wp:effectExtent l="0" t="0" r="635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
                    <a:srcRect r="-650" b="17735"/>
                    <a:stretch>
                      <a:fillRect/>
                    </a:stretch>
                  </pic:blipFill>
                  <pic:spPr>
                    <a:xfrm>
                      <a:off x="0" y="0"/>
                      <a:ext cx="5308600" cy="5746750"/>
                    </a:xfrm>
                    <a:prstGeom prst="rect">
                      <a:avLst/>
                    </a:prstGeom>
                    <a:ln>
                      <a:noFill/>
                    </a:ln>
                  </pic:spPr>
                </pic:pic>
              </a:graphicData>
            </a:graphic>
          </wp:inline>
        </w:drawing>
      </w:r>
    </w:p>
    <w:p>
      <w:pPr>
        <w:rPr>
          <w:rFonts w:hint="default" w:ascii="Times New Roman" w:hAnsi="Times New Roman" w:cs="Times New Roman"/>
          <w:b w:val="0"/>
          <w:bCs w:val="0"/>
          <w:sz w:val="24"/>
          <w:szCs w:val="24"/>
        </w:rPr>
      </w:pPr>
      <w:r>
        <w:rPr>
          <w:rFonts w:hint="default" w:ascii="Times New Roman" w:hAnsi="Times New Roman" w:cs="Times New Roman"/>
          <w:b/>
          <w:bCs/>
          <w:sz w:val="24"/>
          <w:szCs w:val="24"/>
        </w:rPr>
        <w:t>Supplement</w:t>
      </w:r>
      <w:r>
        <w:rPr>
          <w:rFonts w:hint="eastAsia" w:ascii="Times New Roman" w:hAnsi="Times New Roman" w:cs="Times New Roman"/>
          <w:b/>
          <w:bCs/>
          <w:sz w:val="24"/>
          <w:szCs w:val="24"/>
        </w:rPr>
        <w:t>ary</w:t>
      </w:r>
      <w:r>
        <w:rPr>
          <w:rFonts w:hint="default" w:ascii="Times New Roman" w:hAnsi="Times New Roman" w:cs="Times New Roman"/>
          <w:b/>
          <w:bCs/>
          <w:sz w:val="24"/>
          <w:szCs w:val="24"/>
        </w:rPr>
        <w:t xml:space="preserve">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2</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b w:val="0"/>
          <w:bCs w:val="0"/>
          <w:sz w:val="24"/>
          <w:szCs w:val="24"/>
        </w:rPr>
        <w:t>The differentially expression of 10 plasma protein candidates among three groups. NSCLC vs HC, the plasma level of ApoA1, ApoA2, and FN in the NSCLC group was decreased, while the level of ApoB, C1INH, C3, C4, and Fg was increase</w:t>
      </w:r>
      <w:r>
        <w:rPr>
          <w:rFonts w:hint="eastAsia" w:ascii="Times New Roman" w:hAnsi="Times New Roman" w:cs="Times New Roman"/>
          <w:b w:val="0"/>
          <w:bCs w:val="0"/>
          <w:sz w:val="24"/>
          <w:szCs w:val="24"/>
        </w:rPr>
        <w:t>d, and the difference in plasma ApoC3 concentrations had no statistical significance. NSCLC vs BPD, plasma Fg levels in the NSCLC group was significantly low, while the levels of ApoA1, ApoA2, ApoB, ApoC3, C3, FN, and Lp(a) were high. ns, no significance, *, P&lt;0.05, **, P&lt;0.01, ***, P&lt;0.001, ****, P&lt;0.0001.</w:t>
      </w:r>
    </w:p>
    <w:p>
      <w:pPr>
        <w:rPr>
          <w:rFonts w:hint="default" w:ascii="Times New Roman" w:hAnsi="Times New Roman" w:cs="Times New Roman"/>
          <w:b/>
          <w:bCs/>
          <w:sz w:val="24"/>
          <w:szCs w:val="24"/>
        </w:rPr>
      </w:pPr>
    </w:p>
    <w:p/>
    <w:p>
      <w:pPr>
        <w:keepNext/>
      </w:pPr>
      <w:r>
        <w:drawing>
          <wp:inline distT="0" distB="0" distL="0" distR="0">
            <wp:extent cx="5274310" cy="6985635"/>
            <wp:effectExtent l="0" t="0" r="254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
                    <a:stretch>
                      <a:fillRect/>
                    </a:stretch>
                  </pic:blipFill>
                  <pic:spPr>
                    <a:xfrm>
                      <a:off x="0" y="0"/>
                      <a:ext cx="5274310" cy="6985635"/>
                    </a:xfrm>
                    <a:prstGeom prst="rect">
                      <a:avLst/>
                    </a:prstGeom>
                  </pic:spPr>
                </pic:pic>
              </a:graphicData>
            </a:graphic>
          </wp:inline>
        </w:drawing>
      </w:r>
    </w:p>
    <w:p>
      <w:pPr>
        <w:pStyle w:val="2"/>
        <w:rPr>
          <w:rFonts w:ascii="Times New Roman" w:hAnsi="Times New Roman"/>
          <w:sz w:val="24"/>
          <w:szCs w:val="24"/>
        </w:rPr>
      </w:pPr>
      <w:r>
        <w:rPr>
          <w:rFonts w:ascii="Times New Roman" w:hAnsi="Times New Roman"/>
          <w:b/>
          <w:bCs/>
          <w:sz w:val="24"/>
          <w:szCs w:val="24"/>
        </w:rPr>
        <w:t>Supplement</w:t>
      </w:r>
      <w:r>
        <w:rPr>
          <w:rFonts w:hint="eastAsia" w:ascii="Times New Roman" w:hAnsi="Times New Roman"/>
          <w:b/>
          <w:bCs/>
          <w:sz w:val="24"/>
          <w:szCs w:val="24"/>
        </w:rPr>
        <w:t>ary</w:t>
      </w:r>
      <w:r>
        <w:rPr>
          <w:rFonts w:ascii="Times New Roman" w:hAnsi="Times New Roman"/>
          <w:b/>
          <w:bCs/>
          <w:sz w:val="24"/>
          <w:szCs w:val="24"/>
        </w:rPr>
        <w:t xml:space="preserve"> Figure </w:t>
      </w:r>
      <w:r>
        <w:rPr>
          <w:rFonts w:ascii="Times New Roman" w:hAnsi="Times New Roman"/>
          <w:b/>
          <w:bCs/>
          <w:sz w:val="24"/>
          <w:szCs w:val="24"/>
        </w:rPr>
        <w:fldChar w:fldCharType="begin"/>
      </w:r>
      <w:r>
        <w:rPr>
          <w:rFonts w:ascii="Times New Roman" w:hAnsi="Times New Roman"/>
          <w:b/>
          <w:bCs/>
          <w:sz w:val="24"/>
          <w:szCs w:val="24"/>
        </w:rPr>
        <w:instrText xml:space="preserve"> SEQ Supplement_Figure \* ARABIC </w:instrText>
      </w:r>
      <w:r>
        <w:rPr>
          <w:rFonts w:ascii="Times New Roman" w:hAnsi="Times New Roman"/>
          <w:b/>
          <w:bCs/>
          <w:sz w:val="24"/>
          <w:szCs w:val="24"/>
        </w:rPr>
        <w:fldChar w:fldCharType="separate"/>
      </w:r>
      <w:r>
        <w:rPr>
          <w:rFonts w:ascii="Times New Roman" w:hAnsi="Times New Roman"/>
          <w:b/>
          <w:bCs/>
          <w:sz w:val="24"/>
          <w:szCs w:val="24"/>
        </w:rPr>
        <w:t>3</w:t>
      </w:r>
      <w:r>
        <w:rPr>
          <w:rFonts w:ascii="Times New Roman" w:hAnsi="Times New Roman"/>
          <w:b/>
          <w:bCs/>
          <w:sz w:val="24"/>
          <w:szCs w:val="24"/>
        </w:rPr>
        <w:fldChar w:fldCharType="end"/>
      </w:r>
      <w:r>
        <w:rPr>
          <w:rFonts w:ascii="Times New Roman" w:hAnsi="Times New Roman"/>
          <w:b/>
          <w:bCs/>
          <w:sz w:val="24"/>
          <w:szCs w:val="24"/>
        </w:rPr>
        <w:t xml:space="preserve">: </w:t>
      </w:r>
      <w:r>
        <w:rPr>
          <w:rFonts w:ascii="Times New Roman" w:hAnsi="Times New Roman"/>
          <w:sz w:val="24"/>
          <w:szCs w:val="24"/>
        </w:rPr>
        <w:t xml:space="preserve">The differentially expression of 14 serum amino acids among three groups. NSCLC vs HC, the serum His, Lys, Tyr level in the NSCLC group was decreased, and the Gly, Val, Cit, Orn levels increased, while the other serum amino acid </w:t>
      </w:r>
      <w:r>
        <w:rPr>
          <w:rFonts w:hint="eastAsia" w:ascii="Times New Roman" w:hAnsi="Times New Roman"/>
          <w:sz w:val="24"/>
          <w:szCs w:val="24"/>
        </w:rPr>
        <w:t xml:space="preserve">concentrations were not significantly different. NSCLC vs BPD, the serum levels of Ala, His, Val, and Cit in the NSCLC group were all increased. ns, no significance, *, </w:t>
      </w:r>
      <w:r>
        <w:rPr>
          <w:rFonts w:hint="eastAsia" w:ascii="Times New Roman" w:hAnsi="Times New Roman"/>
          <w:i/>
          <w:iCs/>
          <w:sz w:val="24"/>
          <w:szCs w:val="24"/>
        </w:rPr>
        <w:t>P</w:t>
      </w:r>
      <w:r>
        <w:rPr>
          <w:rFonts w:hint="eastAsia" w:ascii="Times New Roman" w:hAnsi="Times New Roman"/>
          <w:sz w:val="24"/>
          <w:szCs w:val="24"/>
        </w:rPr>
        <w:t xml:space="preserve">&lt;0.05, **, </w:t>
      </w:r>
      <w:r>
        <w:rPr>
          <w:rFonts w:hint="eastAsia" w:ascii="Times New Roman" w:hAnsi="Times New Roman"/>
          <w:i/>
          <w:iCs/>
          <w:sz w:val="24"/>
          <w:szCs w:val="24"/>
        </w:rPr>
        <w:t>P</w:t>
      </w:r>
      <w:r>
        <w:rPr>
          <w:rFonts w:hint="eastAsia" w:ascii="Times New Roman" w:hAnsi="Times New Roman"/>
          <w:sz w:val="24"/>
          <w:szCs w:val="24"/>
        </w:rPr>
        <w:t xml:space="preserve">&lt;0.01, ***, </w:t>
      </w:r>
      <w:r>
        <w:rPr>
          <w:rFonts w:hint="eastAsia" w:ascii="Times New Roman" w:hAnsi="Times New Roman"/>
          <w:i/>
          <w:iCs/>
          <w:sz w:val="24"/>
          <w:szCs w:val="24"/>
        </w:rPr>
        <w:t>P</w:t>
      </w:r>
      <w:r>
        <w:rPr>
          <w:rFonts w:hint="eastAsia" w:ascii="Times New Roman" w:hAnsi="Times New Roman"/>
          <w:sz w:val="24"/>
          <w:szCs w:val="24"/>
        </w:rPr>
        <w:t xml:space="preserve">&lt;0.001, ****, </w:t>
      </w:r>
      <w:r>
        <w:rPr>
          <w:rFonts w:hint="eastAsia" w:ascii="Times New Roman" w:hAnsi="Times New Roman"/>
          <w:i/>
          <w:iCs/>
          <w:sz w:val="24"/>
          <w:szCs w:val="24"/>
        </w:rPr>
        <w:t>P</w:t>
      </w:r>
      <w:r>
        <w:rPr>
          <w:rFonts w:hint="eastAsia" w:ascii="Times New Roman" w:hAnsi="Times New Roman"/>
          <w:sz w:val="24"/>
          <w:szCs w:val="24"/>
        </w:rPr>
        <w:t>&lt;0.0001.</w:t>
      </w:r>
    </w:p>
    <w:p/>
    <w:p>
      <w:pPr>
        <w:keepNext/>
      </w:pPr>
      <w:r>
        <w:drawing>
          <wp:inline distT="0" distB="0" distL="0" distR="0">
            <wp:extent cx="5274310" cy="731583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74310" cy="7315835"/>
                    </a:xfrm>
                    <a:prstGeom prst="rect">
                      <a:avLst/>
                    </a:prstGeom>
                  </pic:spPr>
                </pic:pic>
              </a:graphicData>
            </a:graphic>
          </wp:inline>
        </w:drawing>
      </w: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4</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The differentially expression of 15 bile acids among three groups. NSCLC vs HC, the serum DCA, LCA, UDCA, GLCA, and TDCA levels in the NSCLC group was significantly reduced, and the levels of CA and GCDCA were increased. NSCLC vs BPD, the serum TCDCA levels of the NSCLC group decreased, whereas the levels of CA, CDCA, DCA, UDCA, GDCA, GLCA, GUDCA, TDCA, and TLCA increased. ns, no significance,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&lt;0.05,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&lt;0.01,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&lt;0.001, ****, </w:t>
      </w:r>
      <w:r>
        <w:rPr>
          <w:rFonts w:hint="default" w:ascii="Times New Roman" w:hAnsi="Times New Roman" w:cs="Times New Roman"/>
          <w:i/>
          <w:iCs/>
          <w:sz w:val="24"/>
          <w:szCs w:val="24"/>
        </w:rPr>
        <w:t>P</w:t>
      </w:r>
      <w:r>
        <w:rPr>
          <w:rFonts w:hint="default" w:ascii="Times New Roman" w:hAnsi="Times New Roman" w:cs="Times New Roman"/>
          <w:sz w:val="24"/>
          <w:szCs w:val="24"/>
        </w:rPr>
        <w:t>&lt;0.0001.</w:t>
      </w:r>
    </w:p>
    <w:p>
      <w:pPr>
        <w:keepNext/>
      </w:pPr>
      <w:r>
        <w:rPr>
          <w:sz w:val="24"/>
          <w:szCs w:val="24"/>
        </w:rPr>
        <w:drawing>
          <wp:inline distT="0" distB="0" distL="0" distR="0">
            <wp:extent cx="5274310" cy="29813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5274310" cy="2981325"/>
                    </a:xfrm>
                    <a:prstGeom prst="rect">
                      <a:avLst/>
                    </a:prstGeom>
                  </pic:spPr>
                </pic:pic>
              </a:graphicData>
            </a:graphic>
          </wp:inline>
        </w:drawing>
      </w: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5</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 xml:space="preserve">The differentially expression of six classic tumor markers among three groups. NSCLC vs HC, the serum CA125 levels in the NSCLC group was reduced, and the levels of CA199, CEA and CYFRA211 were increased. NSCLC vs BPD, the serum CEA and NSE levels of the NSCLC group increased. ns, no significance,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&lt;0.05,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&lt;0.01,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&lt;0.001, ****, </w:t>
      </w:r>
      <w:r>
        <w:rPr>
          <w:rFonts w:hint="default" w:ascii="Times New Roman" w:hAnsi="Times New Roman" w:cs="Times New Roman"/>
          <w:i/>
          <w:iCs/>
          <w:sz w:val="24"/>
          <w:szCs w:val="24"/>
        </w:rPr>
        <w:t>P</w:t>
      </w:r>
      <w:r>
        <w:rPr>
          <w:rFonts w:hint="default" w:ascii="Times New Roman" w:hAnsi="Times New Roman" w:cs="Times New Roman"/>
          <w:sz w:val="24"/>
          <w:szCs w:val="24"/>
        </w:rPr>
        <w:t>&lt;0.0001.</w:t>
      </w:r>
    </w:p>
    <w:p>
      <w:pPr>
        <w:keepNext/>
      </w:pPr>
      <w:r>
        <w:drawing>
          <wp:inline distT="0" distB="0" distL="0" distR="0">
            <wp:extent cx="5274310" cy="7459345"/>
            <wp:effectExtent l="0" t="0" r="254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a:stretch>
                      <a:fillRect/>
                    </a:stretch>
                  </pic:blipFill>
                  <pic:spPr>
                    <a:xfrm>
                      <a:off x="0" y="0"/>
                      <a:ext cx="5274310" cy="7459345"/>
                    </a:xfrm>
                    <a:prstGeom prst="rect">
                      <a:avLst/>
                    </a:prstGeom>
                  </pic:spPr>
                </pic:pic>
              </a:graphicData>
            </a:graphic>
          </wp:inline>
        </w:drawing>
      </w:r>
    </w:p>
    <w:p>
      <w:pPr>
        <w:pStyle w:val="2"/>
        <w:rPr>
          <w:rFonts w:hint="default" w:ascii="Times New Roman" w:hAnsi="Times New Roman" w:cs="Times New Roman" w:eastAsiaTheme="minorEastAsia"/>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6</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Proteins and amnio acids related to NSCLC stage. NSCLC patients were divided into 67 cases in the early stage (stage I to II) and 41 cases in the middle and late stage (stage III to IV). A.</w:t>
      </w:r>
      <w:r>
        <w:rPr>
          <w:rFonts w:hint="default" w:ascii="Times New Roman" w:hAnsi="Times New Roman" w:cs="Times New Roman"/>
          <w:sz w:val="24"/>
          <w:szCs w:val="24"/>
        </w:rPr>
        <w:t xml:space="preserve"> Plasma ApoA1 and ApoA2 levels gradually decreased with the progression of the disease; C1INH, C3, C4, and Fg gradually increased with the progression of the disease. There was no significant difference between the remaining proteins in the early and middle and late stages of NSCLC. ns, no significance,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&lt;0.05,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&lt;0.01,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&lt;0.001, ****,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&lt;0.0001. </w:t>
      </w:r>
      <w:r>
        <w:rPr>
          <w:rFonts w:hint="default" w:ascii="Times New Roman" w:hAnsi="Times New Roman" w:cs="Times New Roman"/>
          <w:b/>
          <w:bCs/>
          <w:sz w:val="24"/>
          <w:szCs w:val="24"/>
        </w:rPr>
        <w:t>B.</w:t>
      </w:r>
      <w:r>
        <w:rPr>
          <w:rFonts w:hint="default" w:ascii="Times New Roman" w:hAnsi="Times New Roman" w:cs="Times New Roman"/>
          <w:sz w:val="24"/>
          <w:szCs w:val="24"/>
        </w:rPr>
        <w:t xml:space="preserve"> Serum levels of Ala, Glu, Lys, Pro, Val, and Cit gradually decreased with the progression of the disease (</w:t>
      </w:r>
      <w:r>
        <w:rPr>
          <w:rFonts w:hint="default" w:ascii="Times New Roman" w:hAnsi="Times New Roman" w:cs="Times New Roman"/>
          <w:i/>
          <w:iCs/>
          <w:sz w:val="24"/>
          <w:szCs w:val="24"/>
        </w:rPr>
        <w:t>P</w:t>
      </w:r>
      <w:r>
        <w:rPr>
          <w:rFonts w:hint="default" w:ascii="Times New Roman" w:hAnsi="Times New Roman" w:cs="Times New Roman"/>
          <w:sz w:val="24"/>
          <w:szCs w:val="24"/>
        </w:rPr>
        <w:t>&lt;0.05). The remaining small molecule metabolites had no significant difference in the early and middle and late stages of NSCLC.</w:t>
      </w:r>
    </w:p>
    <w:p>
      <w:pPr>
        <w:pStyle w:val="2"/>
      </w:pPr>
    </w:p>
    <w:p>
      <w:pPr>
        <w:pStyle w:val="2"/>
        <w:rPr>
          <w:sz w:val="24"/>
          <w:szCs w:val="24"/>
        </w:rPr>
      </w:pPr>
    </w:p>
    <w:p/>
    <w:p/>
    <w:p>
      <w:pPr>
        <w:pStyle w:val="2"/>
      </w:pPr>
    </w:p>
    <w:p/>
    <w:p/>
    <w:p/>
    <w:p/>
    <w:p/>
    <w:p/>
    <w:p/>
    <w:p/>
    <w:p/>
    <w:p/>
    <w:p/>
    <w:p/>
    <w:p/>
    <w:p/>
    <w:p/>
    <w:p/>
    <w:p/>
    <w:p/>
    <w:p/>
    <w:p/>
    <w:p/>
    <w:p/>
    <w:p/>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keepNext/>
      </w:pPr>
      <w:r>
        <w:drawing>
          <wp:inline distT="0" distB="0" distL="0" distR="0">
            <wp:extent cx="5003800" cy="43116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003800" cy="4311650"/>
                    </a:xfrm>
                    <a:prstGeom prst="rect">
                      <a:avLst/>
                    </a:prstGeom>
                    <a:noFill/>
                    <a:ln>
                      <a:noFill/>
                    </a:ln>
                  </pic:spPr>
                </pic:pic>
              </a:graphicData>
            </a:graphic>
          </wp:inline>
        </w:drawing>
      </w: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7</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Single index with AUC&gt;0.7 for NSCLC screening.</w:t>
      </w:r>
    </w:p>
    <w:p>
      <w:pPr>
        <w:keepNext/>
      </w:pPr>
      <w:r>
        <w:drawing>
          <wp:inline distT="0" distB="0" distL="0" distR="0">
            <wp:extent cx="5048250" cy="43116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048250" cy="4311650"/>
                    </a:xfrm>
                    <a:prstGeom prst="rect">
                      <a:avLst/>
                    </a:prstGeom>
                    <a:noFill/>
                    <a:ln>
                      <a:noFill/>
                    </a:ln>
                  </pic:spPr>
                </pic:pic>
              </a:graphicData>
            </a:graphic>
          </wp:inline>
        </w:drawing>
      </w:r>
    </w:p>
    <w:p>
      <w:pPr>
        <w:pStyle w:val="2"/>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8</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Single index with AUC&gt;0.7 in differentiating NSCLC and BPD.</w:t>
      </w:r>
    </w:p>
    <w:p>
      <w:pPr>
        <w:rPr>
          <w:rFonts w:hint="default" w:ascii="Times New Roman" w:hAnsi="Times New Roman" w:cs="Times New Roman"/>
        </w:rPr>
      </w:pPr>
    </w:p>
    <w:p/>
    <w:p/>
    <w:p/>
    <w:p/>
    <w:p/>
    <w:p/>
    <w:p>
      <w:pPr>
        <w:pStyle w:val="2"/>
        <w:keepNext/>
      </w:pPr>
      <w:r>
        <w:rPr>
          <w:rFonts w:eastAsiaTheme="minorEastAsia"/>
        </w:rPr>
        <w:drawing>
          <wp:inline distT="0" distB="0" distL="0" distR="0">
            <wp:extent cx="5274310" cy="7459345"/>
            <wp:effectExtent l="0" t="0" r="254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2"/>
                    <a:stretch>
                      <a:fillRect/>
                    </a:stretch>
                  </pic:blipFill>
                  <pic:spPr>
                    <a:xfrm>
                      <a:off x="0" y="0"/>
                      <a:ext cx="5274310" cy="7459345"/>
                    </a:xfrm>
                    <a:prstGeom prst="rect">
                      <a:avLst/>
                    </a:prstGeom>
                  </pic:spPr>
                </pic:pic>
              </a:graphicData>
            </a:graphic>
          </wp:inline>
        </w:drawing>
      </w:r>
    </w:p>
    <w:p>
      <w:pPr>
        <w:pStyle w:val="2"/>
        <w:rPr>
          <w:rFonts w:hint="default" w:ascii="Times New Roman" w:hAnsi="Times New Roman" w:cs="Times New Roman" w:eastAsiaTheme="minorEastAsia"/>
          <w:sz w:val="24"/>
          <w:szCs w:val="24"/>
        </w:rPr>
      </w:pPr>
      <w:r>
        <w:rPr>
          <w:rFonts w:hint="default" w:ascii="Times New Roman" w:hAnsi="Times New Roman" w:cs="Times New Roman"/>
          <w:b/>
          <w:bCs/>
          <w:sz w:val="24"/>
          <w:szCs w:val="24"/>
        </w:rPr>
        <w:t xml:space="preserve">Supplementary Figure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Supplement_Figure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9</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The process and the result of binary logistic regression with backward elimination methods. A. </w:t>
      </w:r>
      <w:r>
        <w:rPr>
          <w:rFonts w:hint="default" w:ascii="Times New Roman" w:hAnsi="Times New Roman" w:cs="Times New Roman"/>
          <w:sz w:val="24"/>
          <w:szCs w:val="24"/>
        </w:rPr>
        <w:t xml:space="preserve">The flow chart of backward elimination method. B. The line graph of the change in the AUC of the screening model obtained using the backward elimination method, in total of 12 steps. </w:t>
      </w:r>
      <w:r>
        <w:rPr>
          <w:rFonts w:hint="default" w:ascii="Times New Roman" w:hAnsi="Times New Roman" w:cs="Times New Roman"/>
          <w:b/>
          <w:bCs/>
          <w:sz w:val="24"/>
          <w:szCs w:val="24"/>
        </w:rPr>
        <w:t>C.</w:t>
      </w:r>
      <w:r>
        <w:rPr>
          <w:rFonts w:hint="default" w:ascii="Times New Roman" w:hAnsi="Times New Roman" w:cs="Times New Roman"/>
          <w:sz w:val="24"/>
          <w:szCs w:val="24"/>
        </w:rPr>
        <w:t xml:space="preserve"> The line graph of the change in the Youden Index of the screening model.</w:t>
      </w:r>
      <w:r>
        <w:rPr>
          <w:rFonts w:hint="default" w:ascii="Times New Roman" w:hAnsi="Times New Roman" w:cs="Times New Roman"/>
          <w:b/>
          <w:bCs/>
          <w:sz w:val="24"/>
          <w:szCs w:val="24"/>
        </w:rPr>
        <w:t xml:space="preserve"> D. </w:t>
      </w:r>
      <w:r>
        <w:rPr>
          <w:rFonts w:hint="default" w:ascii="Times New Roman" w:hAnsi="Times New Roman" w:cs="Times New Roman"/>
          <w:sz w:val="24"/>
          <w:szCs w:val="24"/>
        </w:rPr>
        <w:t xml:space="preserve">The line graph of the change in the AUC of the diagnostic model obtained using the backward elimination method, in total of 17 steps. </w:t>
      </w:r>
      <w:r>
        <w:rPr>
          <w:rFonts w:hint="default" w:ascii="Times New Roman" w:hAnsi="Times New Roman" w:cs="Times New Roman"/>
          <w:b/>
          <w:bCs/>
          <w:sz w:val="24"/>
          <w:szCs w:val="24"/>
        </w:rPr>
        <w:t>E.</w:t>
      </w:r>
      <w:r>
        <w:rPr>
          <w:rFonts w:hint="default" w:ascii="Times New Roman" w:hAnsi="Times New Roman" w:cs="Times New Roman"/>
          <w:sz w:val="24"/>
          <w:szCs w:val="24"/>
        </w:rPr>
        <w:t xml:space="preserve"> The line graph of the change in the Youden Index of the diagnostic model.</w:t>
      </w:r>
    </w:p>
    <w:p>
      <w:pPr>
        <w:pStyle w:val="2"/>
        <w:rPr>
          <w:rFonts w:hint="default" w:ascii="Times New Roman" w:hAnsi="Times New Roman" w:cs="Times New Roman"/>
        </w:rPr>
      </w:pPr>
    </w:p>
    <w:p/>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Screened differentially expressed proteins and corresponding validation proteins.</w:t>
      </w:r>
    </w:p>
    <w:tbl>
      <w:tblPr>
        <w:tblStyle w:val="6"/>
        <w:tblW w:w="91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276"/>
        <w:gridCol w:w="992"/>
        <w:gridCol w:w="992"/>
        <w:gridCol w:w="884"/>
        <w:gridCol w:w="1134"/>
        <w:gridCol w:w="959"/>
        <w:gridCol w:w="709"/>
        <w:gridCol w:w="3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993" w:type="dxa"/>
            <w:tcBorders>
              <w:left w:val="nil"/>
              <w:bottom w:val="single" w:color="auto" w:sz="4" w:space="0"/>
              <w:right w:val="nil"/>
            </w:tcBorders>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Protein</w:t>
            </w:r>
          </w:p>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ID</w:t>
            </w:r>
          </w:p>
        </w:tc>
        <w:tc>
          <w:tcPr>
            <w:tcW w:w="1276" w:type="dxa"/>
            <w:tcBorders>
              <w:left w:val="nil"/>
              <w:bottom w:val="single" w:color="auto" w:sz="4" w:space="0"/>
              <w:right w:val="nil"/>
            </w:tcBorders>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Gene symbol</w:t>
            </w:r>
          </w:p>
        </w:tc>
        <w:tc>
          <w:tcPr>
            <w:tcW w:w="992" w:type="dxa"/>
            <w:tcBorders>
              <w:left w:val="nil"/>
              <w:bottom w:val="single" w:color="auto" w:sz="4" w:space="0"/>
              <w:right w:val="nil"/>
            </w:tcBorders>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Protein name</w:t>
            </w:r>
          </w:p>
        </w:tc>
        <w:tc>
          <w:tcPr>
            <w:tcW w:w="992" w:type="dxa"/>
            <w:tcBorders>
              <w:left w:val="nil"/>
              <w:bottom w:val="single" w:color="auto" w:sz="4" w:space="0"/>
              <w:right w:val="nil"/>
            </w:tcBorders>
          </w:tcPr>
          <w:p>
            <w:pPr>
              <w:jc w:val="center"/>
              <w:rPr>
                <w:rFonts w:ascii="Times New Roman" w:hAnsi="Times New Roman" w:eastAsia="宋体" w:cs="Times New Roman"/>
                <w:kern w:val="0"/>
                <w:sz w:val="20"/>
                <w:szCs w:val="21"/>
                <w:vertAlign w:val="superscript"/>
              </w:rPr>
            </w:pPr>
            <w:r>
              <w:rPr>
                <w:rFonts w:ascii="Times New Roman" w:hAnsi="Times New Roman" w:eastAsia="宋体" w:cs="Times New Roman"/>
                <w:kern w:val="0"/>
                <w:sz w:val="20"/>
                <w:szCs w:val="21"/>
              </w:rPr>
              <w:t>Biology process</w:t>
            </w:r>
          </w:p>
        </w:tc>
        <w:tc>
          <w:tcPr>
            <w:tcW w:w="884" w:type="dxa"/>
            <w:tcBorders>
              <w:left w:val="nil"/>
              <w:bottom w:val="single" w:color="auto" w:sz="4" w:space="0"/>
              <w:right w:val="nil"/>
            </w:tcBorders>
          </w:tcPr>
          <w:p>
            <w:pPr>
              <w:ind w:firstLine="200" w:firstLineChars="100"/>
              <w:jc w:val="center"/>
              <w:rPr>
                <w:rFonts w:ascii="Times New Roman" w:hAnsi="Times New Roman" w:eastAsia="宋体" w:cs="Times New Roman"/>
                <w:kern w:val="0"/>
                <w:sz w:val="20"/>
                <w:szCs w:val="21"/>
                <w:vertAlign w:val="superscript"/>
              </w:rPr>
            </w:pPr>
            <w:r>
              <w:rPr>
                <w:rFonts w:ascii="Times New Roman" w:hAnsi="Times New Roman" w:eastAsia="宋体" w:cs="Times New Roman"/>
                <w:kern w:val="0"/>
                <w:sz w:val="20"/>
                <w:szCs w:val="21"/>
              </w:rPr>
              <w:t>Cell component</w:t>
            </w:r>
            <w:r>
              <w:rPr>
                <w:rFonts w:ascii="Times New Roman" w:hAnsi="Times New Roman" w:eastAsia="宋体" w:cs="Times New Roman"/>
                <w:kern w:val="0"/>
                <w:sz w:val="20"/>
                <w:szCs w:val="21"/>
                <w:vertAlign w:val="superscript"/>
              </w:rPr>
              <w:t>b</w:t>
            </w:r>
          </w:p>
        </w:tc>
        <w:tc>
          <w:tcPr>
            <w:tcW w:w="1134" w:type="dxa"/>
            <w:tcBorders>
              <w:left w:val="nil"/>
              <w:bottom w:val="single" w:color="auto" w:sz="4" w:space="0"/>
              <w:right w:val="nil"/>
            </w:tcBorders>
          </w:tcPr>
          <w:p>
            <w:pPr>
              <w:jc w:val="center"/>
              <w:rPr>
                <w:rFonts w:ascii="Times New Roman" w:hAnsi="Times New Roman" w:eastAsia="宋体" w:cs="Times New Roman"/>
                <w:kern w:val="0"/>
                <w:sz w:val="20"/>
                <w:szCs w:val="21"/>
                <w:vertAlign w:val="superscript"/>
              </w:rPr>
            </w:pPr>
            <w:r>
              <w:rPr>
                <w:rFonts w:ascii="Times New Roman" w:hAnsi="Times New Roman" w:eastAsia="宋体" w:cs="Times New Roman"/>
                <w:kern w:val="0"/>
                <w:sz w:val="20"/>
                <w:szCs w:val="21"/>
              </w:rPr>
              <w:t>Molecular function</w:t>
            </w:r>
            <w:r>
              <w:rPr>
                <w:rFonts w:ascii="Times New Roman" w:hAnsi="Times New Roman" w:eastAsia="宋体" w:cs="Times New Roman"/>
                <w:kern w:val="0"/>
                <w:sz w:val="20"/>
                <w:szCs w:val="21"/>
                <w:vertAlign w:val="superscript"/>
              </w:rPr>
              <w:t>c</w:t>
            </w:r>
          </w:p>
        </w:tc>
        <w:tc>
          <w:tcPr>
            <w:tcW w:w="959" w:type="dxa"/>
            <w:tcBorders>
              <w:left w:val="nil"/>
              <w:bottom w:val="single" w:color="auto" w:sz="4" w:space="0"/>
              <w:right w:val="nil"/>
            </w:tcBorders>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KEGG</w:t>
            </w:r>
          </w:p>
          <w:p>
            <w:pPr>
              <w:jc w:val="center"/>
              <w:rPr>
                <w:rFonts w:ascii="Times New Roman" w:hAnsi="Times New Roman" w:eastAsia="宋体" w:cs="Times New Roman"/>
                <w:kern w:val="0"/>
                <w:sz w:val="20"/>
                <w:szCs w:val="21"/>
                <w:vertAlign w:val="superscript"/>
              </w:rPr>
            </w:pPr>
            <w:r>
              <w:rPr>
                <w:rFonts w:ascii="Times New Roman" w:hAnsi="Times New Roman" w:eastAsia="宋体" w:cs="Times New Roman"/>
                <w:kern w:val="0"/>
                <w:sz w:val="20"/>
                <w:szCs w:val="21"/>
              </w:rPr>
              <w:t>pathway</w:t>
            </w:r>
            <w:r>
              <w:rPr>
                <w:rFonts w:ascii="Times New Roman" w:hAnsi="Times New Roman" w:eastAsia="宋体" w:cs="Times New Roman"/>
                <w:kern w:val="0"/>
                <w:sz w:val="20"/>
                <w:szCs w:val="21"/>
                <w:vertAlign w:val="superscript"/>
              </w:rPr>
              <w:t>d</w:t>
            </w:r>
          </w:p>
        </w:tc>
        <w:tc>
          <w:tcPr>
            <w:tcW w:w="742" w:type="dxa"/>
            <w:gridSpan w:val="2"/>
            <w:tcBorders>
              <w:left w:val="nil"/>
              <w:bottom w:val="single" w:color="auto" w:sz="4" w:space="0"/>
              <w:right w:val="nil"/>
            </w:tcBorders>
          </w:tcPr>
          <w:p>
            <w:pPr>
              <w:jc w:val="center"/>
              <w:rPr>
                <w:rFonts w:ascii="Times New Roman" w:hAnsi="Times New Roman" w:eastAsia="宋体" w:cs="Times New Roman"/>
                <w:kern w:val="0"/>
                <w:sz w:val="20"/>
                <w:szCs w:val="21"/>
                <w:vertAlign w:val="superscript"/>
              </w:rPr>
            </w:pPr>
            <w:r>
              <w:rPr>
                <w:rFonts w:ascii="Times New Roman" w:hAnsi="Times New Roman" w:eastAsia="宋体" w:cs="Times New Roman"/>
                <w:kern w:val="0"/>
                <w:sz w:val="20"/>
                <w:szCs w:val="21"/>
              </w:rPr>
              <w:t>Connection node</w:t>
            </w:r>
          </w:p>
        </w:tc>
        <w:tc>
          <w:tcPr>
            <w:tcW w:w="1134" w:type="dxa"/>
            <w:tcBorders>
              <w:left w:val="nil"/>
              <w:bottom w:val="single" w:color="auto" w:sz="4" w:space="0"/>
              <w:right w:val="nil"/>
            </w:tcBorders>
          </w:tcPr>
          <w:p>
            <w:pPr>
              <w:jc w:val="center"/>
              <w:rPr>
                <w:rFonts w:ascii="Times New Roman" w:hAnsi="Times New Roman" w:eastAsia="宋体" w:cs="Times New Roman"/>
                <w:kern w:val="0"/>
                <w:sz w:val="20"/>
                <w:szCs w:val="21"/>
              </w:rPr>
            </w:pPr>
          </w:p>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Candidates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P02647</w:t>
            </w:r>
          </w:p>
        </w:tc>
        <w:tc>
          <w:tcPr>
            <w:tcW w:w="1276" w:type="dxa"/>
            <w:tcBorders>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APOA1</w:t>
            </w:r>
          </w:p>
        </w:tc>
        <w:tc>
          <w:tcPr>
            <w:tcW w:w="992" w:type="dxa"/>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ApoA1</w:t>
            </w:r>
          </w:p>
        </w:tc>
        <w:tc>
          <w:tcPr>
            <w:tcW w:w="992" w:type="dxa"/>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884" w:type="dxa"/>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w:t>
            </w:r>
          </w:p>
        </w:tc>
        <w:tc>
          <w:tcPr>
            <w:tcW w:w="1134" w:type="dxa"/>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w:t>
            </w:r>
          </w:p>
        </w:tc>
        <w:tc>
          <w:tcPr>
            <w:tcW w:w="959" w:type="dxa"/>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709" w:type="dxa"/>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41</w:t>
            </w:r>
          </w:p>
        </w:tc>
        <w:tc>
          <w:tcPr>
            <w:tcW w:w="1167" w:type="dxa"/>
            <w:gridSpan w:val="2"/>
            <w:tcBorders>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P02652</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APOA2</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ApoA2</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32</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P04114</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APOB</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ApoB</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48</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P02656</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APOC3</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ApoC3</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22</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P01024</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C3</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C3</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5</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6</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51</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P0C0L4</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C4A</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C4A</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5</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37</w:t>
            </w:r>
          </w:p>
        </w:tc>
        <w:tc>
          <w:tcPr>
            <w:tcW w:w="1167" w:type="dxa"/>
            <w:gridSpan w:val="2"/>
            <w:tcBorders>
              <w:top w:val="nil"/>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P0C0L5</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C4B</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C4B</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5</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20</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P02671</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FGA</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FGA</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7</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45</w:t>
            </w:r>
          </w:p>
        </w:tc>
        <w:tc>
          <w:tcPr>
            <w:tcW w:w="1167" w:type="dxa"/>
            <w:gridSpan w:val="2"/>
            <w:tcBorders>
              <w:top w:val="nil"/>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P02675</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FGB</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FGB</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7</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7</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39</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P02679</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FGG</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FGG</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7</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1</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47</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P02751</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FN1</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rPr>
              <w:t>FN</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7</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8</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4</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2</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lang w:val="fr-FR"/>
              </w:rPr>
            </w:pPr>
            <w:r>
              <w:rPr>
                <w:rFonts w:ascii="Times New Roman" w:hAnsi="Times New Roman" w:eastAsia="宋体" w:cs="Times New Roman"/>
                <w:kern w:val="0"/>
                <w:sz w:val="20"/>
                <w:szCs w:val="21"/>
                <w:lang w:val="fr-FR"/>
              </w:rPr>
              <w:t>61</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P08519</w:t>
            </w:r>
          </w:p>
        </w:tc>
        <w:tc>
          <w:tcPr>
            <w:tcW w:w="1276" w:type="dxa"/>
            <w:tcBorders>
              <w:top w:val="nil"/>
              <w:left w:val="nil"/>
              <w:bottom w:val="nil"/>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LPA</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Apo(a)</w:t>
            </w:r>
          </w:p>
        </w:tc>
        <w:tc>
          <w:tcPr>
            <w:tcW w:w="992"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w:t>
            </w:r>
          </w:p>
        </w:tc>
        <w:tc>
          <w:tcPr>
            <w:tcW w:w="88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w:t>
            </w:r>
          </w:p>
        </w:tc>
        <w:tc>
          <w:tcPr>
            <w:tcW w:w="1134"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7</w:t>
            </w:r>
          </w:p>
        </w:tc>
        <w:tc>
          <w:tcPr>
            <w:tcW w:w="95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w:t>
            </w:r>
          </w:p>
        </w:tc>
        <w:tc>
          <w:tcPr>
            <w:tcW w:w="709" w:type="dxa"/>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24</w:t>
            </w:r>
          </w:p>
        </w:tc>
        <w:tc>
          <w:tcPr>
            <w:tcW w:w="1167" w:type="dxa"/>
            <w:gridSpan w:val="2"/>
            <w:tcBorders>
              <w:top w:val="nil"/>
              <w:left w:val="nil"/>
              <w:bottom w:val="nil"/>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Lp(a)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P05155</w:t>
            </w:r>
          </w:p>
        </w:tc>
        <w:tc>
          <w:tcPr>
            <w:tcW w:w="1276" w:type="dxa"/>
            <w:tcBorders>
              <w:top w:val="nil"/>
              <w:left w:val="nil"/>
              <w:bottom w:val="single" w:color="auto" w:sz="4" w:space="0"/>
              <w:right w:val="nil"/>
            </w:tcBorders>
            <w:vAlign w:val="bottom"/>
          </w:tcPr>
          <w:p>
            <w:pPr>
              <w:jc w:val="center"/>
              <w:rPr>
                <w:rFonts w:ascii="Times New Roman" w:hAnsi="Times New Roman" w:eastAsia="宋体" w:cs="Times New Roman"/>
                <w:i/>
                <w:kern w:val="0"/>
                <w:sz w:val="20"/>
                <w:szCs w:val="21"/>
              </w:rPr>
            </w:pPr>
            <w:r>
              <w:rPr>
                <w:rFonts w:ascii="Times New Roman" w:hAnsi="Times New Roman" w:eastAsia="宋体" w:cs="Times New Roman"/>
                <w:i/>
                <w:kern w:val="0"/>
                <w:sz w:val="20"/>
                <w:szCs w:val="21"/>
              </w:rPr>
              <w:t>SERPING1</w:t>
            </w:r>
          </w:p>
        </w:tc>
        <w:tc>
          <w:tcPr>
            <w:tcW w:w="992" w:type="dxa"/>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C1INH</w:t>
            </w:r>
          </w:p>
        </w:tc>
        <w:tc>
          <w:tcPr>
            <w:tcW w:w="992" w:type="dxa"/>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7</w:t>
            </w:r>
          </w:p>
        </w:tc>
        <w:tc>
          <w:tcPr>
            <w:tcW w:w="884" w:type="dxa"/>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7</w:t>
            </w:r>
          </w:p>
        </w:tc>
        <w:tc>
          <w:tcPr>
            <w:tcW w:w="1134" w:type="dxa"/>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5</w:t>
            </w:r>
          </w:p>
        </w:tc>
        <w:tc>
          <w:tcPr>
            <w:tcW w:w="959" w:type="dxa"/>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w:t>
            </w:r>
          </w:p>
        </w:tc>
        <w:tc>
          <w:tcPr>
            <w:tcW w:w="709" w:type="dxa"/>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30</w:t>
            </w:r>
          </w:p>
        </w:tc>
        <w:tc>
          <w:tcPr>
            <w:tcW w:w="1167" w:type="dxa"/>
            <w:gridSpan w:val="2"/>
            <w:tcBorders>
              <w:top w:val="nil"/>
              <w:left w:val="nil"/>
              <w:bottom w:val="single" w:color="auto" w:sz="4" w:space="0"/>
              <w:right w:val="nil"/>
            </w:tcBorders>
            <w:vAlign w:val="bottom"/>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C1INH</w:t>
            </w:r>
          </w:p>
        </w:tc>
      </w:tr>
    </w:tbl>
    <w:p>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 xml:space="preserve">a): </w:t>
      </w:r>
      <w:bookmarkStart w:id="0" w:name="_Hlk81725036"/>
      <w:r>
        <w:rPr>
          <w:rFonts w:hint="default" w:ascii="Times New Roman" w:hAnsi="Times New Roman" w:cs="Times New Roman"/>
          <w:sz w:val="24"/>
          <w:szCs w:val="24"/>
        </w:rPr>
        <w:t>The frequency of top 10 proteins GO enrichment associated with biological process.</w:t>
      </w:r>
    </w:p>
    <w:bookmarkEnd w:id="0"/>
    <w:p>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b): The frequency of top 10 proteins GO enrichment associated with biological cell components.</w:t>
      </w:r>
    </w:p>
    <w:p>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c): The frequency of top 10 proteins GO enrichment associated with molecular functions.</w:t>
      </w:r>
    </w:p>
    <w:p>
      <w:pPr>
        <w:ind w:firstLine="240" w:firstLineChars="100"/>
        <w:rPr>
          <w:rFonts w:hint="default" w:ascii="Times New Roman" w:hAnsi="Times New Roman" w:cs="Times New Roman"/>
          <w:sz w:val="24"/>
          <w:szCs w:val="24"/>
        </w:rPr>
      </w:pPr>
      <w:r>
        <w:rPr>
          <w:rFonts w:hint="default" w:ascii="Times New Roman" w:hAnsi="Times New Roman" w:cs="Times New Roman"/>
          <w:sz w:val="24"/>
          <w:szCs w:val="24"/>
        </w:rPr>
        <w:t>d): The frequency of top 10 proteins GO enrichment in KEGG pathways.</w:t>
      </w:r>
    </w:p>
    <w:p>
      <w:pPr>
        <w:rPr>
          <w:rFonts w:hint="default" w:ascii="Times New Roman" w:hAnsi="Times New Roman" w:cs="Times New Roman"/>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ascii="Times New Roman" w:hAnsi="Times New Roman"/>
          <w:sz w:val="24"/>
          <w:szCs w:val="24"/>
        </w:rPr>
      </w:pPr>
      <w:r>
        <w:rPr>
          <w:rFonts w:ascii="Times New Roman" w:hAnsi="Times New Roman"/>
          <w:b/>
          <w:bCs/>
          <w:sz w:val="24"/>
          <w:szCs w:val="24"/>
        </w:rPr>
        <w:t xml:space="preserve">Supplementary Table </w:t>
      </w:r>
      <w:r>
        <w:rPr>
          <w:rFonts w:ascii="Times New Roman" w:hAnsi="Times New Roman"/>
          <w:b/>
          <w:bCs/>
          <w:sz w:val="24"/>
          <w:szCs w:val="24"/>
        </w:rPr>
        <w:fldChar w:fldCharType="begin"/>
      </w:r>
      <w:r>
        <w:rPr>
          <w:rFonts w:ascii="Times New Roman" w:hAnsi="Times New Roman"/>
          <w:b/>
          <w:bCs/>
          <w:sz w:val="24"/>
          <w:szCs w:val="24"/>
        </w:rPr>
        <w:instrText xml:space="preserve"> SEQ Supplementary_Table \* ARABIC </w:instrText>
      </w:r>
      <w:r>
        <w:rPr>
          <w:rFonts w:ascii="Times New Roman" w:hAnsi="Times New Roman"/>
          <w:b/>
          <w:bCs/>
          <w:sz w:val="24"/>
          <w:szCs w:val="24"/>
        </w:rPr>
        <w:fldChar w:fldCharType="separate"/>
      </w:r>
      <w:r>
        <w:rPr>
          <w:rFonts w:ascii="Times New Roman" w:hAnsi="Times New Roman"/>
          <w:b/>
          <w:bCs/>
          <w:sz w:val="24"/>
          <w:szCs w:val="24"/>
        </w:rPr>
        <w:t>2</w:t>
      </w:r>
      <w:r>
        <w:rPr>
          <w:rFonts w:ascii="Times New Roman" w:hAnsi="Times New Roman"/>
          <w:b/>
          <w:bCs/>
          <w:sz w:val="24"/>
          <w:szCs w:val="24"/>
        </w:rPr>
        <w:fldChar w:fldCharType="end"/>
      </w:r>
      <w:r>
        <w:rPr>
          <w:rFonts w:ascii="Times New Roman" w:hAnsi="Times New Roman"/>
          <w:b/>
          <w:bCs/>
          <w:sz w:val="24"/>
          <w:szCs w:val="24"/>
        </w:rPr>
        <w:t>:</w:t>
      </w:r>
      <w:r>
        <w:rPr>
          <w:rFonts w:ascii="Times New Roman" w:hAnsi="Times New Roman"/>
          <w:sz w:val="24"/>
          <w:szCs w:val="24"/>
        </w:rPr>
        <w:t xml:space="preserve"> Performance of single predictor in NSCLC screening.</w:t>
      </w:r>
    </w:p>
    <w:tbl>
      <w:tblPr>
        <w:tblStyle w:val="12"/>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1"/>
        <w:gridCol w:w="1838"/>
        <w:gridCol w:w="1747"/>
        <w:gridCol w:w="1275"/>
        <w:gridCol w:w="1289"/>
        <w:gridCol w:w="1002"/>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Screening Index</w:t>
            </w:r>
          </w:p>
        </w:tc>
        <w:tc>
          <w:tcPr>
            <w:tcW w:w="1078" w:type="pct"/>
            <w:tcBorders>
              <w:top w:val="single" w:color="auto" w:sz="12" w:space="0"/>
              <w:bottom w:val="single" w:color="auto" w:sz="4" w:space="0"/>
            </w:tcBorders>
          </w:tcPr>
          <w:p>
            <w:pPr>
              <w:spacing w:line="400" w:lineRule="exact"/>
              <w:ind w:firstLine="200" w:firstLineChars="100"/>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AUC (95%</w:t>
            </w:r>
            <w:r>
              <w:rPr>
                <w:rFonts w:ascii="Times New Roman" w:hAnsi="Times New Roman" w:eastAsia="宋体" w:cs="Times New Roman"/>
                <w:i/>
                <w:iCs/>
                <w:kern w:val="0"/>
                <w:sz w:val="20"/>
                <w:szCs w:val="24"/>
              </w:rPr>
              <w:t>CI</w:t>
            </w:r>
            <w:r>
              <w:rPr>
                <w:rFonts w:ascii="Times New Roman" w:hAnsi="Times New Roman" w:eastAsia="宋体" w:cs="Times New Roman"/>
                <w:iCs/>
                <w:kern w:val="0"/>
                <w:sz w:val="20"/>
                <w:szCs w:val="24"/>
              </w:rPr>
              <w:t>)</w:t>
            </w:r>
          </w:p>
        </w:tc>
        <w:tc>
          <w:tcPr>
            <w:tcW w:w="1025"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Optimal threshold</w:t>
            </w:r>
          </w:p>
        </w:tc>
        <w:tc>
          <w:tcPr>
            <w:tcW w:w="748"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Sensitivity (%)</w:t>
            </w:r>
          </w:p>
        </w:tc>
        <w:tc>
          <w:tcPr>
            <w:tcW w:w="756"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Specificity (%)</w:t>
            </w:r>
          </w:p>
        </w:tc>
        <w:tc>
          <w:tcPr>
            <w:tcW w:w="588"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Youden index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tcBorders>
              <w:top w:val="single" w:color="auto" w:sz="4" w:space="0"/>
            </w:tcBorders>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ApoA1</w:t>
            </w:r>
          </w:p>
        </w:tc>
        <w:tc>
          <w:tcPr>
            <w:tcW w:w="1078"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0.636 (0.567</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0.701)</w:t>
            </w:r>
          </w:p>
        </w:tc>
        <w:tc>
          <w:tcPr>
            <w:tcW w:w="1025"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1.36g/L</w:t>
            </w:r>
          </w:p>
        </w:tc>
        <w:tc>
          <w:tcPr>
            <w:tcW w:w="748"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50.91</w:t>
            </w:r>
          </w:p>
        </w:tc>
        <w:tc>
          <w:tcPr>
            <w:tcW w:w="756"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73.00</w:t>
            </w:r>
          </w:p>
        </w:tc>
        <w:tc>
          <w:tcPr>
            <w:tcW w:w="588"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ApoA2</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0.737 (0.672</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0.759)</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23.17mg/dL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59.09</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82.00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0.41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ApoB</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0.623 (0.554</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0.689)</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0.89g/L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54.55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65.00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C1INH</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0.670 (0.602</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0.733)</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30.90mg/dL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76.00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C3</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0.641 (0.572</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0.706)</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1.12g/L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66.36</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59.00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C4</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0.613 (0.544</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0.679)</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0.24g/L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59.09</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58.00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Fg</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0.689 (0.613</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0.785)</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3.05g/L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47.73</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86.25</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FN</w:t>
            </w:r>
          </w:p>
        </w:tc>
        <w:tc>
          <w:tcPr>
            <w:tcW w:w="1078" w:type="pct"/>
          </w:tcPr>
          <w:p>
            <w:pPr>
              <w:spacing w:line="400" w:lineRule="exact"/>
              <w:jc w:val="center"/>
              <w:rPr>
                <w:rFonts w:ascii="Times New Roman" w:hAnsi="Times New Roman" w:eastAsia="宋体" w:cs="Times New Roman"/>
                <w:iCs/>
                <w:kern w:val="0"/>
                <w:sz w:val="20"/>
                <w:szCs w:val="24"/>
              </w:rPr>
            </w:pPr>
            <w:bookmarkStart w:id="1" w:name="OLE_LINK3"/>
            <w:r>
              <w:rPr>
                <w:rFonts w:ascii="Times New Roman" w:hAnsi="Times New Roman" w:eastAsia="宋体" w:cs="Times New Roman"/>
                <w:iCs/>
                <w:kern w:val="0"/>
                <w:sz w:val="20"/>
                <w:szCs w:val="24"/>
              </w:rPr>
              <w:t>0.705</w:t>
            </w:r>
            <w:bookmarkEnd w:id="1"/>
            <w:r>
              <w:rPr>
                <w:rFonts w:ascii="Times New Roman" w:hAnsi="Times New Roman" w:eastAsia="宋体" w:cs="Times New Roman"/>
                <w:iCs/>
                <w:kern w:val="0"/>
                <w:sz w:val="20"/>
                <w:szCs w:val="24"/>
              </w:rPr>
              <w:t xml:space="preserve"> (0.638</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0.766)</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427.00mg/L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76.00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Lp(a)</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0.609 (0.539</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0.675)</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99.40mg/L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78.18</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45.00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G</w:t>
            </w:r>
            <w:r>
              <w:rPr>
                <w:rFonts w:ascii="Times New Roman" w:hAnsi="Times New Roman" w:eastAsia="宋体" w:cs="Times New Roman"/>
                <w:iCs/>
                <w:kern w:val="0"/>
                <w:sz w:val="20"/>
                <w:szCs w:val="24"/>
              </w:rPr>
              <w:t>ly</w:t>
            </w:r>
          </w:p>
        </w:tc>
        <w:tc>
          <w:tcPr>
            <w:tcW w:w="1078" w:type="pct"/>
          </w:tcPr>
          <w:p>
            <w:pPr>
              <w:spacing w:line="400" w:lineRule="exact"/>
              <w:jc w:val="center"/>
              <w:rPr>
                <w:rFonts w:ascii="Times New Roman" w:hAnsi="Times New Roman" w:eastAsia="宋体" w:cs="Times New Roman"/>
                <w:iCs/>
                <w:kern w:val="0"/>
                <w:sz w:val="20"/>
                <w:szCs w:val="24"/>
              </w:rPr>
            </w:pPr>
            <w:bookmarkStart w:id="2" w:name="OLE_LINK1"/>
            <w:r>
              <w:rPr>
                <w:rFonts w:hint="eastAsia" w:ascii="Times New Roman" w:hAnsi="Times New Roman" w:eastAsia="宋体" w:cs="Times New Roman"/>
                <w:iCs/>
                <w:kern w:val="0"/>
                <w:sz w:val="20"/>
                <w:szCs w:val="24"/>
              </w:rPr>
              <w:t>0</w:t>
            </w:r>
            <w:r>
              <w:rPr>
                <w:rFonts w:ascii="Times New Roman" w:hAnsi="Times New Roman" w:eastAsia="宋体" w:cs="Times New Roman"/>
                <w:iCs/>
                <w:kern w:val="0"/>
                <w:sz w:val="20"/>
                <w:szCs w:val="24"/>
              </w:rPr>
              <w:t>.536</w:t>
            </w:r>
          </w:p>
          <w:bookmarkEnd w:id="2"/>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0.466~0.605)</w:t>
            </w:r>
          </w:p>
        </w:tc>
        <w:tc>
          <w:tcPr>
            <w:tcW w:w="1025"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3</w:t>
            </w:r>
            <w:r>
              <w:rPr>
                <w:rFonts w:ascii="Times New Roman" w:hAnsi="Times New Roman" w:eastAsia="宋体" w:cs="Times New Roman"/>
                <w:iCs/>
                <w:kern w:val="0"/>
                <w:sz w:val="20"/>
                <w:szCs w:val="24"/>
              </w:rPr>
              <w:t>92.96μmol/L</w:t>
            </w:r>
          </w:p>
        </w:tc>
        <w:tc>
          <w:tcPr>
            <w:tcW w:w="74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3</w:t>
            </w:r>
            <w:r>
              <w:rPr>
                <w:rFonts w:ascii="Times New Roman" w:hAnsi="Times New Roman" w:eastAsia="宋体" w:cs="Times New Roman"/>
                <w:iCs/>
                <w:kern w:val="0"/>
                <w:sz w:val="20"/>
                <w:szCs w:val="24"/>
              </w:rPr>
              <w:t>0.91</w:t>
            </w:r>
          </w:p>
        </w:tc>
        <w:tc>
          <w:tcPr>
            <w:tcW w:w="756"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9</w:t>
            </w:r>
            <w:r>
              <w:rPr>
                <w:rFonts w:ascii="Times New Roman" w:hAnsi="Times New Roman" w:eastAsia="宋体" w:cs="Times New Roman"/>
                <w:iCs/>
                <w:kern w:val="0"/>
                <w:sz w:val="20"/>
                <w:szCs w:val="24"/>
              </w:rPr>
              <w:t>0.91</w:t>
            </w:r>
          </w:p>
        </w:tc>
        <w:tc>
          <w:tcPr>
            <w:tcW w:w="58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w:t>
            </w:r>
            <w:r>
              <w:rPr>
                <w:rFonts w:ascii="Times New Roman" w:hAnsi="Times New Roman" w:eastAsia="宋体" w:cs="Times New Roman"/>
                <w:iCs/>
                <w:kern w:val="0"/>
                <w:sz w:val="20"/>
                <w:szCs w:val="24"/>
              </w:rPr>
              <w:t>.22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H</w:t>
            </w:r>
            <w:r>
              <w:rPr>
                <w:rFonts w:ascii="Times New Roman" w:hAnsi="Times New Roman" w:eastAsia="宋体" w:cs="Times New Roman"/>
                <w:iCs/>
                <w:kern w:val="0"/>
                <w:sz w:val="20"/>
                <w:szCs w:val="24"/>
              </w:rPr>
              <w:t>is</w:t>
            </w:r>
          </w:p>
        </w:tc>
        <w:tc>
          <w:tcPr>
            <w:tcW w:w="107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0.744 (0.671</w:t>
            </w:r>
            <w:r>
              <w:rPr>
                <w:rFonts w:ascii="Times New Roman" w:hAnsi="Times New Roman" w:eastAsia="宋体" w:cs="Times New Roman"/>
                <w:iCs/>
                <w:kern w:val="0"/>
                <w:sz w:val="20"/>
                <w:szCs w:val="24"/>
              </w:rPr>
              <w:t>~</w:t>
            </w:r>
            <w:r>
              <w:rPr>
                <w:rFonts w:hint="eastAsia" w:ascii="Times New Roman" w:hAnsi="Times New Roman" w:eastAsia="宋体" w:cs="Times New Roman"/>
                <w:iCs/>
                <w:kern w:val="0"/>
                <w:sz w:val="20"/>
                <w:szCs w:val="24"/>
              </w:rPr>
              <w:t>0.808)</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89.69μmol/L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65.91</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78.75</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0.45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L</w:t>
            </w:r>
            <w:r>
              <w:rPr>
                <w:rFonts w:ascii="Times New Roman" w:hAnsi="Times New Roman" w:eastAsia="宋体" w:cs="Times New Roman"/>
                <w:iCs/>
                <w:kern w:val="0"/>
                <w:sz w:val="20"/>
                <w:szCs w:val="24"/>
              </w:rPr>
              <w:t>ys</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0.646 (0.577</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0.711)</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286.36μmol/L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81.82</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49.00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T</w:t>
            </w:r>
            <w:r>
              <w:rPr>
                <w:rFonts w:ascii="Times New Roman" w:hAnsi="Times New Roman" w:eastAsia="宋体" w:cs="Times New Roman"/>
                <w:iCs/>
                <w:kern w:val="0"/>
                <w:sz w:val="20"/>
                <w:szCs w:val="24"/>
              </w:rPr>
              <w:t>yr</w:t>
            </w:r>
          </w:p>
        </w:tc>
        <w:tc>
          <w:tcPr>
            <w:tcW w:w="107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0.607 (0.538</w:t>
            </w:r>
            <w:r>
              <w:rPr>
                <w:rFonts w:ascii="Times New Roman" w:hAnsi="Times New Roman" w:eastAsia="宋体" w:cs="Times New Roman"/>
                <w:iCs/>
                <w:kern w:val="0"/>
                <w:sz w:val="20"/>
                <w:szCs w:val="24"/>
              </w:rPr>
              <w:t>~</w:t>
            </w:r>
            <w:r>
              <w:rPr>
                <w:rFonts w:hint="eastAsia" w:ascii="Times New Roman" w:hAnsi="Times New Roman" w:eastAsia="宋体" w:cs="Times New Roman"/>
                <w:iCs/>
                <w:kern w:val="0"/>
                <w:sz w:val="20"/>
                <w:szCs w:val="24"/>
              </w:rPr>
              <w:t>0.674)</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75.92μmol/L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54.55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70.00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V</w:t>
            </w:r>
            <w:r>
              <w:rPr>
                <w:rFonts w:ascii="Times New Roman" w:hAnsi="Times New Roman" w:eastAsia="宋体" w:cs="Times New Roman"/>
                <w:iCs/>
                <w:kern w:val="0"/>
                <w:sz w:val="20"/>
                <w:szCs w:val="24"/>
              </w:rPr>
              <w:t>al</w:t>
            </w:r>
          </w:p>
        </w:tc>
        <w:tc>
          <w:tcPr>
            <w:tcW w:w="107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0.587 (0.517~0.654)</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262.83μm/L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75.45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39.00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it</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0.654 (0.586</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0.719)</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29.25μmol/L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80.91</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44.00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O</w:t>
            </w:r>
            <w:r>
              <w:rPr>
                <w:rFonts w:ascii="Times New Roman" w:hAnsi="Times New Roman" w:eastAsia="宋体" w:cs="Times New Roman"/>
                <w:iCs/>
                <w:kern w:val="0"/>
                <w:sz w:val="20"/>
                <w:szCs w:val="24"/>
              </w:rPr>
              <w:t>rn</w:t>
            </w:r>
          </w:p>
        </w:tc>
        <w:tc>
          <w:tcPr>
            <w:tcW w:w="107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0.655 (0.586~0.719)</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114.12μmol/L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85.45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41.00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A</w:t>
            </w:r>
          </w:p>
        </w:tc>
        <w:tc>
          <w:tcPr>
            <w:tcW w:w="107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0.602 (0.532~0.669)</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101.43nmol/L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50.91</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69.00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DCA</w:t>
            </w:r>
          </w:p>
        </w:tc>
        <w:tc>
          <w:tcPr>
            <w:tcW w:w="1078"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0.616 (0.547~0.682)</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574.43nmol/L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34.00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LCA</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0.717 (0.651</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0.777)</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9.00nmol/L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59.09</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78.00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0.37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UDCA</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0.656 (0.588</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0.720)</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160.52nmol/L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75.45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57.00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0.32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GCDCA</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0.650 (0.582</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0.715)</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2032.33nmol/L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28.18</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97.00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GLCA</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0.585 (0.515</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0.653)</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1.28nmol/L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41.82</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78.00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TDCA</w:t>
            </w:r>
          </w:p>
        </w:tc>
        <w:tc>
          <w:tcPr>
            <w:tcW w:w="107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0.687 (0.619</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0.749)</w:t>
            </w:r>
          </w:p>
        </w:tc>
        <w:tc>
          <w:tcPr>
            <w:tcW w:w="1025"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18.14nmol/L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41.82</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97.00</w:t>
            </w:r>
          </w:p>
        </w:tc>
        <w:tc>
          <w:tcPr>
            <w:tcW w:w="58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kern w:val="0"/>
                <w:sz w:val="20"/>
                <w:szCs w:val="24"/>
              </w:rPr>
              <w:t>0.39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A19-9</w:t>
            </w:r>
          </w:p>
        </w:tc>
        <w:tc>
          <w:tcPr>
            <w:tcW w:w="1078" w:type="pct"/>
          </w:tcPr>
          <w:p>
            <w:pPr>
              <w:spacing w:line="400" w:lineRule="exact"/>
              <w:jc w:val="center"/>
              <w:rPr>
                <w:rFonts w:ascii="Times New Roman" w:hAnsi="Times New Roman" w:eastAsia="宋体" w:cs="Times New Roman"/>
                <w:kern w:val="0"/>
                <w:sz w:val="20"/>
                <w:szCs w:val="24"/>
              </w:rPr>
            </w:pPr>
            <w:r>
              <w:rPr>
                <w:rFonts w:hint="eastAsia" w:ascii="Times New Roman" w:hAnsi="Times New Roman" w:eastAsia="宋体" w:cs="Times New Roman"/>
                <w:kern w:val="0"/>
                <w:sz w:val="20"/>
                <w:szCs w:val="24"/>
              </w:rPr>
              <w:t>0.</w:t>
            </w:r>
            <w:r>
              <w:rPr>
                <w:rFonts w:ascii="Times New Roman" w:hAnsi="Times New Roman" w:eastAsia="宋体" w:cs="Times New Roman"/>
                <w:kern w:val="0"/>
                <w:sz w:val="20"/>
                <w:szCs w:val="24"/>
              </w:rPr>
              <w:t>59</w:t>
            </w:r>
            <w:r>
              <w:rPr>
                <w:rFonts w:hint="eastAsia" w:ascii="Times New Roman" w:hAnsi="Times New Roman" w:eastAsia="宋体" w:cs="Times New Roman"/>
                <w:kern w:val="0"/>
                <w:sz w:val="20"/>
                <w:szCs w:val="24"/>
              </w:rPr>
              <w:t>4 (0.5</w:t>
            </w:r>
            <w:r>
              <w:rPr>
                <w:rFonts w:ascii="Times New Roman" w:hAnsi="Times New Roman" w:eastAsia="宋体" w:cs="Times New Roman"/>
                <w:kern w:val="0"/>
                <w:sz w:val="20"/>
                <w:szCs w:val="24"/>
              </w:rPr>
              <w:t>24</w:t>
            </w:r>
            <w:r>
              <w:rPr>
                <w:rFonts w:hint="eastAsia" w:ascii="Times New Roman" w:hAnsi="Times New Roman" w:eastAsia="宋体" w:cs="Times New Roman"/>
                <w:kern w:val="0"/>
                <w:sz w:val="20"/>
                <w:szCs w:val="24"/>
              </w:rPr>
              <w:t>~0.</w:t>
            </w:r>
            <w:r>
              <w:rPr>
                <w:rFonts w:ascii="Times New Roman" w:hAnsi="Times New Roman" w:eastAsia="宋体" w:cs="Times New Roman"/>
                <w:kern w:val="0"/>
                <w:sz w:val="20"/>
                <w:szCs w:val="24"/>
              </w:rPr>
              <w:t>661</w:t>
            </w:r>
            <w:r>
              <w:rPr>
                <w:rFonts w:hint="eastAsia" w:ascii="Times New Roman" w:hAnsi="Times New Roman" w:eastAsia="宋体" w:cs="Times New Roman"/>
                <w:kern w:val="0"/>
                <w:sz w:val="20"/>
                <w:szCs w:val="24"/>
              </w:rPr>
              <w:t>)</w:t>
            </w:r>
          </w:p>
        </w:tc>
        <w:tc>
          <w:tcPr>
            <w:tcW w:w="1025"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27.27U/mL</w:t>
            </w:r>
          </w:p>
        </w:tc>
        <w:tc>
          <w:tcPr>
            <w:tcW w:w="748"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27.27</w:t>
            </w:r>
          </w:p>
        </w:tc>
        <w:tc>
          <w:tcPr>
            <w:tcW w:w="756"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92.00</w:t>
            </w:r>
          </w:p>
        </w:tc>
        <w:tc>
          <w:tcPr>
            <w:tcW w:w="588"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0.19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EA</w:t>
            </w:r>
          </w:p>
        </w:tc>
        <w:tc>
          <w:tcPr>
            <w:tcW w:w="1078" w:type="pct"/>
          </w:tcPr>
          <w:p>
            <w:pPr>
              <w:spacing w:line="400" w:lineRule="exact"/>
              <w:jc w:val="center"/>
              <w:rPr>
                <w:rFonts w:ascii="Times New Roman" w:hAnsi="Times New Roman" w:eastAsia="宋体" w:cs="Times New Roman"/>
                <w:kern w:val="0"/>
                <w:sz w:val="20"/>
                <w:szCs w:val="24"/>
              </w:rPr>
            </w:pPr>
            <w:bookmarkStart w:id="3" w:name="OLE_LINK2"/>
            <w:r>
              <w:rPr>
                <w:rFonts w:hint="eastAsia" w:ascii="Times New Roman" w:hAnsi="Times New Roman" w:eastAsia="宋体" w:cs="Times New Roman"/>
                <w:kern w:val="0"/>
                <w:sz w:val="20"/>
                <w:szCs w:val="24"/>
              </w:rPr>
              <w:t>0.7</w:t>
            </w:r>
            <w:r>
              <w:rPr>
                <w:rFonts w:ascii="Times New Roman" w:hAnsi="Times New Roman" w:eastAsia="宋体" w:cs="Times New Roman"/>
                <w:kern w:val="0"/>
                <w:sz w:val="20"/>
                <w:szCs w:val="24"/>
              </w:rPr>
              <w:t xml:space="preserve">24 </w:t>
            </w:r>
            <w:r>
              <w:rPr>
                <w:rFonts w:hint="eastAsia" w:ascii="Times New Roman" w:hAnsi="Times New Roman" w:eastAsia="宋体" w:cs="Times New Roman"/>
                <w:kern w:val="0"/>
                <w:sz w:val="20"/>
                <w:szCs w:val="24"/>
              </w:rPr>
              <w:t>(0.</w:t>
            </w:r>
            <w:r>
              <w:rPr>
                <w:rFonts w:ascii="Times New Roman" w:hAnsi="Times New Roman" w:eastAsia="宋体" w:cs="Times New Roman"/>
                <w:kern w:val="0"/>
                <w:sz w:val="20"/>
                <w:szCs w:val="24"/>
              </w:rPr>
              <w:t>658</w:t>
            </w:r>
            <w:r>
              <w:rPr>
                <w:rFonts w:hint="eastAsia" w:ascii="Times New Roman" w:hAnsi="Times New Roman" w:eastAsia="宋体" w:cs="Times New Roman"/>
                <w:kern w:val="0"/>
                <w:sz w:val="20"/>
                <w:szCs w:val="24"/>
              </w:rPr>
              <w:t>~</w:t>
            </w:r>
            <w:r>
              <w:rPr>
                <w:rFonts w:ascii="Times New Roman" w:hAnsi="Times New Roman" w:eastAsia="宋体" w:cs="Times New Roman"/>
                <w:kern w:val="0"/>
                <w:sz w:val="20"/>
                <w:szCs w:val="24"/>
              </w:rPr>
              <w:t>0.783</w:t>
            </w:r>
            <w:r>
              <w:rPr>
                <w:rFonts w:hint="eastAsia" w:ascii="Times New Roman" w:hAnsi="Times New Roman" w:eastAsia="宋体" w:cs="Times New Roman"/>
                <w:kern w:val="0"/>
                <w:sz w:val="20"/>
                <w:szCs w:val="24"/>
              </w:rPr>
              <w:t>)</w:t>
            </w:r>
            <w:bookmarkEnd w:id="3"/>
          </w:p>
        </w:tc>
        <w:tc>
          <w:tcPr>
            <w:tcW w:w="1025"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2.44ng/mL</w:t>
            </w:r>
          </w:p>
        </w:tc>
        <w:tc>
          <w:tcPr>
            <w:tcW w:w="748"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59.09</w:t>
            </w:r>
          </w:p>
        </w:tc>
        <w:tc>
          <w:tcPr>
            <w:tcW w:w="756"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74.00</w:t>
            </w:r>
          </w:p>
        </w:tc>
        <w:tc>
          <w:tcPr>
            <w:tcW w:w="588"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0.33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4" w:type="pct"/>
            <w:vAlign w:val="center"/>
          </w:tcPr>
          <w:p>
            <w:pPr>
              <w:widowControl/>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YFRA21-1</w:t>
            </w:r>
          </w:p>
        </w:tc>
        <w:tc>
          <w:tcPr>
            <w:tcW w:w="1078" w:type="pct"/>
          </w:tcPr>
          <w:p>
            <w:pPr>
              <w:spacing w:line="400" w:lineRule="exact"/>
              <w:jc w:val="center"/>
              <w:rPr>
                <w:rFonts w:ascii="Times New Roman" w:hAnsi="Times New Roman" w:eastAsia="宋体" w:cs="Times New Roman"/>
                <w:kern w:val="0"/>
                <w:sz w:val="20"/>
                <w:szCs w:val="24"/>
              </w:rPr>
            </w:pPr>
            <w:r>
              <w:rPr>
                <w:rFonts w:hint="eastAsia" w:ascii="Times New Roman" w:hAnsi="Times New Roman" w:eastAsia="宋体" w:cs="Times New Roman"/>
                <w:kern w:val="0"/>
                <w:sz w:val="20"/>
                <w:szCs w:val="24"/>
              </w:rPr>
              <w:t>0.7</w:t>
            </w:r>
            <w:r>
              <w:rPr>
                <w:rFonts w:ascii="Times New Roman" w:hAnsi="Times New Roman" w:eastAsia="宋体" w:cs="Times New Roman"/>
                <w:kern w:val="0"/>
                <w:sz w:val="20"/>
                <w:szCs w:val="24"/>
              </w:rPr>
              <w:t>19</w:t>
            </w:r>
            <w:r>
              <w:rPr>
                <w:rFonts w:hint="eastAsia" w:ascii="Times New Roman" w:hAnsi="Times New Roman" w:eastAsia="宋体" w:cs="Times New Roman"/>
                <w:kern w:val="0"/>
                <w:sz w:val="20"/>
                <w:szCs w:val="24"/>
              </w:rPr>
              <w:t xml:space="preserve"> (0.</w:t>
            </w:r>
            <w:r>
              <w:rPr>
                <w:rFonts w:ascii="Times New Roman" w:hAnsi="Times New Roman" w:eastAsia="宋体" w:cs="Times New Roman"/>
                <w:kern w:val="0"/>
                <w:sz w:val="20"/>
                <w:szCs w:val="24"/>
              </w:rPr>
              <w:t>653~0.778</w:t>
            </w:r>
            <w:r>
              <w:rPr>
                <w:rFonts w:hint="eastAsia" w:ascii="Times New Roman" w:hAnsi="Times New Roman" w:eastAsia="宋体" w:cs="Times New Roman"/>
                <w:kern w:val="0"/>
                <w:sz w:val="20"/>
                <w:szCs w:val="24"/>
              </w:rPr>
              <w:t>)</w:t>
            </w:r>
          </w:p>
        </w:tc>
        <w:tc>
          <w:tcPr>
            <w:tcW w:w="1025"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2.49ng/mL</w:t>
            </w:r>
          </w:p>
        </w:tc>
        <w:tc>
          <w:tcPr>
            <w:tcW w:w="748"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60.00</w:t>
            </w:r>
          </w:p>
        </w:tc>
        <w:tc>
          <w:tcPr>
            <w:tcW w:w="756"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77.00</w:t>
            </w:r>
          </w:p>
        </w:tc>
        <w:tc>
          <w:tcPr>
            <w:tcW w:w="588" w:type="pct"/>
          </w:tcPr>
          <w:p>
            <w:pPr>
              <w:spacing w:line="400" w:lineRule="exact"/>
              <w:jc w:val="center"/>
              <w:rPr>
                <w:rFonts w:ascii="Times New Roman" w:hAnsi="Times New Roman" w:eastAsia="宋体" w:cs="Times New Roman"/>
                <w:kern w:val="0"/>
                <w:sz w:val="20"/>
                <w:szCs w:val="24"/>
              </w:rPr>
            </w:pPr>
            <w:r>
              <w:rPr>
                <w:rFonts w:ascii="Times New Roman" w:hAnsi="Times New Roman" w:eastAsia="宋体" w:cs="Times New Roman"/>
                <w:kern w:val="0"/>
                <w:sz w:val="20"/>
                <w:szCs w:val="24"/>
              </w:rPr>
              <w:t>0.38</w:t>
            </w:r>
          </w:p>
        </w:tc>
      </w:tr>
    </w:tbl>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3</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Performance of single predictor in NSCLC diagnosis.</w:t>
      </w:r>
    </w:p>
    <w:tbl>
      <w:tblPr>
        <w:tblStyle w:val="5"/>
        <w:tblW w:w="5201"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5"/>
        <w:gridCol w:w="1973"/>
        <w:gridCol w:w="1699"/>
        <w:gridCol w:w="1326"/>
        <w:gridCol w:w="1340"/>
        <w:gridCol w:w="1102"/>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Diagnosis Index</w:t>
            </w:r>
          </w:p>
        </w:tc>
        <w:tc>
          <w:tcPr>
            <w:tcW w:w="1113"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AUC (95%CI)</w:t>
            </w:r>
          </w:p>
        </w:tc>
        <w:tc>
          <w:tcPr>
            <w:tcW w:w="958"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Optimal threshold</w:t>
            </w:r>
          </w:p>
        </w:tc>
        <w:tc>
          <w:tcPr>
            <w:tcW w:w="748"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Sensitivity (%)</w:t>
            </w:r>
          </w:p>
        </w:tc>
        <w:tc>
          <w:tcPr>
            <w:tcW w:w="756"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Specificity (%)</w:t>
            </w:r>
          </w:p>
        </w:tc>
        <w:tc>
          <w:tcPr>
            <w:tcW w:w="621" w:type="pct"/>
            <w:tcBorders>
              <w:top w:val="single" w:color="auto" w:sz="12" w:space="0"/>
              <w:bottom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Youden index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Borders>
              <w:top w:val="single" w:color="auto" w:sz="4" w:space="0"/>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ApoA1</w:t>
            </w:r>
          </w:p>
        </w:tc>
        <w:tc>
          <w:tcPr>
            <w:tcW w:w="1113"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0.717</w:t>
            </w:r>
          </w:p>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(0.652~0.775)</w:t>
            </w:r>
          </w:p>
        </w:tc>
        <w:tc>
          <w:tcPr>
            <w:tcW w:w="958"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1.12g/L</w:t>
            </w:r>
          </w:p>
        </w:tc>
        <w:tc>
          <w:tcPr>
            <w:tcW w:w="748"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84.55</w:t>
            </w:r>
          </w:p>
        </w:tc>
        <w:tc>
          <w:tcPr>
            <w:tcW w:w="756"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50.93</w:t>
            </w:r>
          </w:p>
        </w:tc>
        <w:tc>
          <w:tcPr>
            <w:tcW w:w="621" w:type="pct"/>
            <w:tcBorders>
              <w:top w:val="single" w:color="auto" w:sz="4" w:space="0"/>
            </w:tcBorders>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ApoA2</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0.730 (0.666</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0.788)</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18.73mg/dL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86.36</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56.48</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0.43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ApoB</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0.639 (0.572</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0.703)</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0.75g/L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42.59</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ApoC3</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0.600 (0.531</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0.665)</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7.96mg/dL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50.93</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C3</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0.626 (0.558</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0.691)</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1.21g/L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53.64</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67.59</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Fg</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0.624 (0.547</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0.696)</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3.57g/L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72.73</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52.33</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FN</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0.669 (0.602</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0.731)</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350.40mg/L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67.27</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58.33</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Lp(a)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0.558 (0.489</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0.625)</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308.60mg/L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34.55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80.56</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Ala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0.614 (0.546</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0.679)</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446.69μmol/L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70.91</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50.93</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His</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0.579 (0.510</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0.645)</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82.64μmol/L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65.45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52.78</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Val</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0.644 (0.576</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0.707)</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298.02μmol/L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53.64</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71.30</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Cit</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0.718 (0.653</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0.777)</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28.93μmol/L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82.73</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57.41</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0.40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0.627 (0.559</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0.692)</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173.94nmol/L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38.18</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85.19</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CDCA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0.609 (0.540</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0.674)</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582.60nmol/L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50.91</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67.59</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DCA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0.683 (0.616</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0.744)</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85.71nmol/L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67.27</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68.52</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UDCA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0.620 (0.552</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0.685)</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57.92nmol/L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64.55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58.33</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GDCA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0.664 (0.597</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0.726)</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38.46nmol/L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70.91</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59.26</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GLCA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0.576 (0.507</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0.642)</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3.82nmol/L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40.91</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80.56</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GUDCA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0.587 (0.519</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0.653)</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84.90nmol/L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84.55</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43.52</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TDCA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0.628 (0.560</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0.693)</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8.57nmol/L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79.09</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40.74</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TLCA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0.607 (0.539</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0.672)</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0.23nmol/L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69.09</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52.78</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TCDCA</w:t>
            </w:r>
          </w:p>
        </w:tc>
        <w:tc>
          <w:tcPr>
            <w:tcW w:w="1113"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0.595 (0.526</w:t>
            </w:r>
            <w:r>
              <w:rPr>
                <w:rFonts w:hint="eastAsia" w:ascii="Times New Roman" w:hAnsi="Times New Roman" w:eastAsia="宋体" w:cs="Times New Roman"/>
                <w:iCs/>
                <w:kern w:val="0"/>
                <w:sz w:val="20"/>
                <w:szCs w:val="24"/>
              </w:rPr>
              <w:t>~</w:t>
            </w:r>
            <w:r>
              <w:rPr>
                <w:rFonts w:ascii="Times New Roman" w:hAnsi="Times New Roman" w:eastAsia="宋体" w:cs="Times New Roman"/>
                <w:iCs/>
                <w:kern w:val="0"/>
                <w:sz w:val="20"/>
                <w:szCs w:val="24"/>
              </w:rPr>
              <w:t>0.660)</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63.82nmol/L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b/>
            </w:r>
            <w:r>
              <w:rPr>
                <w:rFonts w:ascii="Times New Roman" w:hAnsi="Times New Roman" w:eastAsia="宋体" w:cs="Times New Roman"/>
                <w:iCs/>
                <w:kern w:val="0"/>
                <w:sz w:val="20"/>
                <w:szCs w:val="24"/>
              </w:rPr>
              <w:t>38.18</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81.48</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A19-9</w:t>
            </w:r>
          </w:p>
        </w:tc>
        <w:tc>
          <w:tcPr>
            <w:tcW w:w="1113"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0.613 (0.545~0.678)</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12.42U/mL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50.00</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69.44</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EA</w:t>
            </w:r>
          </w:p>
        </w:tc>
        <w:tc>
          <w:tcPr>
            <w:tcW w:w="1113"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0.606 (0.538~0.671)</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2.92ng/mL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49.09</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68.52</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C</w:t>
            </w:r>
            <w:r>
              <w:rPr>
                <w:rFonts w:ascii="Times New Roman" w:hAnsi="Times New Roman" w:eastAsia="宋体" w:cs="Times New Roman"/>
                <w:iCs/>
                <w:kern w:val="0"/>
                <w:sz w:val="20"/>
                <w:szCs w:val="24"/>
              </w:rPr>
              <w:t>YFRA21-1</w:t>
            </w:r>
          </w:p>
        </w:tc>
        <w:tc>
          <w:tcPr>
            <w:tcW w:w="1113"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0.598 (0.529~0.663)</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2.85ng/mL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53.64</w:t>
            </w:r>
          </w:p>
        </w:tc>
        <w:tc>
          <w:tcPr>
            <w:tcW w:w="756"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67.59</w:t>
            </w:r>
          </w:p>
        </w:tc>
        <w:tc>
          <w:tcPr>
            <w:tcW w:w="621"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04" w:type="pct"/>
            <w:vAlign w:val="center"/>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N</w:t>
            </w:r>
            <w:r>
              <w:rPr>
                <w:rFonts w:ascii="Times New Roman" w:hAnsi="Times New Roman" w:eastAsia="宋体" w:cs="Times New Roman"/>
                <w:iCs/>
                <w:kern w:val="0"/>
                <w:sz w:val="20"/>
                <w:szCs w:val="24"/>
              </w:rPr>
              <w:t>SE</w:t>
            </w:r>
          </w:p>
        </w:tc>
        <w:tc>
          <w:tcPr>
            <w:tcW w:w="1113"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0.66</w:t>
            </w:r>
            <w:r>
              <w:rPr>
                <w:rFonts w:ascii="Times New Roman" w:hAnsi="Times New Roman" w:eastAsia="宋体" w:cs="Times New Roman"/>
                <w:iCs/>
                <w:kern w:val="0"/>
                <w:sz w:val="20"/>
                <w:szCs w:val="24"/>
              </w:rPr>
              <w:t xml:space="preserve">5 </w:t>
            </w:r>
            <w:r>
              <w:rPr>
                <w:rFonts w:hint="eastAsia" w:ascii="Times New Roman" w:hAnsi="Times New Roman" w:eastAsia="宋体" w:cs="Times New Roman"/>
                <w:iCs/>
                <w:kern w:val="0"/>
                <w:sz w:val="20"/>
                <w:szCs w:val="24"/>
              </w:rPr>
              <w:t>(0.59</w:t>
            </w:r>
            <w:r>
              <w:rPr>
                <w:rFonts w:ascii="Times New Roman" w:hAnsi="Times New Roman" w:eastAsia="宋体" w:cs="Times New Roman"/>
                <w:iCs/>
                <w:kern w:val="0"/>
                <w:sz w:val="20"/>
                <w:szCs w:val="24"/>
              </w:rPr>
              <w:t>8</w:t>
            </w:r>
            <w:r>
              <w:rPr>
                <w:rFonts w:hint="eastAsia" w:ascii="Times New Roman" w:hAnsi="Times New Roman" w:eastAsia="宋体" w:cs="Times New Roman"/>
                <w:iCs/>
                <w:kern w:val="0"/>
                <w:sz w:val="20"/>
                <w:szCs w:val="24"/>
              </w:rPr>
              <w:t>~0.72</w:t>
            </w:r>
            <w:r>
              <w:rPr>
                <w:rFonts w:ascii="Times New Roman" w:hAnsi="Times New Roman" w:eastAsia="宋体" w:cs="Times New Roman"/>
                <w:iCs/>
                <w:kern w:val="0"/>
                <w:sz w:val="20"/>
                <w:szCs w:val="24"/>
              </w:rPr>
              <w:t>7</w:t>
            </w:r>
            <w:r>
              <w:rPr>
                <w:rFonts w:hint="eastAsia" w:ascii="Times New Roman" w:hAnsi="Times New Roman" w:eastAsia="宋体" w:cs="Times New Roman"/>
                <w:iCs/>
                <w:kern w:val="0"/>
                <w:sz w:val="20"/>
                <w:szCs w:val="24"/>
              </w:rPr>
              <w:t>)</w:t>
            </w:r>
          </w:p>
        </w:tc>
        <w:tc>
          <w:tcPr>
            <w:tcW w:w="95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9.90μmol/L</w:t>
            </w:r>
          </w:p>
        </w:tc>
        <w:tc>
          <w:tcPr>
            <w:tcW w:w="748" w:type="pct"/>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77.27</w:t>
            </w:r>
          </w:p>
        </w:tc>
        <w:tc>
          <w:tcPr>
            <w:tcW w:w="756"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5</w:t>
            </w:r>
            <w:r>
              <w:rPr>
                <w:rFonts w:ascii="Times New Roman" w:hAnsi="Times New Roman" w:eastAsia="宋体" w:cs="Times New Roman"/>
                <w:iCs/>
                <w:kern w:val="0"/>
                <w:sz w:val="20"/>
                <w:szCs w:val="24"/>
              </w:rPr>
              <w:t>0.00</w:t>
            </w:r>
          </w:p>
        </w:tc>
        <w:tc>
          <w:tcPr>
            <w:tcW w:w="621" w:type="pct"/>
          </w:tcPr>
          <w:p>
            <w:pPr>
              <w:spacing w:line="400" w:lineRule="exact"/>
              <w:jc w:val="center"/>
              <w:rPr>
                <w:rFonts w:ascii="Times New Roman" w:hAnsi="Times New Roman" w:eastAsia="宋体" w:cs="Times New Roman"/>
                <w:iCs/>
                <w:kern w:val="0"/>
                <w:sz w:val="20"/>
                <w:szCs w:val="24"/>
              </w:rPr>
            </w:pPr>
            <w:r>
              <w:rPr>
                <w:rFonts w:hint="eastAsia" w:ascii="Times New Roman" w:hAnsi="Times New Roman" w:eastAsia="宋体" w:cs="Times New Roman"/>
                <w:iCs/>
                <w:kern w:val="0"/>
                <w:sz w:val="20"/>
                <w:szCs w:val="24"/>
              </w:rPr>
              <w:t>0</w:t>
            </w:r>
            <w:r>
              <w:rPr>
                <w:rFonts w:ascii="Times New Roman" w:hAnsi="Times New Roman" w:eastAsia="宋体" w:cs="Times New Roman"/>
                <w:iCs/>
                <w:kern w:val="0"/>
                <w:sz w:val="20"/>
                <w:szCs w:val="24"/>
              </w:rPr>
              <w:t>.27</w:t>
            </w:r>
          </w:p>
        </w:tc>
      </w:tr>
    </w:tbl>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4</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Screening model by stepwise binary logistic regression analysis in training samples.</w:t>
      </w:r>
    </w:p>
    <w:tbl>
      <w:tblPr>
        <w:tblStyle w:val="5"/>
        <w:tblW w:w="5000" w:type="pct"/>
        <w:jc w:val="center"/>
        <w:tblLayout w:type="autofit"/>
        <w:tblCellMar>
          <w:top w:w="0" w:type="dxa"/>
          <w:left w:w="108" w:type="dxa"/>
          <w:bottom w:w="0" w:type="dxa"/>
          <w:right w:w="108" w:type="dxa"/>
        </w:tblCellMar>
      </w:tblPr>
      <w:tblGrid>
        <w:gridCol w:w="1173"/>
        <w:gridCol w:w="975"/>
        <w:gridCol w:w="975"/>
        <w:gridCol w:w="970"/>
        <w:gridCol w:w="978"/>
        <w:gridCol w:w="908"/>
        <w:gridCol w:w="2255"/>
        <w:gridCol w:w="288"/>
      </w:tblGrid>
      <w:tr>
        <w:tblPrEx>
          <w:tblCellMar>
            <w:top w:w="0" w:type="dxa"/>
            <w:left w:w="108" w:type="dxa"/>
            <w:bottom w:w="0" w:type="dxa"/>
            <w:right w:w="108" w:type="dxa"/>
          </w:tblCellMar>
        </w:tblPrEx>
        <w:trPr>
          <w:trHeight w:val="274" w:hRule="atLeast"/>
          <w:jc w:val="center"/>
        </w:trPr>
        <w:tc>
          <w:tcPr>
            <w:tcW w:w="688"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index</w:t>
            </w:r>
          </w:p>
        </w:tc>
        <w:tc>
          <w:tcPr>
            <w:tcW w:w="572" w:type="pct"/>
            <w:tcBorders>
              <w:top w:val="single" w:color="auto" w:sz="4" w:space="0"/>
              <w:left w:val="nil"/>
              <w:bottom w:val="single" w:color="auto" w:sz="4" w:space="0"/>
              <w:right w:val="nil"/>
            </w:tcBorders>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B</w:t>
            </w:r>
          </w:p>
        </w:tc>
        <w:tc>
          <w:tcPr>
            <w:tcW w:w="569"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S.E</w:t>
            </w:r>
          </w:p>
        </w:tc>
        <w:tc>
          <w:tcPr>
            <w:tcW w:w="574"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Wald</w:t>
            </w:r>
          </w:p>
        </w:tc>
        <w:tc>
          <w:tcPr>
            <w:tcW w:w="533"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P</w:t>
            </w:r>
          </w:p>
        </w:tc>
        <w:tc>
          <w:tcPr>
            <w:tcW w:w="1323" w:type="pct"/>
            <w:tcBorders>
              <w:top w:val="single" w:color="auto" w:sz="4" w:space="0"/>
              <w:left w:val="nil"/>
              <w:bottom w:val="single" w:color="auto" w:sz="4" w:space="0"/>
              <w:right w:val="nil"/>
            </w:tcBorders>
            <w:noWrap/>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OR</w:t>
            </w:r>
          </w:p>
        </w:tc>
        <w:tc>
          <w:tcPr>
            <w:tcW w:w="169"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ApoA2</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-0.282</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0.115</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6.000</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0.014</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0.754 (0.602～0.945)</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ApoB</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4.317</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1.820</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5.624</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0.018</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74.964 (2.115～2656.598)</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C3</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3.948</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1.494</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6.982</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0.008</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51.812 (2.772～968.541)</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FN</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-0.006</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0.003</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5.132</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0.023</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0.994 (0.989～0.999)</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His</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-0.088</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0.022</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15.631</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0.000</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0.916 (0.877～0.957)</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Cit</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0.084</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0.035</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5.794</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0.016</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1.088 (1.016～1.166)</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Orn</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0.026</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0.009</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7.724</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0.005</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1.026 (1.008～1.045)</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CA</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0.001</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0.001</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3.048</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0.081</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1.001 (1.000～1.003)</w:t>
            </w:r>
          </w:p>
        </w:tc>
      </w:tr>
      <w:tr>
        <w:tblPrEx>
          <w:tblCellMar>
            <w:top w:w="0" w:type="dxa"/>
            <w:left w:w="108" w:type="dxa"/>
            <w:bottom w:w="0" w:type="dxa"/>
            <w:right w:w="108" w:type="dxa"/>
          </w:tblCellMar>
        </w:tblPrEx>
        <w:trPr>
          <w:trHeight w:val="261"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LCA</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-0.071</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0.020</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12.135</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0.000</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0.932 (0.896～0.970)</w:t>
            </w:r>
          </w:p>
        </w:tc>
      </w:tr>
      <w:tr>
        <w:tblPrEx>
          <w:tblCellMar>
            <w:top w:w="0" w:type="dxa"/>
            <w:left w:w="108" w:type="dxa"/>
            <w:bottom w:w="0" w:type="dxa"/>
            <w:right w:w="108" w:type="dxa"/>
          </w:tblCellMar>
        </w:tblPrEx>
        <w:trPr>
          <w:trHeight w:val="247"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UDCA</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-0.004</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0.002</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5.472</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0.019</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0.996 (0.993～0.999)</w:t>
            </w:r>
          </w:p>
        </w:tc>
      </w:tr>
      <w:tr>
        <w:tblPrEx>
          <w:tblCellMar>
            <w:top w:w="0" w:type="dxa"/>
            <w:left w:w="108" w:type="dxa"/>
            <w:bottom w:w="0" w:type="dxa"/>
            <w:right w:w="108" w:type="dxa"/>
          </w:tblCellMar>
        </w:tblPrEx>
        <w:trPr>
          <w:trHeight w:val="247"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GCDCA</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0.001</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0.000</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10.513</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0.001</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1.001 (1.000～1.002)</w:t>
            </w:r>
          </w:p>
        </w:tc>
      </w:tr>
      <w:tr>
        <w:tblPrEx>
          <w:tblCellMar>
            <w:top w:w="0" w:type="dxa"/>
            <w:left w:w="108" w:type="dxa"/>
            <w:bottom w:w="0" w:type="dxa"/>
            <w:right w:w="108" w:type="dxa"/>
          </w:tblCellMar>
        </w:tblPrEx>
        <w:trPr>
          <w:trHeight w:val="247" w:hRule="atLeast"/>
          <w:jc w:val="center"/>
        </w:trPr>
        <w:tc>
          <w:tcPr>
            <w:tcW w:w="688"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CEA</w:t>
            </w:r>
          </w:p>
        </w:tc>
        <w:tc>
          <w:tcPr>
            <w:tcW w:w="572" w:type="pct"/>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0.510</w:t>
            </w:r>
          </w:p>
        </w:tc>
        <w:tc>
          <w:tcPr>
            <w:tcW w:w="56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0.189</w:t>
            </w:r>
          </w:p>
        </w:tc>
        <w:tc>
          <w:tcPr>
            <w:tcW w:w="57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7.326</w:t>
            </w:r>
          </w:p>
        </w:tc>
        <w:tc>
          <w:tcPr>
            <w:tcW w:w="53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0.007</w:t>
            </w:r>
          </w:p>
        </w:tc>
        <w:tc>
          <w:tcPr>
            <w:tcW w:w="1492"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1.666 (1.151～2.411)</w:t>
            </w:r>
          </w:p>
        </w:tc>
      </w:tr>
      <w:tr>
        <w:tblPrEx>
          <w:tblCellMar>
            <w:top w:w="0" w:type="dxa"/>
            <w:left w:w="108" w:type="dxa"/>
            <w:bottom w:w="0" w:type="dxa"/>
            <w:right w:w="108" w:type="dxa"/>
          </w:tblCellMar>
        </w:tblPrEx>
        <w:trPr>
          <w:trHeight w:val="247" w:hRule="atLeast"/>
          <w:jc w:val="center"/>
        </w:trPr>
        <w:tc>
          <w:tcPr>
            <w:tcW w:w="688"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constant</w:t>
            </w:r>
          </w:p>
        </w:tc>
        <w:tc>
          <w:tcPr>
            <w:tcW w:w="572" w:type="pct"/>
            <w:tcBorders>
              <w:top w:val="nil"/>
              <w:left w:val="nil"/>
              <w:bottom w:val="single" w:color="auto" w:sz="4" w:space="0"/>
              <w:right w:val="nil"/>
            </w:tcBorders>
            <w:shd w:val="clear" w:color="auto" w:fill="FFFFFF"/>
          </w:tcPr>
          <w:p>
            <w:pPr>
              <w:spacing w:line="400" w:lineRule="exact"/>
              <w:jc w:val="center"/>
              <w:rPr>
                <w:rFonts w:ascii="Times New Roman" w:hAnsi="Times New Roman" w:eastAsia="宋体" w:cs="Times New Roman"/>
                <w:iCs/>
                <w:kern w:val="0"/>
                <w:sz w:val="20"/>
                <w:szCs w:val="24"/>
              </w:rPr>
            </w:pPr>
          </w:p>
        </w:tc>
        <w:tc>
          <w:tcPr>
            <w:tcW w:w="572"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2.475</w:t>
            </w:r>
          </w:p>
        </w:tc>
        <w:tc>
          <w:tcPr>
            <w:tcW w:w="569"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2.988</w:t>
            </w:r>
          </w:p>
        </w:tc>
        <w:tc>
          <w:tcPr>
            <w:tcW w:w="574"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0.686</w:t>
            </w:r>
          </w:p>
        </w:tc>
        <w:tc>
          <w:tcPr>
            <w:tcW w:w="533"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0.408</w:t>
            </w:r>
          </w:p>
        </w:tc>
        <w:tc>
          <w:tcPr>
            <w:tcW w:w="1492" w:type="pct"/>
            <w:gridSpan w:val="2"/>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w:t>
            </w:r>
          </w:p>
        </w:tc>
      </w:tr>
    </w:tbl>
    <w:p>
      <w:pPr>
        <w:ind w:firstLine="480" w:firstLineChars="200"/>
        <w:rPr>
          <w:rFonts w:hint="default" w:ascii="Times New Roman" w:hAnsi="Times New Roman" w:cs="Times New Roman"/>
          <w:sz w:val="24"/>
          <w:szCs w:val="24"/>
        </w:rPr>
      </w:pPr>
      <w:r>
        <w:rPr>
          <w:rFonts w:hint="default" w:ascii="Times New Roman" w:hAnsi="Times New Roman" w:cs="Times New Roman"/>
          <w:i/>
          <w:sz w:val="24"/>
          <w:szCs w:val="24"/>
        </w:rPr>
        <w:t>B</w:t>
      </w:r>
      <w:r>
        <w:rPr>
          <w:rFonts w:hint="default" w:ascii="Times New Roman" w:hAnsi="Times New Roman" w:cs="Times New Roman"/>
          <w:sz w:val="24"/>
          <w:szCs w:val="24"/>
        </w:rPr>
        <w:t xml:space="preserve">: regression coefficient </w:t>
      </w:r>
      <w:r>
        <w:rPr>
          <w:rFonts w:hint="default" w:ascii="Times New Roman" w:hAnsi="Times New Roman" w:cs="Times New Roman"/>
          <w:i/>
          <w:iCs/>
          <w:sz w:val="24"/>
          <w:szCs w:val="24"/>
        </w:rPr>
        <w:t>β</w:t>
      </w:r>
      <w:r>
        <w:rPr>
          <w:rFonts w:hint="default" w:ascii="Times New Roman" w:hAnsi="Times New Roman" w:cs="Times New Roman"/>
          <w:sz w:val="24"/>
          <w:szCs w:val="24"/>
        </w:rPr>
        <w:t xml:space="preserve">; </w:t>
      </w:r>
      <w:r>
        <w:rPr>
          <w:rFonts w:hint="default" w:ascii="Times New Roman" w:hAnsi="Times New Roman" w:cs="Times New Roman"/>
          <w:i/>
          <w:sz w:val="24"/>
          <w:szCs w:val="24"/>
        </w:rPr>
        <w:t>S.E</w:t>
      </w:r>
      <w:r>
        <w:rPr>
          <w:rFonts w:hint="default" w:ascii="Times New Roman" w:hAnsi="Times New Roman" w:cs="Times New Roman"/>
          <w:sz w:val="24"/>
          <w:szCs w:val="24"/>
        </w:rPr>
        <w:t xml:space="preserve">： standard deviation; </w:t>
      </w:r>
      <w:r>
        <w:rPr>
          <w:rFonts w:hint="default" w:ascii="Times New Roman" w:hAnsi="Times New Roman" w:cs="Times New Roman"/>
          <w:i/>
          <w:sz w:val="24"/>
          <w:szCs w:val="24"/>
        </w:rPr>
        <w:t>Wald</w:t>
      </w:r>
      <w:r>
        <w:rPr>
          <w:rFonts w:hint="default" w:ascii="Times New Roman" w:hAnsi="Times New Roman" w:cs="Times New Roman"/>
          <w:sz w:val="24"/>
          <w:szCs w:val="24"/>
        </w:rPr>
        <w:t xml:space="preserve">： Wald Chi-square value; </w:t>
      </w:r>
      <w:r>
        <w:rPr>
          <w:rFonts w:hint="default" w:ascii="Times New Roman" w:hAnsi="Times New Roman" w:cs="Times New Roman"/>
          <w:i/>
          <w:sz w:val="24"/>
          <w:szCs w:val="24"/>
        </w:rPr>
        <w:t>OR</w:t>
      </w:r>
      <w:r>
        <w:rPr>
          <w:rFonts w:hint="default" w:ascii="Times New Roman" w:hAnsi="Times New Roman" w:cs="Times New Roman"/>
          <w:sz w:val="24"/>
          <w:szCs w:val="24"/>
        </w:rPr>
        <w:t>: odds ratio</w:t>
      </w:r>
    </w:p>
    <w:p>
      <w:pPr>
        <w:rPr>
          <w:rFonts w:hint="default" w:ascii="Times New Roman" w:hAnsi="Times New Roman" w:cs="Times New Roman"/>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5</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Performance analysis of 3 models in screening NSCLC.</w:t>
      </w:r>
    </w:p>
    <w:tbl>
      <w:tblPr>
        <w:tblStyle w:val="12"/>
        <w:tblW w:w="50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09"/>
        <w:gridCol w:w="1860"/>
        <w:gridCol w:w="1139"/>
        <w:gridCol w:w="1275"/>
        <w:gridCol w:w="1125"/>
        <w:gridCol w:w="162"/>
        <w:gridCol w:w="145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single" w:color="auto" w:sz="4" w:space="0"/>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Model</w:t>
            </w:r>
          </w:p>
        </w:tc>
        <w:tc>
          <w:tcPr>
            <w:tcW w:w="1091" w:type="pct"/>
            <w:tcBorders>
              <w:top w:val="single" w:color="auto" w:sz="4" w:space="0"/>
              <w:left w:val="nil"/>
              <w:bottom w:val="single" w:color="auto" w:sz="4" w:space="0"/>
              <w:right w:val="nil"/>
            </w:tcBorders>
            <w:vAlign w:val="center"/>
          </w:tcPr>
          <w:p>
            <w:pPr>
              <w:ind w:firstLine="200" w:firstLineChars="100"/>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AUC (95%</w:t>
            </w:r>
            <w:r>
              <w:rPr>
                <w:rFonts w:ascii="Times New Roman" w:hAnsi="Times New Roman" w:eastAsia="宋体" w:cs="Times New Roman"/>
                <w:i/>
                <w:kern w:val="0"/>
                <w:sz w:val="20"/>
                <w:szCs w:val="21"/>
              </w:rPr>
              <w:t>CI</w:t>
            </w:r>
            <w:r>
              <w:rPr>
                <w:rFonts w:ascii="Times New Roman" w:hAnsi="Times New Roman" w:eastAsia="宋体" w:cs="Times New Roman"/>
                <w:kern w:val="0"/>
                <w:sz w:val="20"/>
                <w:szCs w:val="21"/>
              </w:rPr>
              <w:t>)</w:t>
            </w:r>
          </w:p>
        </w:tc>
        <w:tc>
          <w:tcPr>
            <w:tcW w:w="668" w:type="pct"/>
            <w:tcBorders>
              <w:top w:val="single" w:color="auto" w:sz="4" w:space="0"/>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Optimal threshold</w:t>
            </w:r>
          </w:p>
        </w:tc>
        <w:tc>
          <w:tcPr>
            <w:tcW w:w="748" w:type="pct"/>
            <w:tcBorders>
              <w:top w:val="single" w:color="auto" w:sz="4" w:space="0"/>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Sensitivity (%)</w:t>
            </w:r>
          </w:p>
        </w:tc>
        <w:tc>
          <w:tcPr>
            <w:tcW w:w="755" w:type="pct"/>
            <w:gridSpan w:val="2"/>
            <w:tcBorders>
              <w:top w:val="single" w:color="auto" w:sz="4" w:space="0"/>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Specificity (%)</w:t>
            </w:r>
          </w:p>
        </w:tc>
        <w:tc>
          <w:tcPr>
            <w:tcW w:w="852" w:type="pct"/>
            <w:tcBorders>
              <w:top w:val="single" w:color="auto" w:sz="4" w:space="0"/>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Coincidence rate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single" w:color="auto" w:sz="4" w:space="0"/>
              <w:left w:val="nil"/>
              <w:bottom w:val="nil"/>
              <w:right w:val="nil"/>
            </w:tcBorders>
            <w:vAlign w:val="center"/>
          </w:tcPr>
          <w:p>
            <w:pPr>
              <w:widowControl/>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Logistic Regression</w:t>
            </w:r>
          </w:p>
        </w:tc>
        <w:tc>
          <w:tcPr>
            <w:tcW w:w="1091" w:type="pct"/>
            <w:tcBorders>
              <w:top w:val="single" w:color="auto" w:sz="4" w:space="0"/>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0.959 (0.917</w:t>
            </w:r>
            <w:r>
              <w:rPr>
                <w:rFonts w:hint="eastAsia" w:ascii="Times New Roman" w:hAnsi="Times New Roman" w:eastAsia="宋体" w:cs="Times New Roman"/>
                <w:kern w:val="0"/>
                <w:sz w:val="20"/>
                <w:szCs w:val="21"/>
              </w:rPr>
              <w:t>~</w:t>
            </w:r>
            <w:r>
              <w:rPr>
                <w:rFonts w:ascii="Times New Roman" w:hAnsi="Times New Roman" w:eastAsia="宋体" w:cs="Times New Roman"/>
                <w:kern w:val="0"/>
                <w:sz w:val="20"/>
                <w:szCs w:val="21"/>
              </w:rPr>
              <w:t>0.983)</w:t>
            </w:r>
          </w:p>
        </w:tc>
        <w:tc>
          <w:tcPr>
            <w:tcW w:w="668" w:type="pct"/>
            <w:tcBorders>
              <w:top w:val="single" w:color="auto" w:sz="4" w:space="0"/>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0.37</w:t>
            </w:r>
          </w:p>
        </w:tc>
        <w:tc>
          <w:tcPr>
            <w:tcW w:w="748" w:type="pct"/>
            <w:tcBorders>
              <w:top w:val="single" w:color="auto" w:sz="4" w:space="0"/>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92.05</w:t>
            </w:r>
          </w:p>
        </w:tc>
        <w:tc>
          <w:tcPr>
            <w:tcW w:w="660" w:type="pct"/>
            <w:tcBorders>
              <w:top w:val="single" w:color="auto" w:sz="4" w:space="0"/>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88.75</w:t>
            </w:r>
          </w:p>
        </w:tc>
        <w:tc>
          <w:tcPr>
            <w:tcW w:w="947" w:type="pct"/>
            <w:gridSpan w:val="2"/>
            <w:tcBorders>
              <w:top w:val="single" w:color="auto" w:sz="4" w:space="0"/>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90.48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nil"/>
              <w:left w:val="nil"/>
              <w:bottom w:val="nil"/>
              <w:right w:val="nil"/>
            </w:tcBorders>
            <w:vAlign w:val="center"/>
          </w:tcPr>
          <w:p>
            <w:pPr>
              <w:widowControl/>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Fisher Discriminant</w:t>
            </w:r>
          </w:p>
        </w:tc>
        <w:tc>
          <w:tcPr>
            <w:tcW w:w="1091" w:type="pct"/>
            <w:tcBorders>
              <w:top w:val="nil"/>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0.944 (0.898</w:t>
            </w:r>
            <w:r>
              <w:rPr>
                <w:rFonts w:hint="eastAsia" w:ascii="Times New Roman" w:hAnsi="Times New Roman" w:eastAsia="宋体" w:cs="Times New Roman"/>
                <w:kern w:val="0"/>
                <w:sz w:val="20"/>
                <w:szCs w:val="21"/>
              </w:rPr>
              <w:t>~</w:t>
            </w:r>
            <w:r>
              <w:rPr>
                <w:rFonts w:ascii="Times New Roman" w:hAnsi="Times New Roman" w:eastAsia="宋体" w:cs="Times New Roman"/>
                <w:kern w:val="0"/>
                <w:sz w:val="20"/>
                <w:szCs w:val="21"/>
              </w:rPr>
              <w:t>0.973)</w:t>
            </w:r>
          </w:p>
        </w:tc>
        <w:tc>
          <w:tcPr>
            <w:tcW w:w="668" w:type="pct"/>
            <w:tcBorders>
              <w:top w:val="nil"/>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0.60</w:t>
            </w:r>
          </w:p>
        </w:tc>
        <w:tc>
          <w:tcPr>
            <w:tcW w:w="748" w:type="pct"/>
            <w:tcBorders>
              <w:top w:val="nil"/>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94.32</w:t>
            </w:r>
          </w:p>
        </w:tc>
        <w:tc>
          <w:tcPr>
            <w:tcW w:w="660" w:type="pct"/>
            <w:tcBorders>
              <w:top w:val="nil"/>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85.00</w:t>
            </w:r>
          </w:p>
        </w:tc>
        <w:tc>
          <w:tcPr>
            <w:tcW w:w="947" w:type="pct"/>
            <w:gridSpan w:val="2"/>
            <w:tcBorders>
              <w:top w:val="nil"/>
              <w:left w:val="nil"/>
              <w:bottom w:val="nil"/>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89.88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nil"/>
              <w:left w:val="nil"/>
              <w:bottom w:val="single" w:color="auto" w:sz="4" w:space="0"/>
              <w:right w:val="nil"/>
            </w:tcBorders>
            <w:vAlign w:val="center"/>
          </w:tcPr>
          <w:p>
            <w:pPr>
              <w:widowControl/>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Bayes Discriminant</w:t>
            </w:r>
          </w:p>
        </w:tc>
        <w:tc>
          <w:tcPr>
            <w:tcW w:w="1091" w:type="pct"/>
            <w:tcBorders>
              <w:top w:val="nil"/>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0.944 (0.897</w:t>
            </w:r>
            <w:r>
              <w:rPr>
                <w:rFonts w:hint="eastAsia" w:ascii="Times New Roman" w:hAnsi="Times New Roman" w:eastAsia="宋体" w:cs="Times New Roman"/>
                <w:kern w:val="0"/>
                <w:sz w:val="20"/>
                <w:szCs w:val="21"/>
              </w:rPr>
              <w:t>~</w:t>
            </w:r>
            <w:r>
              <w:rPr>
                <w:rFonts w:ascii="Times New Roman" w:hAnsi="Times New Roman" w:eastAsia="宋体" w:cs="Times New Roman"/>
                <w:kern w:val="0"/>
                <w:sz w:val="20"/>
                <w:szCs w:val="21"/>
              </w:rPr>
              <w:t>0.973)</w:t>
            </w:r>
          </w:p>
        </w:tc>
        <w:tc>
          <w:tcPr>
            <w:tcW w:w="668" w:type="pct"/>
            <w:tcBorders>
              <w:top w:val="nil"/>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0.35</w:t>
            </w:r>
          </w:p>
        </w:tc>
        <w:tc>
          <w:tcPr>
            <w:tcW w:w="748" w:type="pct"/>
            <w:tcBorders>
              <w:top w:val="nil"/>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86.36</w:t>
            </w:r>
          </w:p>
        </w:tc>
        <w:tc>
          <w:tcPr>
            <w:tcW w:w="660" w:type="pct"/>
            <w:tcBorders>
              <w:top w:val="nil"/>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91.25</w:t>
            </w:r>
          </w:p>
        </w:tc>
        <w:tc>
          <w:tcPr>
            <w:tcW w:w="947" w:type="pct"/>
            <w:gridSpan w:val="2"/>
            <w:tcBorders>
              <w:top w:val="nil"/>
              <w:left w:val="nil"/>
              <w:bottom w:val="single" w:color="auto" w:sz="4" w:space="0"/>
              <w:right w:val="nil"/>
            </w:tcBorders>
            <w:vAlign w:val="center"/>
          </w:tcPr>
          <w:p>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88.69</w:t>
            </w:r>
          </w:p>
        </w:tc>
      </w:tr>
    </w:tbl>
    <w:p>
      <w:pPr>
        <w:rPr>
          <w:rFonts w:hint="default" w:ascii="Times New Roman" w:hAnsi="Times New Roman" w:cs="Times New Roman"/>
          <w:sz w:val="24"/>
          <w:szCs w:val="24"/>
        </w:rPr>
      </w:pPr>
      <w:r>
        <w:rPr>
          <w:rFonts w:hint="default" w:ascii="Times New Roman" w:hAnsi="Times New Roman" w:cs="Times New Roman"/>
          <w:i/>
          <w:iCs/>
          <w:sz w:val="24"/>
          <w:szCs w:val="24"/>
        </w:rPr>
        <w:t>CI</w:t>
      </w:r>
      <w:r>
        <w:rPr>
          <w:rFonts w:hint="default" w:ascii="Times New Roman" w:hAnsi="Times New Roman" w:cs="Times New Roman"/>
          <w:iCs/>
          <w:sz w:val="24"/>
          <w:szCs w:val="24"/>
        </w:rPr>
        <w:t>: confidence interval</w:t>
      </w: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6</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Testing of 3 models in screening NSCLC.</w:t>
      </w:r>
    </w:p>
    <w:tbl>
      <w:tblPr>
        <w:tblStyle w:val="5"/>
        <w:tblW w:w="5000" w:type="pct"/>
        <w:jc w:val="center"/>
        <w:tblLayout w:type="autofit"/>
        <w:tblCellMar>
          <w:top w:w="0" w:type="dxa"/>
          <w:left w:w="108" w:type="dxa"/>
          <w:bottom w:w="0" w:type="dxa"/>
          <w:right w:w="108" w:type="dxa"/>
        </w:tblCellMar>
      </w:tblPr>
      <w:tblGrid>
        <w:gridCol w:w="1508"/>
        <w:gridCol w:w="1064"/>
        <w:gridCol w:w="837"/>
        <w:gridCol w:w="944"/>
        <w:gridCol w:w="1292"/>
        <w:gridCol w:w="1427"/>
        <w:gridCol w:w="1450"/>
      </w:tblGrid>
      <w:tr>
        <w:tblPrEx>
          <w:tblCellMar>
            <w:top w:w="0" w:type="dxa"/>
            <w:left w:w="108" w:type="dxa"/>
            <w:bottom w:w="0" w:type="dxa"/>
            <w:right w:w="108" w:type="dxa"/>
          </w:tblCellMar>
        </w:tblPrEx>
        <w:trPr>
          <w:trHeight w:val="300" w:hRule="atLeast"/>
          <w:jc w:val="center"/>
        </w:trPr>
        <w:tc>
          <w:tcPr>
            <w:tcW w:w="885" w:type="pct"/>
            <w:vMerge w:val="restart"/>
            <w:tcBorders>
              <w:top w:val="single" w:color="auto" w:sz="4" w:space="0"/>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Model</w:t>
            </w:r>
          </w:p>
        </w:tc>
        <w:tc>
          <w:tcPr>
            <w:tcW w:w="1669"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Mistake in judgment/Test set</w:t>
            </w:r>
          </w:p>
        </w:tc>
        <w:tc>
          <w:tcPr>
            <w:tcW w:w="2446" w:type="pct"/>
            <w:gridSpan w:val="3"/>
            <w:tcBorders>
              <w:top w:val="single" w:color="auto" w:sz="4" w:space="0"/>
              <w:left w:val="single" w:color="auto" w:sz="4" w:space="0"/>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Report</w:t>
            </w:r>
          </w:p>
        </w:tc>
      </w:tr>
      <w:tr>
        <w:tblPrEx>
          <w:tblCellMar>
            <w:top w:w="0" w:type="dxa"/>
            <w:left w:w="108" w:type="dxa"/>
            <w:bottom w:w="0" w:type="dxa"/>
            <w:right w:w="108" w:type="dxa"/>
          </w:tblCellMar>
        </w:tblPrEx>
        <w:trPr>
          <w:trHeight w:val="285" w:hRule="atLeast"/>
          <w:jc w:val="center"/>
        </w:trPr>
        <w:tc>
          <w:tcPr>
            <w:tcW w:w="885" w:type="pct"/>
            <w:vMerge w:val="continue"/>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s="Times New Roman"/>
                <w:iCs/>
                <w:kern w:val="0"/>
                <w:sz w:val="20"/>
                <w:szCs w:val="24"/>
              </w:rPr>
            </w:pPr>
          </w:p>
        </w:tc>
        <w:tc>
          <w:tcPr>
            <w:tcW w:w="624" w:type="pct"/>
            <w:tcBorders>
              <w:top w:val="single" w:color="auto" w:sz="4" w:space="0"/>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 xml:space="preserve">NSCLC </w:t>
            </w:r>
          </w:p>
        </w:tc>
        <w:tc>
          <w:tcPr>
            <w:tcW w:w="491"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 xml:space="preserve">HC </w:t>
            </w:r>
          </w:p>
        </w:tc>
        <w:tc>
          <w:tcPr>
            <w:tcW w:w="553" w:type="pct"/>
            <w:tcBorders>
              <w:top w:val="single" w:color="auto" w:sz="4" w:space="0"/>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Total</w:t>
            </w:r>
          </w:p>
        </w:tc>
        <w:tc>
          <w:tcPr>
            <w:tcW w:w="758" w:type="pct"/>
            <w:tcBorders>
              <w:top w:val="single" w:color="auto" w:sz="4" w:space="0"/>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Sensitivity (%)</w:t>
            </w:r>
          </w:p>
        </w:tc>
        <w:tc>
          <w:tcPr>
            <w:tcW w:w="837"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Specificity (%)</w:t>
            </w:r>
          </w:p>
        </w:tc>
        <w:tc>
          <w:tcPr>
            <w:tcW w:w="852"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Coincidence rate (%)</w:t>
            </w:r>
          </w:p>
        </w:tc>
      </w:tr>
      <w:tr>
        <w:tblPrEx>
          <w:tblCellMar>
            <w:top w:w="0" w:type="dxa"/>
            <w:left w:w="108" w:type="dxa"/>
            <w:bottom w:w="0" w:type="dxa"/>
            <w:right w:w="108" w:type="dxa"/>
          </w:tblCellMar>
        </w:tblPrEx>
        <w:trPr>
          <w:trHeight w:val="285" w:hRule="atLeast"/>
          <w:jc w:val="center"/>
        </w:trPr>
        <w:tc>
          <w:tcPr>
            <w:tcW w:w="885" w:type="pct"/>
            <w:tcBorders>
              <w:top w:val="single" w:color="auto" w:sz="4" w:space="0"/>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Logistic Regression</w:t>
            </w:r>
          </w:p>
        </w:tc>
        <w:tc>
          <w:tcPr>
            <w:tcW w:w="624" w:type="pct"/>
            <w:tcBorders>
              <w:top w:val="single" w:color="auto" w:sz="4" w:space="0"/>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2/22</w:t>
            </w:r>
          </w:p>
        </w:tc>
        <w:tc>
          <w:tcPr>
            <w:tcW w:w="491" w:type="pct"/>
            <w:tcBorders>
              <w:top w:val="single" w:color="auto" w:sz="4" w:space="0"/>
              <w:left w:val="nil"/>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2/20</w:t>
            </w:r>
          </w:p>
        </w:tc>
        <w:tc>
          <w:tcPr>
            <w:tcW w:w="553" w:type="pct"/>
            <w:tcBorders>
              <w:top w:val="single" w:color="auto" w:sz="4" w:space="0"/>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3/42</w:t>
            </w:r>
          </w:p>
        </w:tc>
        <w:tc>
          <w:tcPr>
            <w:tcW w:w="758" w:type="pct"/>
            <w:tcBorders>
              <w:top w:val="single" w:color="auto" w:sz="4" w:space="0"/>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90.91</w:t>
            </w:r>
          </w:p>
        </w:tc>
        <w:tc>
          <w:tcPr>
            <w:tcW w:w="837" w:type="pct"/>
            <w:tcBorders>
              <w:top w:val="single" w:color="auto" w:sz="4" w:space="0"/>
              <w:left w:val="nil"/>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90.00</w:t>
            </w:r>
          </w:p>
        </w:tc>
        <w:tc>
          <w:tcPr>
            <w:tcW w:w="852" w:type="pct"/>
            <w:tcBorders>
              <w:top w:val="single" w:color="auto" w:sz="4" w:space="0"/>
              <w:left w:val="nil"/>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90.48</w:t>
            </w:r>
          </w:p>
        </w:tc>
      </w:tr>
      <w:tr>
        <w:tblPrEx>
          <w:tblCellMar>
            <w:top w:w="0" w:type="dxa"/>
            <w:left w:w="108" w:type="dxa"/>
            <w:bottom w:w="0" w:type="dxa"/>
            <w:right w:w="108" w:type="dxa"/>
          </w:tblCellMar>
        </w:tblPrEx>
        <w:trPr>
          <w:trHeight w:val="285" w:hRule="atLeast"/>
          <w:jc w:val="center"/>
        </w:trPr>
        <w:tc>
          <w:tcPr>
            <w:tcW w:w="885" w:type="pct"/>
            <w:tcBorders>
              <w:top w:val="nil"/>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Fisher Discriminant</w:t>
            </w:r>
          </w:p>
        </w:tc>
        <w:tc>
          <w:tcPr>
            <w:tcW w:w="624" w:type="pct"/>
            <w:tcBorders>
              <w:top w:val="nil"/>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1/22</w:t>
            </w:r>
          </w:p>
        </w:tc>
        <w:tc>
          <w:tcPr>
            <w:tcW w:w="491"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6/20</w:t>
            </w:r>
          </w:p>
        </w:tc>
        <w:tc>
          <w:tcPr>
            <w:tcW w:w="553" w:type="pct"/>
            <w:tcBorders>
              <w:top w:val="nil"/>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7/42</w:t>
            </w:r>
          </w:p>
        </w:tc>
        <w:tc>
          <w:tcPr>
            <w:tcW w:w="758" w:type="pct"/>
            <w:tcBorders>
              <w:top w:val="nil"/>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95.45</w:t>
            </w:r>
          </w:p>
        </w:tc>
        <w:tc>
          <w:tcPr>
            <w:tcW w:w="837"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70.00</w:t>
            </w:r>
          </w:p>
        </w:tc>
        <w:tc>
          <w:tcPr>
            <w:tcW w:w="852"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83.33</w:t>
            </w:r>
          </w:p>
        </w:tc>
      </w:tr>
      <w:tr>
        <w:tblPrEx>
          <w:tblCellMar>
            <w:top w:w="0" w:type="dxa"/>
            <w:left w:w="108" w:type="dxa"/>
            <w:bottom w:w="0" w:type="dxa"/>
            <w:right w:w="108" w:type="dxa"/>
          </w:tblCellMar>
        </w:tblPrEx>
        <w:trPr>
          <w:trHeight w:val="285" w:hRule="atLeast"/>
          <w:jc w:val="center"/>
        </w:trPr>
        <w:tc>
          <w:tcPr>
            <w:tcW w:w="885" w:type="pct"/>
            <w:tcBorders>
              <w:top w:val="nil"/>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Bayes Discriminant</w:t>
            </w:r>
          </w:p>
        </w:tc>
        <w:tc>
          <w:tcPr>
            <w:tcW w:w="624" w:type="pct"/>
            <w:tcBorders>
              <w:top w:val="nil"/>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5/22</w:t>
            </w:r>
          </w:p>
        </w:tc>
        <w:tc>
          <w:tcPr>
            <w:tcW w:w="491"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3/20</w:t>
            </w:r>
          </w:p>
        </w:tc>
        <w:tc>
          <w:tcPr>
            <w:tcW w:w="553" w:type="pct"/>
            <w:tcBorders>
              <w:top w:val="nil"/>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8/42</w:t>
            </w:r>
          </w:p>
        </w:tc>
        <w:tc>
          <w:tcPr>
            <w:tcW w:w="758" w:type="pct"/>
            <w:tcBorders>
              <w:top w:val="nil"/>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77.27</w:t>
            </w:r>
          </w:p>
        </w:tc>
        <w:tc>
          <w:tcPr>
            <w:tcW w:w="837"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85.00</w:t>
            </w:r>
          </w:p>
        </w:tc>
        <w:tc>
          <w:tcPr>
            <w:tcW w:w="852"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80.95</w:t>
            </w:r>
          </w:p>
        </w:tc>
      </w:tr>
    </w:tbl>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7</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Diagnosis model by stepwise binary logistic regression analysis in training samples.</w:t>
      </w:r>
    </w:p>
    <w:tbl>
      <w:tblPr>
        <w:tblStyle w:val="5"/>
        <w:tblW w:w="5000" w:type="pct"/>
        <w:jc w:val="center"/>
        <w:tblLayout w:type="autofit"/>
        <w:tblCellMar>
          <w:top w:w="0" w:type="dxa"/>
          <w:left w:w="108" w:type="dxa"/>
          <w:bottom w:w="0" w:type="dxa"/>
          <w:right w:w="108" w:type="dxa"/>
        </w:tblCellMar>
      </w:tblPr>
      <w:tblGrid>
        <w:gridCol w:w="1395"/>
        <w:gridCol w:w="1081"/>
        <w:gridCol w:w="1074"/>
        <w:gridCol w:w="1284"/>
        <w:gridCol w:w="817"/>
        <w:gridCol w:w="2547"/>
        <w:gridCol w:w="324"/>
      </w:tblGrid>
      <w:tr>
        <w:tblPrEx>
          <w:tblCellMar>
            <w:top w:w="0" w:type="dxa"/>
            <w:left w:w="108" w:type="dxa"/>
            <w:bottom w:w="0" w:type="dxa"/>
            <w:right w:w="108" w:type="dxa"/>
          </w:tblCellMar>
        </w:tblPrEx>
        <w:trPr>
          <w:trHeight w:val="300" w:hRule="atLeast"/>
          <w:jc w:val="center"/>
        </w:trPr>
        <w:tc>
          <w:tcPr>
            <w:tcW w:w="819"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Index</w:t>
            </w:r>
          </w:p>
        </w:tc>
        <w:tc>
          <w:tcPr>
            <w:tcW w:w="634"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B</w:t>
            </w:r>
          </w:p>
        </w:tc>
        <w:tc>
          <w:tcPr>
            <w:tcW w:w="630"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S.E</w:t>
            </w:r>
          </w:p>
        </w:tc>
        <w:tc>
          <w:tcPr>
            <w:tcW w:w="753"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Wald</w:t>
            </w:r>
          </w:p>
        </w:tc>
        <w:tc>
          <w:tcPr>
            <w:tcW w:w="479"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P</w:t>
            </w:r>
          </w:p>
        </w:tc>
        <w:tc>
          <w:tcPr>
            <w:tcW w:w="1494" w:type="pct"/>
            <w:tcBorders>
              <w:top w:val="single" w:color="auto" w:sz="4" w:space="0"/>
              <w:left w:val="nil"/>
              <w:bottom w:val="single" w:color="auto" w:sz="4" w:space="0"/>
              <w:right w:val="nil"/>
            </w:tcBorders>
            <w:noWrap/>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OR</w:t>
            </w:r>
          </w:p>
        </w:tc>
        <w:tc>
          <w:tcPr>
            <w:tcW w:w="190" w:type="pct"/>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p>
        </w:tc>
      </w:tr>
      <w:tr>
        <w:tblPrEx>
          <w:tblCellMar>
            <w:top w:w="0" w:type="dxa"/>
            <w:left w:w="108" w:type="dxa"/>
            <w:bottom w:w="0" w:type="dxa"/>
            <w:right w:w="108" w:type="dxa"/>
          </w:tblCellMar>
        </w:tblPrEx>
        <w:trPr>
          <w:trHeight w:val="285"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ApoA2</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-0.141</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0.049</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8.096</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0.004</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0.869 (0.789～0.957)</w:t>
            </w:r>
          </w:p>
        </w:tc>
      </w:tr>
      <w:tr>
        <w:tblPrEx>
          <w:tblCellMar>
            <w:top w:w="0" w:type="dxa"/>
            <w:left w:w="108" w:type="dxa"/>
            <w:bottom w:w="0" w:type="dxa"/>
            <w:right w:w="108" w:type="dxa"/>
          </w:tblCellMar>
        </w:tblPrEx>
        <w:trPr>
          <w:trHeight w:val="285"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Lp(a)</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-0.003</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0.001</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6.317</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0.012</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0.998 (0.996～0.999)</w:t>
            </w:r>
          </w:p>
        </w:tc>
      </w:tr>
      <w:tr>
        <w:tblPrEx>
          <w:tblCellMar>
            <w:top w:w="0" w:type="dxa"/>
            <w:left w:w="108" w:type="dxa"/>
            <w:bottom w:w="0" w:type="dxa"/>
            <w:right w:w="108" w:type="dxa"/>
          </w:tblCellMar>
        </w:tblPrEx>
        <w:trPr>
          <w:trHeight w:val="285"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C3</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-1.949</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0.857</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5.170</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0.023</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0.142 (0.027～0.764)</w:t>
            </w:r>
          </w:p>
        </w:tc>
      </w:tr>
      <w:tr>
        <w:tblPrEx>
          <w:tblCellMar>
            <w:top w:w="0" w:type="dxa"/>
            <w:left w:w="108" w:type="dxa"/>
            <w:bottom w:w="0" w:type="dxa"/>
            <w:right w:w="108" w:type="dxa"/>
          </w:tblCellMar>
        </w:tblPrEx>
        <w:trPr>
          <w:trHeight w:val="285"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Fg</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0.356</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0.206</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2.981</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0.084</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1.428 (0.953～2.139)</w:t>
            </w:r>
          </w:p>
        </w:tc>
      </w:tr>
      <w:tr>
        <w:tblPrEx>
          <w:tblCellMar>
            <w:top w:w="0" w:type="dxa"/>
            <w:left w:w="108" w:type="dxa"/>
            <w:bottom w:w="0" w:type="dxa"/>
            <w:right w:w="108" w:type="dxa"/>
          </w:tblCellMar>
        </w:tblPrEx>
        <w:trPr>
          <w:trHeight w:val="285"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Cit</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-0.058</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0.022</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6.929</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0.008</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0.944 (0.904～0.989)</w:t>
            </w:r>
          </w:p>
        </w:tc>
      </w:tr>
      <w:tr>
        <w:tblPrEx>
          <w:tblCellMar>
            <w:top w:w="0" w:type="dxa"/>
            <w:left w:w="108" w:type="dxa"/>
            <w:bottom w:w="0" w:type="dxa"/>
            <w:right w:w="108" w:type="dxa"/>
          </w:tblCellMar>
        </w:tblPrEx>
        <w:trPr>
          <w:trHeight w:val="285"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GDCA</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-0.002</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0.001</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6.719</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0.010</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0.998 (0.996～0.985)</w:t>
            </w:r>
          </w:p>
        </w:tc>
      </w:tr>
      <w:tr>
        <w:tblPrEx>
          <w:tblCellMar>
            <w:top w:w="0" w:type="dxa"/>
            <w:left w:w="108" w:type="dxa"/>
            <w:bottom w:w="0" w:type="dxa"/>
            <w:right w:w="108" w:type="dxa"/>
          </w:tblCellMar>
        </w:tblPrEx>
        <w:trPr>
          <w:trHeight w:val="270"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TCDCA</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0.002</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0.001</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3.924</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0.048</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1.002 (1.000～1.004)</w:t>
            </w:r>
          </w:p>
        </w:tc>
      </w:tr>
      <w:tr>
        <w:tblPrEx>
          <w:tblCellMar>
            <w:top w:w="0" w:type="dxa"/>
            <w:left w:w="108" w:type="dxa"/>
            <w:bottom w:w="0" w:type="dxa"/>
            <w:right w:w="108" w:type="dxa"/>
          </w:tblCellMar>
        </w:tblPrEx>
        <w:trPr>
          <w:trHeight w:val="270"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CYFRA21-1</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-0.206</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0.083</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6.199</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0.013</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0.813 (0.691～0.957)</w:t>
            </w:r>
          </w:p>
        </w:tc>
      </w:tr>
      <w:tr>
        <w:tblPrEx>
          <w:tblCellMar>
            <w:top w:w="0" w:type="dxa"/>
            <w:left w:w="108" w:type="dxa"/>
            <w:bottom w:w="0" w:type="dxa"/>
            <w:right w:w="108" w:type="dxa"/>
          </w:tblCellMar>
        </w:tblPrEx>
        <w:trPr>
          <w:trHeight w:val="270" w:hRule="atLeast"/>
          <w:jc w:val="center"/>
        </w:trPr>
        <w:tc>
          <w:tcPr>
            <w:tcW w:w="81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NSE</w:t>
            </w:r>
          </w:p>
        </w:tc>
        <w:tc>
          <w:tcPr>
            <w:tcW w:w="634"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-0.076</w:t>
            </w:r>
          </w:p>
        </w:tc>
        <w:tc>
          <w:tcPr>
            <w:tcW w:w="630"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0.050</w:t>
            </w:r>
          </w:p>
        </w:tc>
        <w:tc>
          <w:tcPr>
            <w:tcW w:w="753"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2.327</w:t>
            </w:r>
          </w:p>
        </w:tc>
        <w:tc>
          <w:tcPr>
            <w:tcW w:w="479" w:type="pct"/>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0.127</w:t>
            </w:r>
          </w:p>
        </w:tc>
        <w:tc>
          <w:tcPr>
            <w:tcW w:w="1684" w:type="pct"/>
            <w:gridSpan w:val="2"/>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0.927 (0.841～1.022)</w:t>
            </w:r>
          </w:p>
        </w:tc>
      </w:tr>
      <w:tr>
        <w:tblPrEx>
          <w:tblCellMar>
            <w:top w:w="0" w:type="dxa"/>
            <w:left w:w="108" w:type="dxa"/>
            <w:bottom w:w="0" w:type="dxa"/>
            <w:right w:w="108" w:type="dxa"/>
          </w:tblCellMar>
        </w:tblPrEx>
        <w:trPr>
          <w:trHeight w:val="270" w:hRule="atLeast"/>
          <w:jc w:val="center"/>
        </w:trPr>
        <w:tc>
          <w:tcPr>
            <w:tcW w:w="819"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constant</w:t>
            </w:r>
          </w:p>
        </w:tc>
        <w:tc>
          <w:tcPr>
            <w:tcW w:w="634"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8.266</w:t>
            </w:r>
          </w:p>
        </w:tc>
        <w:tc>
          <w:tcPr>
            <w:tcW w:w="630"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1.761</w:t>
            </w:r>
          </w:p>
        </w:tc>
        <w:tc>
          <w:tcPr>
            <w:tcW w:w="753"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22.022</w:t>
            </w:r>
          </w:p>
        </w:tc>
        <w:tc>
          <w:tcPr>
            <w:tcW w:w="479" w:type="pct"/>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0.000</w:t>
            </w:r>
          </w:p>
        </w:tc>
        <w:tc>
          <w:tcPr>
            <w:tcW w:w="1684" w:type="pct"/>
            <w:gridSpan w:val="2"/>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w:t>
            </w:r>
          </w:p>
        </w:tc>
      </w:tr>
    </w:tbl>
    <w:p>
      <w:pPr>
        <w:rPr>
          <w:rFonts w:hint="default" w:ascii="Times New Roman" w:hAnsi="Times New Roman" w:cs="Times New Roman"/>
          <w:sz w:val="24"/>
          <w:szCs w:val="24"/>
          <w:highlight w:val="green"/>
        </w:rPr>
      </w:pPr>
      <w:r>
        <w:rPr>
          <w:rFonts w:hint="default" w:ascii="Times New Roman" w:hAnsi="Times New Roman" w:cs="Times New Roman"/>
          <w:i/>
          <w:sz w:val="24"/>
          <w:szCs w:val="24"/>
        </w:rPr>
        <w:t>B</w:t>
      </w:r>
      <w:r>
        <w:rPr>
          <w:rFonts w:hint="default" w:ascii="Times New Roman" w:hAnsi="Times New Roman" w:cs="Times New Roman"/>
          <w:sz w:val="24"/>
          <w:szCs w:val="24"/>
        </w:rPr>
        <w:t xml:space="preserve">: regression coefficient </w:t>
      </w:r>
      <w:r>
        <w:rPr>
          <w:rFonts w:hint="default" w:ascii="Times New Roman" w:hAnsi="Times New Roman" w:cs="Times New Roman"/>
          <w:i/>
          <w:iCs/>
          <w:sz w:val="24"/>
          <w:szCs w:val="24"/>
        </w:rPr>
        <w:t>β</w:t>
      </w:r>
      <w:r>
        <w:rPr>
          <w:rFonts w:hint="default" w:ascii="Times New Roman" w:hAnsi="Times New Roman" w:cs="Times New Roman"/>
          <w:sz w:val="24"/>
          <w:szCs w:val="24"/>
        </w:rPr>
        <w:t xml:space="preserve">; </w:t>
      </w:r>
      <w:r>
        <w:rPr>
          <w:rFonts w:hint="default" w:ascii="Times New Roman" w:hAnsi="Times New Roman" w:cs="Times New Roman"/>
          <w:i/>
          <w:sz w:val="24"/>
          <w:szCs w:val="24"/>
        </w:rPr>
        <w:t>S.E</w:t>
      </w:r>
      <w:r>
        <w:rPr>
          <w:rFonts w:hint="default" w:ascii="Times New Roman" w:hAnsi="Times New Roman" w:cs="Times New Roman"/>
          <w:sz w:val="24"/>
          <w:szCs w:val="24"/>
        </w:rPr>
        <w:t xml:space="preserve">: standard deviation; </w:t>
      </w:r>
      <w:r>
        <w:rPr>
          <w:rFonts w:hint="default" w:ascii="Times New Roman" w:hAnsi="Times New Roman" w:cs="Times New Roman"/>
          <w:i/>
          <w:sz w:val="24"/>
          <w:szCs w:val="24"/>
        </w:rPr>
        <w:t>Wald</w:t>
      </w:r>
      <w:r>
        <w:rPr>
          <w:rFonts w:hint="default" w:ascii="Times New Roman" w:hAnsi="Times New Roman" w:cs="Times New Roman"/>
          <w:sz w:val="24"/>
          <w:szCs w:val="24"/>
        </w:rPr>
        <w:t xml:space="preserve">: Wald Chi-square value; </w:t>
      </w:r>
      <w:r>
        <w:rPr>
          <w:rFonts w:hint="default" w:ascii="Times New Roman" w:hAnsi="Times New Roman" w:cs="Times New Roman"/>
          <w:i/>
          <w:sz w:val="24"/>
          <w:szCs w:val="24"/>
        </w:rPr>
        <w:t>OR</w:t>
      </w:r>
      <w:r>
        <w:rPr>
          <w:rFonts w:hint="default" w:ascii="Times New Roman" w:hAnsi="Times New Roman" w:cs="Times New Roman"/>
          <w:sz w:val="24"/>
          <w:szCs w:val="24"/>
        </w:rPr>
        <w:t>: odds ratio.</w:t>
      </w:r>
    </w:p>
    <w:p>
      <w:pPr>
        <w:rPr>
          <w:rFonts w:hint="default" w:ascii="Times New Roman" w:hAnsi="Times New Roman" w:cs="Times New Roman"/>
          <w:highlight w:val="green"/>
        </w:rPr>
      </w:pPr>
    </w:p>
    <w:p>
      <w:pPr>
        <w:rPr>
          <w:rFonts w:hint="default" w:ascii="Times New Roman" w:hAnsi="Times New Roman" w:cs="Times New Roman"/>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i w:val="0"/>
          <w:iCs w:val="0"/>
          <w:sz w:val="24"/>
          <w:szCs w:val="24"/>
        </w:rPr>
      </w:pPr>
      <w:r>
        <w:rPr>
          <w:rFonts w:hint="default" w:ascii="Times New Roman" w:hAnsi="Times New Roman" w:cs="Times New Roman"/>
          <w:b/>
          <w:bCs/>
          <w:i w:val="0"/>
          <w:iCs w:val="0"/>
          <w:sz w:val="24"/>
          <w:szCs w:val="24"/>
        </w:rPr>
        <w:t xml:space="preserve">Supplementary Table </w:t>
      </w:r>
      <w:r>
        <w:rPr>
          <w:rFonts w:hint="default" w:ascii="Times New Roman" w:hAnsi="Times New Roman" w:cs="Times New Roman"/>
          <w:b/>
          <w:bCs/>
          <w:i w:val="0"/>
          <w:iCs w:val="0"/>
          <w:sz w:val="24"/>
          <w:szCs w:val="24"/>
        </w:rPr>
        <w:fldChar w:fldCharType="begin"/>
      </w:r>
      <w:r>
        <w:rPr>
          <w:rFonts w:hint="default" w:ascii="Times New Roman" w:hAnsi="Times New Roman" w:cs="Times New Roman"/>
          <w:b/>
          <w:bCs/>
          <w:i w:val="0"/>
          <w:iCs w:val="0"/>
          <w:sz w:val="24"/>
          <w:szCs w:val="24"/>
        </w:rPr>
        <w:instrText xml:space="preserve"> SEQ Supplementary_Table \* ARABIC </w:instrText>
      </w:r>
      <w:r>
        <w:rPr>
          <w:rFonts w:hint="default" w:ascii="Times New Roman" w:hAnsi="Times New Roman" w:cs="Times New Roman"/>
          <w:b/>
          <w:bCs/>
          <w:i w:val="0"/>
          <w:iCs w:val="0"/>
          <w:sz w:val="24"/>
          <w:szCs w:val="24"/>
        </w:rPr>
        <w:fldChar w:fldCharType="separate"/>
      </w:r>
      <w:r>
        <w:rPr>
          <w:rFonts w:hint="default" w:ascii="Times New Roman" w:hAnsi="Times New Roman" w:cs="Times New Roman"/>
          <w:b/>
          <w:bCs/>
          <w:i w:val="0"/>
          <w:iCs w:val="0"/>
          <w:sz w:val="24"/>
          <w:szCs w:val="24"/>
        </w:rPr>
        <w:t>8</w:t>
      </w:r>
      <w:r>
        <w:rPr>
          <w:rFonts w:hint="default" w:ascii="Times New Roman" w:hAnsi="Times New Roman" w:cs="Times New Roman"/>
          <w:b/>
          <w:bCs/>
          <w:i w:val="0"/>
          <w:iCs w:val="0"/>
          <w:sz w:val="24"/>
          <w:szCs w:val="24"/>
        </w:rPr>
        <w:fldChar w:fldCharType="end"/>
      </w:r>
      <w:r>
        <w:rPr>
          <w:rFonts w:hint="default" w:ascii="Times New Roman" w:hAnsi="Times New Roman" w:cs="Times New Roman"/>
          <w:b/>
          <w:bCs/>
          <w:i w:val="0"/>
          <w:iCs w:val="0"/>
          <w:sz w:val="24"/>
          <w:szCs w:val="24"/>
        </w:rPr>
        <w:t>:</w:t>
      </w:r>
      <w:r>
        <w:rPr>
          <w:rFonts w:hint="default" w:ascii="Times New Roman" w:hAnsi="Times New Roman" w:cs="Times New Roman"/>
          <w:i w:val="0"/>
          <w:iCs w:val="0"/>
          <w:sz w:val="24"/>
          <w:szCs w:val="24"/>
        </w:rPr>
        <w:t xml:space="preserve"> Performance analysis of 3 models in differentiating NSCLC and BPD.</w:t>
      </w:r>
    </w:p>
    <w:tbl>
      <w:tblPr>
        <w:tblStyle w:val="5"/>
        <w:tblW w:w="50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09"/>
        <w:gridCol w:w="1860"/>
        <w:gridCol w:w="1139"/>
        <w:gridCol w:w="1275"/>
        <w:gridCol w:w="1125"/>
        <w:gridCol w:w="162"/>
        <w:gridCol w:w="145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single" w:color="auto" w:sz="4" w:space="0"/>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Model</w:t>
            </w:r>
          </w:p>
        </w:tc>
        <w:tc>
          <w:tcPr>
            <w:tcW w:w="1091" w:type="pct"/>
            <w:tcBorders>
              <w:top w:val="single" w:color="auto" w:sz="4" w:space="0"/>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AUC (95%CI)</w:t>
            </w:r>
          </w:p>
        </w:tc>
        <w:tc>
          <w:tcPr>
            <w:tcW w:w="668" w:type="pct"/>
            <w:tcBorders>
              <w:top w:val="single" w:color="auto" w:sz="4" w:space="0"/>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Optimal threshold</w:t>
            </w:r>
          </w:p>
        </w:tc>
        <w:tc>
          <w:tcPr>
            <w:tcW w:w="748" w:type="pct"/>
            <w:tcBorders>
              <w:top w:val="single" w:color="auto" w:sz="4" w:space="0"/>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Sensitivity (%)</w:t>
            </w:r>
          </w:p>
        </w:tc>
        <w:tc>
          <w:tcPr>
            <w:tcW w:w="755" w:type="pct"/>
            <w:gridSpan w:val="2"/>
            <w:tcBorders>
              <w:top w:val="single" w:color="auto" w:sz="4" w:space="0"/>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Specificity (%)</w:t>
            </w:r>
          </w:p>
        </w:tc>
        <w:tc>
          <w:tcPr>
            <w:tcW w:w="852" w:type="pct"/>
            <w:tcBorders>
              <w:top w:val="single" w:color="auto" w:sz="4" w:space="0"/>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Coincidence rate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single" w:color="auto" w:sz="4" w:space="0"/>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Logistic Regression</w:t>
            </w:r>
          </w:p>
        </w:tc>
        <w:tc>
          <w:tcPr>
            <w:tcW w:w="1091" w:type="pct"/>
            <w:tcBorders>
              <w:top w:val="single" w:color="auto" w:sz="4" w:space="0"/>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0.871 (0.814~0.918)</w:t>
            </w:r>
          </w:p>
        </w:tc>
        <w:tc>
          <w:tcPr>
            <w:tcW w:w="668" w:type="pct"/>
            <w:tcBorders>
              <w:top w:val="single" w:color="auto" w:sz="4" w:space="0"/>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0.50</w:t>
            </w:r>
          </w:p>
        </w:tc>
        <w:tc>
          <w:tcPr>
            <w:tcW w:w="748" w:type="pct"/>
            <w:tcBorders>
              <w:top w:val="single" w:color="auto" w:sz="4" w:space="0"/>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86.36</w:t>
            </w:r>
          </w:p>
        </w:tc>
        <w:tc>
          <w:tcPr>
            <w:tcW w:w="660" w:type="pct"/>
            <w:tcBorders>
              <w:top w:val="single" w:color="auto" w:sz="4" w:space="0"/>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77.91</w:t>
            </w:r>
          </w:p>
        </w:tc>
        <w:tc>
          <w:tcPr>
            <w:tcW w:w="947" w:type="pct"/>
            <w:gridSpan w:val="2"/>
            <w:tcBorders>
              <w:top w:val="single" w:color="auto" w:sz="4" w:space="0"/>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82.18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nil"/>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Fisher Discriminant</w:t>
            </w:r>
          </w:p>
        </w:tc>
        <w:tc>
          <w:tcPr>
            <w:tcW w:w="1091" w:type="pct"/>
            <w:tcBorders>
              <w:top w:val="nil"/>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0.859 (0.798~0.907)</w:t>
            </w:r>
          </w:p>
        </w:tc>
        <w:tc>
          <w:tcPr>
            <w:tcW w:w="668" w:type="pct"/>
            <w:tcBorders>
              <w:top w:val="nil"/>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0.45</w:t>
            </w:r>
          </w:p>
        </w:tc>
        <w:tc>
          <w:tcPr>
            <w:tcW w:w="748" w:type="pct"/>
            <w:tcBorders>
              <w:top w:val="nil"/>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89.77</w:t>
            </w:r>
          </w:p>
        </w:tc>
        <w:tc>
          <w:tcPr>
            <w:tcW w:w="660" w:type="pct"/>
            <w:tcBorders>
              <w:top w:val="nil"/>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74.42</w:t>
            </w:r>
          </w:p>
        </w:tc>
        <w:tc>
          <w:tcPr>
            <w:tcW w:w="947" w:type="pct"/>
            <w:gridSpan w:val="2"/>
            <w:tcBorders>
              <w:top w:val="nil"/>
              <w:left w:val="nil"/>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82.18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6" w:type="pct"/>
            <w:tcBorders>
              <w:top w:val="nil"/>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Bayes Discriminant</w:t>
            </w:r>
          </w:p>
        </w:tc>
        <w:tc>
          <w:tcPr>
            <w:tcW w:w="1091" w:type="pct"/>
            <w:tcBorders>
              <w:top w:val="nil"/>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0.855 (0.794~0.904)</w:t>
            </w:r>
          </w:p>
        </w:tc>
        <w:tc>
          <w:tcPr>
            <w:tcW w:w="668" w:type="pct"/>
            <w:tcBorders>
              <w:top w:val="nil"/>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0.42</w:t>
            </w:r>
          </w:p>
        </w:tc>
        <w:tc>
          <w:tcPr>
            <w:tcW w:w="748" w:type="pct"/>
            <w:tcBorders>
              <w:top w:val="nil"/>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88.64</w:t>
            </w:r>
          </w:p>
        </w:tc>
        <w:tc>
          <w:tcPr>
            <w:tcW w:w="660" w:type="pct"/>
            <w:tcBorders>
              <w:top w:val="nil"/>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74.42</w:t>
            </w:r>
          </w:p>
        </w:tc>
        <w:tc>
          <w:tcPr>
            <w:tcW w:w="947" w:type="pct"/>
            <w:gridSpan w:val="2"/>
            <w:tcBorders>
              <w:top w:val="nil"/>
              <w:left w:val="nil"/>
              <w:bottom w:val="single" w:color="auto" w:sz="4" w:space="0"/>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81.61</w:t>
            </w:r>
          </w:p>
        </w:tc>
      </w:tr>
    </w:tbl>
    <w:p>
      <w:pPr>
        <w:ind w:firstLine="200" w:firstLineChars="100"/>
        <w:rPr>
          <w:rFonts w:ascii="Arial" w:hAnsi="Arial" w:cs="Arial"/>
          <w:sz w:val="20"/>
          <w:szCs w:val="20"/>
        </w:rPr>
      </w:pPr>
      <w:r>
        <w:rPr>
          <w:rFonts w:ascii="Arial" w:hAnsi="Arial" w:cs="Arial"/>
          <w:i/>
          <w:iCs/>
          <w:sz w:val="20"/>
          <w:szCs w:val="20"/>
        </w:rPr>
        <w:t>CI</w:t>
      </w:r>
      <w:r>
        <w:rPr>
          <w:rFonts w:ascii="Arial" w:hAnsi="Arial" w:cs="Arial"/>
          <w:iCs/>
          <w:sz w:val="20"/>
          <w:szCs w:val="20"/>
        </w:rPr>
        <w:t>: confidence interval.</w:t>
      </w:r>
    </w:p>
    <w:p>
      <w:pPr>
        <w:rPr>
          <w:rFonts w:hint="eastAsia"/>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9</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Testing of 3 models in differentiating NSCLC and BPD.</w:t>
      </w:r>
    </w:p>
    <w:tbl>
      <w:tblPr>
        <w:tblStyle w:val="5"/>
        <w:tblW w:w="0" w:type="auto"/>
        <w:jc w:val="center"/>
        <w:tblLayout w:type="autofit"/>
        <w:tblCellMar>
          <w:top w:w="0" w:type="dxa"/>
          <w:left w:w="108" w:type="dxa"/>
          <w:bottom w:w="0" w:type="dxa"/>
          <w:right w:w="108" w:type="dxa"/>
        </w:tblCellMar>
      </w:tblPr>
      <w:tblGrid>
        <w:gridCol w:w="1762"/>
        <w:gridCol w:w="872"/>
        <w:gridCol w:w="613"/>
        <w:gridCol w:w="1310"/>
        <w:gridCol w:w="1274"/>
        <w:gridCol w:w="1275"/>
        <w:gridCol w:w="1416"/>
      </w:tblGrid>
      <w:tr>
        <w:tblPrEx>
          <w:tblCellMar>
            <w:top w:w="0" w:type="dxa"/>
            <w:left w:w="108" w:type="dxa"/>
            <w:bottom w:w="0" w:type="dxa"/>
            <w:right w:w="108" w:type="dxa"/>
          </w:tblCellMar>
        </w:tblPrEx>
        <w:trPr>
          <w:trHeight w:val="300" w:hRule="atLeast"/>
          <w:jc w:val="center"/>
        </w:trPr>
        <w:tc>
          <w:tcPr>
            <w:tcW w:w="0" w:type="auto"/>
            <w:vMerge w:val="restart"/>
            <w:tcBorders>
              <w:top w:val="single" w:color="auto" w:sz="4" w:space="0"/>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Model</w:t>
            </w:r>
          </w:p>
        </w:tc>
        <w:tc>
          <w:tcPr>
            <w:tcW w:w="279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Mistake in judgment/Test set</w:t>
            </w:r>
          </w:p>
        </w:tc>
        <w:tc>
          <w:tcPr>
            <w:tcW w:w="3965" w:type="dxa"/>
            <w:gridSpan w:val="3"/>
            <w:tcBorders>
              <w:top w:val="single" w:color="auto" w:sz="4" w:space="0"/>
              <w:left w:val="single" w:color="auto" w:sz="4" w:space="0"/>
              <w:bottom w:val="nil"/>
              <w:right w:val="nil"/>
            </w:tcBorders>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Report</w:t>
            </w:r>
          </w:p>
        </w:tc>
      </w:tr>
      <w:tr>
        <w:tblPrEx>
          <w:tblCellMar>
            <w:top w:w="0" w:type="dxa"/>
            <w:left w:w="108" w:type="dxa"/>
            <w:bottom w:w="0" w:type="dxa"/>
            <w:right w:w="108" w:type="dxa"/>
          </w:tblCellMar>
        </w:tblPrEx>
        <w:trPr>
          <w:trHeight w:val="285" w:hRule="atLeast"/>
          <w:jc w:val="center"/>
        </w:trPr>
        <w:tc>
          <w:tcPr>
            <w:tcW w:w="0" w:type="auto"/>
            <w:vMerge w:val="continue"/>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s="Times New Roman"/>
                <w:iCs/>
                <w:kern w:val="0"/>
                <w:sz w:val="20"/>
                <w:szCs w:val="24"/>
              </w:rPr>
            </w:pPr>
          </w:p>
        </w:tc>
        <w:tc>
          <w:tcPr>
            <w:tcW w:w="0" w:type="auto"/>
            <w:tcBorders>
              <w:top w:val="single" w:color="auto" w:sz="4" w:space="0"/>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NSCLC</w:t>
            </w:r>
          </w:p>
        </w:tc>
        <w:tc>
          <w:tcPr>
            <w:tcW w:w="0" w:type="auto"/>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BPD</w:t>
            </w:r>
          </w:p>
        </w:tc>
        <w:tc>
          <w:tcPr>
            <w:tcW w:w="1293" w:type="dxa"/>
            <w:tcBorders>
              <w:top w:val="single" w:color="auto" w:sz="4" w:space="0"/>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Total</w:t>
            </w:r>
          </w:p>
        </w:tc>
        <w:tc>
          <w:tcPr>
            <w:tcW w:w="1274" w:type="dxa"/>
            <w:tcBorders>
              <w:top w:val="single" w:color="auto" w:sz="4" w:space="0"/>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Sensitivity (%)</w:t>
            </w:r>
          </w:p>
        </w:tc>
        <w:tc>
          <w:tcPr>
            <w:tcW w:w="1275" w:type="dxa"/>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Specificity (%)</w:t>
            </w:r>
          </w:p>
        </w:tc>
        <w:tc>
          <w:tcPr>
            <w:tcW w:w="1416" w:type="dxa"/>
            <w:tcBorders>
              <w:top w:val="single" w:color="auto" w:sz="4" w:space="0"/>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Coincidence rate (%)</w:t>
            </w:r>
          </w:p>
        </w:tc>
      </w:tr>
      <w:tr>
        <w:tblPrEx>
          <w:tblCellMar>
            <w:top w:w="0" w:type="dxa"/>
            <w:left w:w="108" w:type="dxa"/>
            <w:bottom w:w="0" w:type="dxa"/>
            <w:right w:w="108" w:type="dxa"/>
          </w:tblCellMar>
        </w:tblPrEx>
        <w:trPr>
          <w:trHeight w:val="285" w:hRule="atLeast"/>
          <w:jc w:val="center"/>
        </w:trPr>
        <w:tc>
          <w:tcPr>
            <w:tcW w:w="0" w:type="auto"/>
            <w:tcBorders>
              <w:top w:val="single" w:color="auto" w:sz="4" w:space="0"/>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Logistic Regression</w:t>
            </w:r>
          </w:p>
        </w:tc>
        <w:tc>
          <w:tcPr>
            <w:tcW w:w="0" w:type="auto"/>
            <w:tcBorders>
              <w:top w:val="single" w:color="auto" w:sz="4" w:space="0"/>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4/22</w:t>
            </w:r>
          </w:p>
        </w:tc>
        <w:tc>
          <w:tcPr>
            <w:tcW w:w="0" w:type="auto"/>
            <w:tcBorders>
              <w:top w:val="single" w:color="auto" w:sz="4" w:space="0"/>
              <w:left w:val="nil"/>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3/22</w:t>
            </w:r>
          </w:p>
        </w:tc>
        <w:tc>
          <w:tcPr>
            <w:tcW w:w="1293" w:type="dxa"/>
            <w:tcBorders>
              <w:top w:val="single" w:color="auto" w:sz="4" w:space="0"/>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7/44</w:t>
            </w:r>
          </w:p>
        </w:tc>
        <w:tc>
          <w:tcPr>
            <w:tcW w:w="1274" w:type="dxa"/>
            <w:tcBorders>
              <w:top w:val="single" w:color="auto" w:sz="4" w:space="0"/>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81.82</w:t>
            </w:r>
          </w:p>
        </w:tc>
        <w:tc>
          <w:tcPr>
            <w:tcW w:w="1275" w:type="dxa"/>
            <w:tcBorders>
              <w:top w:val="single" w:color="auto" w:sz="4" w:space="0"/>
              <w:left w:val="nil"/>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86.36</w:t>
            </w:r>
          </w:p>
        </w:tc>
        <w:tc>
          <w:tcPr>
            <w:tcW w:w="1416" w:type="dxa"/>
            <w:tcBorders>
              <w:top w:val="single" w:color="auto" w:sz="4" w:space="0"/>
              <w:left w:val="nil"/>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84.09</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Fisher Discriminant</w:t>
            </w:r>
          </w:p>
        </w:tc>
        <w:tc>
          <w:tcPr>
            <w:tcW w:w="0" w:type="auto"/>
            <w:tcBorders>
              <w:top w:val="nil"/>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6/22</w:t>
            </w:r>
          </w:p>
        </w:tc>
        <w:tc>
          <w:tcPr>
            <w:tcW w:w="0" w:type="auto"/>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2/22</w:t>
            </w:r>
          </w:p>
        </w:tc>
        <w:tc>
          <w:tcPr>
            <w:tcW w:w="1293" w:type="dxa"/>
            <w:tcBorders>
              <w:top w:val="nil"/>
              <w:left w:val="nil"/>
              <w:bottom w:val="nil"/>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8/44</w:t>
            </w:r>
          </w:p>
        </w:tc>
        <w:tc>
          <w:tcPr>
            <w:tcW w:w="1274" w:type="dxa"/>
            <w:tcBorders>
              <w:top w:val="nil"/>
              <w:left w:val="single" w:color="auto" w:sz="4" w:space="0"/>
              <w:bottom w:val="nil"/>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72.73</w:t>
            </w:r>
          </w:p>
        </w:tc>
        <w:tc>
          <w:tcPr>
            <w:tcW w:w="1275" w:type="dxa"/>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90.91</w:t>
            </w:r>
          </w:p>
        </w:tc>
        <w:tc>
          <w:tcPr>
            <w:tcW w:w="1416" w:type="dxa"/>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81.82</w:t>
            </w:r>
          </w:p>
        </w:tc>
      </w:tr>
      <w:tr>
        <w:tblPrEx>
          <w:tblCellMar>
            <w:top w:w="0" w:type="dxa"/>
            <w:left w:w="108" w:type="dxa"/>
            <w:bottom w:w="0" w:type="dxa"/>
            <w:right w:w="108" w:type="dxa"/>
          </w:tblCellMar>
        </w:tblPrEx>
        <w:trPr>
          <w:trHeight w:val="285" w:hRule="atLeast"/>
          <w:jc w:val="center"/>
        </w:trPr>
        <w:tc>
          <w:tcPr>
            <w:tcW w:w="0" w:type="auto"/>
            <w:tcBorders>
              <w:top w:val="nil"/>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Bayes Discriminant</w:t>
            </w:r>
          </w:p>
        </w:tc>
        <w:tc>
          <w:tcPr>
            <w:tcW w:w="0" w:type="auto"/>
            <w:tcBorders>
              <w:top w:val="nil"/>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6/22</w:t>
            </w:r>
          </w:p>
        </w:tc>
        <w:tc>
          <w:tcPr>
            <w:tcW w:w="0" w:type="auto"/>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3/22</w:t>
            </w:r>
          </w:p>
        </w:tc>
        <w:tc>
          <w:tcPr>
            <w:tcW w:w="1293" w:type="dxa"/>
            <w:tcBorders>
              <w:top w:val="nil"/>
              <w:left w:val="nil"/>
              <w:bottom w:val="single" w:color="auto" w:sz="4" w:space="0"/>
              <w:right w:val="single" w:color="auto" w:sz="4" w:space="0"/>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9/44</w:t>
            </w:r>
          </w:p>
        </w:tc>
        <w:tc>
          <w:tcPr>
            <w:tcW w:w="1274" w:type="dxa"/>
            <w:tcBorders>
              <w:top w:val="nil"/>
              <w:left w:val="single" w:color="auto" w:sz="4" w:space="0"/>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72.73</w:t>
            </w:r>
          </w:p>
        </w:tc>
        <w:tc>
          <w:tcPr>
            <w:tcW w:w="1275" w:type="dxa"/>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86.36</w:t>
            </w:r>
          </w:p>
        </w:tc>
        <w:tc>
          <w:tcPr>
            <w:tcW w:w="1416" w:type="dxa"/>
            <w:tcBorders>
              <w:top w:val="nil"/>
              <w:left w:val="nil"/>
              <w:bottom w:val="single" w:color="auto" w:sz="4" w:space="0"/>
              <w:right w:val="nil"/>
            </w:tcBorders>
            <w:shd w:val="clear" w:color="auto" w:fill="FFFFFF"/>
            <w:vAlign w:val="center"/>
          </w:tcPr>
          <w:p>
            <w:pPr>
              <w:spacing w:line="400" w:lineRule="exact"/>
              <w:jc w:val="center"/>
              <w:rPr>
                <w:rFonts w:ascii="Times New Roman" w:hAnsi="Times New Roman" w:eastAsia="宋体" w:cs="Times New Roman"/>
                <w:iCs/>
                <w:kern w:val="0"/>
                <w:sz w:val="20"/>
                <w:szCs w:val="24"/>
              </w:rPr>
            </w:pPr>
            <w:r>
              <w:rPr>
                <w:rFonts w:ascii="Times New Roman" w:hAnsi="Times New Roman" w:eastAsia="宋体" w:cs="Times New Roman"/>
                <w:iCs/>
                <w:kern w:val="0"/>
                <w:sz w:val="20"/>
                <w:szCs w:val="24"/>
              </w:rPr>
              <w:t>79.55</w:t>
            </w:r>
          </w:p>
        </w:tc>
      </w:tr>
    </w:tbl>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pStyle w:val="2"/>
        <w:keepNext/>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SEQ Supplementary_Table \* ARABIC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10</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The concentration units of these candidates.</w:t>
      </w:r>
    </w:p>
    <w:tbl>
      <w:tblPr>
        <w:tblStyle w:val="6"/>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80"/>
        <w:gridCol w:w="208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tcBorders>
              <w:top w:val="single" w:color="auto" w:sz="12" w:space="0"/>
              <w:bottom w:val="single" w:color="auto" w:sz="6" w:space="0"/>
            </w:tcBorders>
            <w:noWrap/>
          </w:tcPr>
          <w:p>
            <w:pPr>
              <w:rPr>
                <w:rFonts w:ascii="Times New Roman" w:hAnsi="Times New Roman" w:eastAsia="宋体" w:cs="Times New Roman"/>
              </w:rPr>
            </w:pPr>
            <w:r>
              <w:rPr>
                <w:rFonts w:ascii="Times New Roman" w:hAnsi="Times New Roman" w:eastAsia="宋体" w:cs="Times New Roman"/>
              </w:rPr>
              <w:t>Candidates</w:t>
            </w:r>
          </w:p>
        </w:tc>
        <w:tc>
          <w:tcPr>
            <w:tcW w:w="2080" w:type="dxa"/>
            <w:tcBorders>
              <w:top w:val="single" w:color="auto" w:sz="12" w:space="0"/>
              <w:bottom w:val="single" w:color="auto" w:sz="6" w:space="0"/>
            </w:tcBorders>
            <w:noWrap/>
          </w:tcPr>
          <w:p>
            <w:pPr>
              <w:rPr>
                <w:rFonts w:ascii="Times New Roman" w:hAnsi="Times New Roman" w:eastAsia="宋体" w:cs="Times New Roman"/>
              </w:rPr>
            </w:pPr>
            <w:r>
              <w:rPr>
                <w:rFonts w:ascii="Times New Roman" w:hAnsi="Times New Roman" w:eastAsia="宋体" w:cs="Times New Roman"/>
              </w:rPr>
              <w:t>Concentration units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tcBorders>
              <w:top w:val="single" w:color="auto" w:sz="6" w:space="0"/>
            </w:tcBorders>
            <w:noWrap/>
          </w:tcPr>
          <w:p>
            <w:pPr>
              <w:rPr>
                <w:rFonts w:ascii="Times New Roman" w:hAnsi="Times New Roman" w:eastAsia="宋体" w:cs="Times New Roman"/>
              </w:rPr>
            </w:pPr>
            <w:r>
              <w:rPr>
                <w:rFonts w:hint="eastAsia" w:ascii="Times New Roman" w:hAnsi="Times New Roman" w:eastAsia="宋体" w:cs="Times New Roman"/>
              </w:rPr>
              <w:t>Ala</w:t>
            </w:r>
          </w:p>
        </w:tc>
        <w:tc>
          <w:tcPr>
            <w:tcW w:w="2080" w:type="dxa"/>
            <w:tcBorders>
              <w:top w:val="single" w:color="auto" w:sz="6" w:space="0"/>
            </w:tcBorders>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Arg</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Cit</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Glu</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Gly</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His</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Leu</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Lys</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Orn</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Phe</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Pro</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Tyr</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Val</w:t>
            </w:r>
          </w:p>
        </w:tc>
        <w:tc>
          <w:tcPr>
            <w:tcW w:w="2080" w:type="dxa"/>
            <w:noWrap/>
          </w:tcPr>
          <w:p>
            <w:pPr>
              <w:rPr>
                <w:rFonts w:ascii="Times New Roman" w:hAnsi="Times New Roman" w:eastAsia="宋体" w:cs="Times New Roman"/>
              </w:rPr>
            </w:pPr>
            <w:r>
              <w:rPr>
                <w:rFonts w:ascii="Times New Roman" w:hAnsi="Times New Roman" w:eastAsia="宋体" w:cs="Times New Roman"/>
              </w:rPr>
              <w:t>μmol/L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UDCA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LCA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GCA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GLCA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GDCA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GCDCA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GUDCA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TCA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TLCA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TDCA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TCDCA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TUDCA</w:t>
            </w:r>
          </w:p>
        </w:tc>
        <w:tc>
          <w:tcPr>
            <w:tcW w:w="2080" w:type="dxa"/>
            <w:noWrap/>
          </w:tcPr>
          <w:p>
            <w:pPr>
              <w:rPr>
                <w:rFonts w:ascii="Times New Roman" w:hAnsi="Times New Roman" w:eastAsia="宋体" w:cs="Times New Roman"/>
              </w:rPr>
            </w:pPr>
            <w:r>
              <w:rPr>
                <w:rFonts w:ascii="Times New Roman" w:hAnsi="Times New Roman" w:eastAsia="宋体" w:cs="Times New Roman"/>
              </w:rPr>
              <w:t>nmol/L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CA125</w:t>
            </w:r>
          </w:p>
        </w:tc>
        <w:tc>
          <w:tcPr>
            <w:tcW w:w="2080" w:type="dxa"/>
            <w:noWrap/>
          </w:tcPr>
          <w:p>
            <w:pPr>
              <w:rPr>
                <w:rFonts w:ascii="Times New Roman" w:hAnsi="Times New Roman" w:eastAsia="宋体" w:cs="Times New Roman"/>
              </w:rPr>
            </w:pPr>
            <w:r>
              <w:rPr>
                <w:rFonts w:ascii="Times New Roman" w:hAnsi="Times New Roman" w:eastAsia="宋体" w:cs="Times New Roman"/>
              </w:rPr>
              <w:t>U/mL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CA199</w:t>
            </w:r>
          </w:p>
        </w:tc>
        <w:tc>
          <w:tcPr>
            <w:tcW w:w="2080" w:type="dxa"/>
            <w:noWrap/>
          </w:tcPr>
          <w:p>
            <w:pPr>
              <w:rPr>
                <w:rFonts w:ascii="Times New Roman" w:hAnsi="Times New Roman" w:eastAsia="宋体" w:cs="Times New Roman"/>
              </w:rPr>
            </w:pPr>
            <w:r>
              <w:rPr>
                <w:rFonts w:ascii="Times New Roman" w:hAnsi="Times New Roman" w:eastAsia="宋体" w:cs="Times New Roman"/>
              </w:rPr>
              <w:t>U/mL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CEA</w:t>
            </w:r>
          </w:p>
        </w:tc>
        <w:tc>
          <w:tcPr>
            <w:tcW w:w="2080" w:type="dxa"/>
            <w:noWrap/>
          </w:tcPr>
          <w:p>
            <w:pPr>
              <w:rPr>
                <w:rFonts w:ascii="Times New Roman" w:hAnsi="Times New Roman" w:eastAsia="宋体" w:cs="Times New Roman"/>
              </w:rPr>
            </w:pPr>
            <w:r>
              <w:rPr>
                <w:rFonts w:ascii="Times New Roman" w:hAnsi="Times New Roman" w:eastAsia="宋体" w:cs="Times New Roman"/>
              </w:rPr>
              <w:t>ng/mL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CYFRA211</w:t>
            </w:r>
          </w:p>
        </w:tc>
        <w:tc>
          <w:tcPr>
            <w:tcW w:w="2080" w:type="dxa"/>
            <w:noWrap/>
          </w:tcPr>
          <w:p>
            <w:pPr>
              <w:rPr>
                <w:rFonts w:ascii="Times New Roman" w:hAnsi="Times New Roman" w:eastAsia="宋体" w:cs="Times New Roman"/>
              </w:rPr>
            </w:pPr>
            <w:r>
              <w:rPr>
                <w:rFonts w:ascii="Times New Roman" w:hAnsi="Times New Roman" w:eastAsia="宋体" w:cs="Times New Roman"/>
              </w:rPr>
              <w:t>U/mL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NSE</w:t>
            </w:r>
          </w:p>
        </w:tc>
        <w:tc>
          <w:tcPr>
            <w:tcW w:w="2080" w:type="dxa"/>
            <w:noWrap/>
          </w:tcPr>
          <w:p>
            <w:pPr>
              <w:rPr>
                <w:rFonts w:ascii="Times New Roman" w:hAnsi="Times New Roman" w:eastAsia="宋体" w:cs="Times New Roman"/>
              </w:rPr>
            </w:pPr>
            <w:r>
              <w:rPr>
                <w:rFonts w:ascii="Times New Roman" w:hAnsi="Times New Roman" w:eastAsia="宋体" w:cs="Times New Roman"/>
              </w:rPr>
              <w:t>ng/mL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SCC</w:t>
            </w:r>
          </w:p>
        </w:tc>
        <w:tc>
          <w:tcPr>
            <w:tcW w:w="2080" w:type="dxa"/>
            <w:noWrap/>
          </w:tcPr>
          <w:p>
            <w:pPr>
              <w:rPr>
                <w:rFonts w:ascii="Times New Roman" w:hAnsi="Times New Roman" w:eastAsia="宋体" w:cs="Times New Roman"/>
              </w:rPr>
            </w:pPr>
            <w:r>
              <w:rPr>
                <w:rFonts w:ascii="Times New Roman" w:hAnsi="Times New Roman" w:eastAsia="宋体" w:cs="Times New Roman"/>
              </w:rPr>
              <w:t>ng/mL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ApoA1</w:t>
            </w:r>
          </w:p>
        </w:tc>
        <w:tc>
          <w:tcPr>
            <w:tcW w:w="2080" w:type="dxa"/>
            <w:noWrap/>
          </w:tcPr>
          <w:p>
            <w:pPr>
              <w:rPr>
                <w:rFonts w:ascii="Times New Roman" w:hAnsi="Times New Roman" w:eastAsia="宋体" w:cs="Times New Roman"/>
              </w:rPr>
            </w:pPr>
            <w:r>
              <w:rPr>
                <w:rFonts w:ascii="Times New Roman" w:hAnsi="Times New Roman" w:eastAsia="宋体" w:cs="Times New Roman"/>
              </w:rPr>
              <w:t>g/L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ApoA2</w:t>
            </w:r>
          </w:p>
        </w:tc>
        <w:tc>
          <w:tcPr>
            <w:tcW w:w="2080" w:type="dxa"/>
            <w:noWrap/>
          </w:tcPr>
          <w:p>
            <w:pPr>
              <w:rPr>
                <w:rFonts w:ascii="Times New Roman" w:hAnsi="Times New Roman" w:eastAsia="宋体" w:cs="Times New Roman"/>
              </w:rPr>
            </w:pPr>
            <w:r>
              <w:rPr>
                <w:rFonts w:ascii="Times New Roman" w:hAnsi="Times New Roman" w:eastAsia="宋体" w:cs="Times New Roman"/>
              </w:rPr>
              <w:t>mg/dL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ApoB</w:t>
            </w:r>
          </w:p>
        </w:tc>
        <w:tc>
          <w:tcPr>
            <w:tcW w:w="2080" w:type="dxa"/>
            <w:noWrap/>
          </w:tcPr>
          <w:p>
            <w:pPr>
              <w:rPr>
                <w:rFonts w:ascii="Times New Roman" w:hAnsi="Times New Roman" w:eastAsia="宋体" w:cs="Times New Roman"/>
              </w:rPr>
            </w:pPr>
            <w:r>
              <w:rPr>
                <w:rFonts w:ascii="Times New Roman" w:hAnsi="Times New Roman" w:eastAsia="宋体" w:cs="Times New Roman"/>
              </w:rPr>
              <w:t>g/L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ApoC3</w:t>
            </w:r>
          </w:p>
        </w:tc>
        <w:tc>
          <w:tcPr>
            <w:tcW w:w="2080" w:type="dxa"/>
            <w:noWrap/>
          </w:tcPr>
          <w:p>
            <w:pPr>
              <w:rPr>
                <w:rFonts w:ascii="Times New Roman" w:hAnsi="Times New Roman" w:eastAsia="宋体" w:cs="Times New Roman"/>
              </w:rPr>
            </w:pPr>
            <w:r>
              <w:rPr>
                <w:rFonts w:ascii="Times New Roman" w:hAnsi="Times New Roman" w:eastAsia="宋体" w:cs="Times New Roman"/>
              </w:rPr>
              <w:t>mg/dL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C1INH</w:t>
            </w:r>
          </w:p>
        </w:tc>
        <w:tc>
          <w:tcPr>
            <w:tcW w:w="2080" w:type="dxa"/>
            <w:noWrap/>
          </w:tcPr>
          <w:p>
            <w:pPr>
              <w:rPr>
                <w:rFonts w:ascii="Times New Roman" w:hAnsi="Times New Roman" w:eastAsia="宋体" w:cs="Times New Roman"/>
              </w:rPr>
            </w:pPr>
            <w:r>
              <w:rPr>
                <w:rFonts w:ascii="Times New Roman" w:hAnsi="Times New Roman" w:eastAsia="宋体" w:cs="Times New Roman"/>
              </w:rPr>
              <w:t>mg/dL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C3</w:t>
            </w:r>
          </w:p>
        </w:tc>
        <w:tc>
          <w:tcPr>
            <w:tcW w:w="2080" w:type="dxa"/>
            <w:noWrap/>
          </w:tcPr>
          <w:p>
            <w:pPr>
              <w:rPr>
                <w:rFonts w:ascii="Times New Roman" w:hAnsi="Times New Roman" w:eastAsia="宋体" w:cs="Times New Roman"/>
              </w:rPr>
            </w:pPr>
            <w:r>
              <w:rPr>
                <w:rFonts w:ascii="Times New Roman" w:hAnsi="Times New Roman" w:eastAsia="宋体" w:cs="Times New Roman"/>
              </w:rPr>
              <w:t>g/L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C4</w:t>
            </w:r>
          </w:p>
        </w:tc>
        <w:tc>
          <w:tcPr>
            <w:tcW w:w="2080" w:type="dxa"/>
            <w:noWrap/>
          </w:tcPr>
          <w:p>
            <w:pPr>
              <w:rPr>
                <w:rFonts w:ascii="Times New Roman" w:hAnsi="Times New Roman" w:eastAsia="宋体" w:cs="Times New Roman"/>
              </w:rPr>
            </w:pPr>
            <w:r>
              <w:rPr>
                <w:rFonts w:ascii="Times New Roman" w:hAnsi="Times New Roman" w:eastAsia="宋体" w:cs="Times New Roman"/>
              </w:rPr>
              <w:t>g/L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FN</w:t>
            </w:r>
          </w:p>
        </w:tc>
        <w:tc>
          <w:tcPr>
            <w:tcW w:w="2080" w:type="dxa"/>
            <w:noWrap/>
          </w:tcPr>
          <w:p>
            <w:pPr>
              <w:rPr>
                <w:rFonts w:ascii="Times New Roman" w:hAnsi="Times New Roman" w:eastAsia="宋体" w:cs="Times New Roman"/>
              </w:rPr>
            </w:pPr>
            <w:r>
              <w:rPr>
                <w:rFonts w:ascii="Times New Roman" w:hAnsi="Times New Roman" w:eastAsia="宋体" w:cs="Times New Roman"/>
              </w:rPr>
              <w:t>mg/L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Lpa</w:t>
            </w:r>
          </w:p>
        </w:tc>
        <w:tc>
          <w:tcPr>
            <w:tcW w:w="2080" w:type="dxa"/>
            <w:noWrap/>
          </w:tcPr>
          <w:p>
            <w:pPr>
              <w:rPr>
                <w:rFonts w:ascii="Times New Roman" w:hAnsi="Times New Roman" w:eastAsia="宋体" w:cs="Times New Roman"/>
              </w:rPr>
            </w:pPr>
            <w:r>
              <w:rPr>
                <w:rFonts w:ascii="Times New Roman" w:hAnsi="Times New Roman" w:eastAsia="宋体" w:cs="Times New Roman"/>
              </w:rPr>
              <w:t>mg/L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2080" w:type="dxa"/>
            <w:noWrap/>
          </w:tcPr>
          <w:p>
            <w:pPr>
              <w:rPr>
                <w:rFonts w:ascii="Times New Roman" w:hAnsi="Times New Roman" w:eastAsia="宋体" w:cs="Times New Roman"/>
              </w:rPr>
            </w:pPr>
            <w:r>
              <w:rPr>
                <w:rFonts w:hint="eastAsia" w:ascii="Times New Roman" w:hAnsi="Times New Roman" w:eastAsia="宋体" w:cs="Times New Roman"/>
              </w:rPr>
              <w:t>Fg</w:t>
            </w:r>
          </w:p>
        </w:tc>
        <w:tc>
          <w:tcPr>
            <w:tcW w:w="2080" w:type="dxa"/>
            <w:noWrap/>
          </w:tcPr>
          <w:p>
            <w:pPr>
              <w:rPr>
                <w:rFonts w:ascii="Times New Roman" w:hAnsi="Times New Roman" w:eastAsia="宋体" w:cs="Times New Roman"/>
              </w:rPr>
            </w:pPr>
            <w:r>
              <w:rPr>
                <w:rFonts w:ascii="Times New Roman" w:hAnsi="Times New Roman" w:eastAsia="宋体" w:cs="Times New Roman"/>
              </w:rPr>
              <w:t>g/L</w:t>
            </w:r>
          </w:p>
        </w:tc>
      </w:tr>
    </w:tbl>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highlight w:val="green"/>
        </w:rPr>
      </w:pPr>
    </w:p>
    <w:p>
      <w:pPr>
        <w:rPr>
          <w:rFonts w:hint="eastAsia"/>
          <w:highlight w:val="gree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xMmNjNTVhNzA4ZmVlMWVlZTVmOWZkYjRkZDU2NDIifQ=="/>
  </w:docVars>
  <w:rsids>
    <w:rsidRoot w:val="00CC6C6A"/>
    <w:rsid w:val="0009008F"/>
    <w:rsid w:val="001E1C37"/>
    <w:rsid w:val="00205B86"/>
    <w:rsid w:val="00224DE5"/>
    <w:rsid w:val="002256A1"/>
    <w:rsid w:val="00225F88"/>
    <w:rsid w:val="00281975"/>
    <w:rsid w:val="002823FF"/>
    <w:rsid w:val="002E22ED"/>
    <w:rsid w:val="00306245"/>
    <w:rsid w:val="00336FA3"/>
    <w:rsid w:val="003442A2"/>
    <w:rsid w:val="0035289B"/>
    <w:rsid w:val="00384313"/>
    <w:rsid w:val="0038516E"/>
    <w:rsid w:val="0042035E"/>
    <w:rsid w:val="00427553"/>
    <w:rsid w:val="00433E0A"/>
    <w:rsid w:val="00487B0B"/>
    <w:rsid w:val="004B72E0"/>
    <w:rsid w:val="004F19C8"/>
    <w:rsid w:val="00527795"/>
    <w:rsid w:val="00637E50"/>
    <w:rsid w:val="00661F84"/>
    <w:rsid w:val="006B51FF"/>
    <w:rsid w:val="006F3D05"/>
    <w:rsid w:val="00720AB3"/>
    <w:rsid w:val="007560AB"/>
    <w:rsid w:val="00783743"/>
    <w:rsid w:val="007C1C2D"/>
    <w:rsid w:val="00903653"/>
    <w:rsid w:val="0091107B"/>
    <w:rsid w:val="009B0029"/>
    <w:rsid w:val="00A024F8"/>
    <w:rsid w:val="00B22EE2"/>
    <w:rsid w:val="00B31291"/>
    <w:rsid w:val="00B4595B"/>
    <w:rsid w:val="00B5487C"/>
    <w:rsid w:val="00BA1F25"/>
    <w:rsid w:val="00BE461D"/>
    <w:rsid w:val="00C21B44"/>
    <w:rsid w:val="00CC2C6D"/>
    <w:rsid w:val="00CC6C6A"/>
    <w:rsid w:val="00CF7D4F"/>
    <w:rsid w:val="00D1698F"/>
    <w:rsid w:val="00DB5D9E"/>
    <w:rsid w:val="00E42ECD"/>
    <w:rsid w:val="00EC0E35"/>
    <w:rsid w:val="00ED23FC"/>
    <w:rsid w:val="00F11A6A"/>
    <w:rsid w:val="05B502FE"/>
    <w:rsid w:val="1B9C0CDA"/>
    <w:rsid w:val="233F5BFD"/>
    <w:rsid w:val="26CD79EC"/>
    <w:rsid w:val="47FA7086"/>
    <w:rsid w:val="4D213656"/>
    <w:rsid w:val="62191140"/>
    <w:rsid w:val="66BE55BC"/>
    <w:rsid w:val="6B947F96"/>
    <w:rsid w:val="6BC35C21"/>
    <w:rsid w:val="7AAA71E5"/>
    <w:rsid w:val="7AC375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ascii="Arial" w:hAnsi="Arial" w:eastAsia="黑体" w:cstheme="majorBidi"/>
      <w:sz w:val="20"/>
      <w:szCs w:val="20"/>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EndNote Bibliography"/>
    <w:basedOn w:val="1"/>
    <w:link w:val="9"/>
    <w:qFormat/>
    <w:uiPriority w:val="0"/>
    <w:pPr>
      <w:spacing w:line="240" w:lineRule="exact"/>
    </w:pPr>
    <w:rPr>
      <w:rFonts w:eastAsia="等线"/>
    </w:rPr>
  </w:style>
  <w:style w:type="character" w:customStyle="1" w:styleId="9">
    <w:name w:val="EndNote Bibliography 字符"/>
    <w:basedOn w:val="7"/>
    <w:link w:val="8"/>
    <w:qFormat/>
    <w:uiPriority w:val="0"/>
    <w:rPr>
      <w:rFonts w:eastAsia="等线"/>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table" w:customStyle="1" w:styleId="12">
    <w:name w:val="网格型1"/>
    <w:basedOn w:val="5"/>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tiff"/><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2002</Words>
  <Characters>10986</Characters>
  <Lines>106</Lines>
  <Paragraphs>29</Paragraphs>
  <TotalTime>94</TotalTime>
  <ScaleCrop>false</ScaleCrop>
  <LinksUpToDate>false</LinksUpToDate>
  <CharactersWithSpaces>12098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2022-09-11T07:17:00Z</dcterms:created>
  <dc:creator>Pure Green</dc:creator>
  <cp:lastModifiedBy>王炯然</cp:lastModifiedBy>
  <dcterms:modified xsi:type="dcterms:W3CDTF">2023-05-01T08:00:10Z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7BD419C3465F4867BADC38ABC15EA0B9</vt:lpwstr>
  </property>
  <property fmtid="{D5CDD505-2E9C-101B-9397-08002B2CF9AE}" pid="4" name="GrammarlyDocumentId">
    <vt:lpwstr>500664c903c0e0f01429d38090f9b8829aba96f20d19c94da1423f210d5926cb</vt:lpwstr>
  </property>
</Properties>
</file>