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B1CE3" w14:textId="71F84838" w:rsidR="00DE5E00" w:rsidRDefault="00DE5E00" w:rsidP="00DE5E00">
      <w:pPr>
        <w:spacing w:line="480" w:lineRule="auto"/>
        <w:jc w:val="both"/>
        <w:rPr>
          <w:b/>
          <w:caps/>
          <w:sz w:val="24"/>
        </w:rPr>
      </w:pPr>
      <w:r>
        <w:rPr>
          <w:b/>
          <w:bCs/>
          <w:caps/>
          <w:sz w:val="24"/>
          <w:szCs w:val="24"/>
        </w:rPr>
        <w:t>Supplementa</w:t>
      </w:r>
      <w:r w:rsidR="004950FA">
        <w:rPr>
          <w:b/>
          <w:bCs/>
          <w:caps/>
          <w:sz w:val="24"/>
          <w:szCs w:val="24"/>
        </w:rPr>
        <w:t>RY</w:t>
      </w:r>
      <w:r>
        <w:rPr>
          <w:b/>
          <w:caps/>
          <w:sz w:val="24"/>
        </w:rPr>
        <w:t xml:space="preserve"> FIGURES</w:t>
      </w:r>
    </w:p>
    <w:p w14:paraId="0A225492" w14:textId="701D70A0" w:rsidR="00DE5E00" w:rsidRPr="005F7870" w:rsidRDefault="001621F8" w:rsidP="00DE5E00">
      <w:pPr>
        <w:spacing w:line="480" w:lineRule="auto"/>
        <w:jc w:val="center"/>
        <w:rPr>
          <w:lang w:val="en-US"/>
        </w:rPr>
      </w:pPr>
      <w:r>
        <w:rPr>
          <w:noProof/>
          <w:lang w:val="en-US"/>
        </w:rPr>
        <w:drawing>
          <wp:inline distT="0" distB="0" distL="0" distR="0" wp14:anchorId="3A1C72B5" wp14:editId="1F4558ED">
            <wp:extent cx="4863600" cy="3495600"/>
            <wp:effectExtent l="0" t="0" r="0" b="0"/>
            <wp:docPr id="20464923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3600" cy="3495600"/>
                    </a:xfrm>
                    <a:prstGeom prst="rect">
                      <a:avLst/>
                    </a:prstGeom>
                    <a:noFill/>
                  </pic:spPr>
                </pic:pic>
              </a:graphicData>
            </a:graphic>
          </wp:inline>
        </w:drawing>
      </w:r>
    </w:p>
    <w:p w14:paraId="62130CE6" w14:textId="699AB6D6" w:rsidR="00DE5E00" w:rsidRDefault="00DE5E00" w:rsidP="00DE5E00">
      <w:pPr>
        <w:spacing w:line="480" w:lineRule="auto"/>
        <w:jc w:val="both"/>
        <w:rPr>
          <w:lang w:val="en-US"/>
        </w:rPr>
      </w:pPr>
      <w:r>
        <w:rPr>
          <w:b/>
          <w:lang w:val="en-US"/>
        </w:rPr>
        <w:t>FIGURE S</w:t>
      </w:r>
      <w:r w:rsidR="001621F8">
        <w:rPr>
          <w:b/>
          <w:lang w:val="en-US"/>
        </w:rPr>
        <w:t>1</w:t>
      </w:r>
      <w:r>
        <w:rPr>
          <w:b/>
          <w:lang w:val="en-US"/>
        </w:rPr>
        <w:tab/>
      </w:r>
      <w:r>
        <w:rPr>
          <w:b/>
          <w:lang w:val="en-US"/>
        </w:rPr>
        <w:tab/>
        <w:t xml:space="preserve">Preclinical evaluation of </w:t>
      </w:r>
      <w:r>
        <w:rPr>
          <w:b/>
          <w:vertAlign w:val="superscript"/>
          <w:lang w:val="en-US"/>
        </w:rPr>
        <w:t>64</w:t>
      </w:r>
      <w:r>
        <w:rPr>
          <w:b/>
          <w:lang w:val="en-US"/>
        </w:rPr>
        <w:t>Cu-</w:t>
      </w:r>
      <w:r>
        <w:rPr>
          <w:b/>
        </w:rPr>
        <w:t>α</w:t>
      </w:r>
      <w:r>
        <w:rPr>
          <w:b/>
          <w:lang w:val="en-US"/>
        </w:rPr>
        <w:t>CD19 (</w:t>
      </w:r>
      <w:r w:rsidR="001621F8">
        <w:rPr>
          <w:b/>
          <w:lang w:val="en-US"/>
        </w:rPr>
        <w:t>a</w:t>
      </w:r>
      <w:r>
        <w:rPr>
          <w:b/>
          <w:lang w:val="en-US"/>
        </w:rPr>
        <w:t xml:space="preserve">) </w:t>
      </w:r>
      <w:r>
        <w:rPr>
          <w:lang w:val="en-US"/>
        </w:rPr>
        <w:t>High-performance liquid chromatography (HPLC) after chelator conjugation with DOTA and</w:t>
      </w:r>
      <w:r w:rsidR="001621F8">
        <w:rPr>
          <w:lang w:val="en-US"/>
        </w:rPr>
        <w:t xml:space="preserve"> radiolabeling with</w:t>
      </w:r>
      <w:r>
        <w:rPr>
          <w:lang w:val="en-US"/>
        </w:rPr>
        <w:t xml:space="preserve"> </w:t>
      </w:r>
      <w:r>
        <w:rPr>
          <w:vertAlign w:val="superscript"/>
          <w:lang w:val="en-US"/>
        </w:rPr>
        <w:t>64</w:t>
      </w:r>
      <w:r>
        <w:rPr>
          <w:lang w:val="en-US"/>
        </w:rPr>
        <w:t>Cu.</w:t>
      </w:r>
      <w:r>
        <w:rPr>
          <w:b/>
          <w:lang w:val="en-US"/>
        </w:rPr>
        <w:t xml:space="preserve"> (</w:t>
      </w:r>
      <w:r w:rsidR="001621F8">
        <w:rPr>
          <w:b/>
          <w:lang w:val="en-US"/>
        </w:rPr>
        <w:t>b</w:t>
      </w:r>
      <w:r>
        <w:rPr>
          <w:b/>
          <w:lang w:val="en-US"/>
        </w:rPr>
        <w:t>)</w:t>
      </w:r>
      <w:r>
        <w:rPr>
          <w:lang w:val="en-US"/>
        </w:rPr>
        <w:t xml:space="preserve"> Antigen excess binding assay to determine the maximum binding (</w:t>
      </w:r>
      <w:proofErr w:type="spellStart"/>
      <w:r>
        <w:rPr>
          <w:lang w:val="en-US"/>
        </w:rPr>
        <w:t>Bmax</w:t>
      </w:r>
      <w:proofErr w:type="spellEnd"/>
      <w:r>
        <w:rPr>
          <w:lang w:val="en-US"/>
        </w:rPr>
        <w:t xml:space="preserve">) of </w:t>
      </w:r>
      <w:r>
        <w:rPr>
          <w:vertAlign w:val="superscript"/>
          <w:lang w:val="en-US"/>
        </w:rPr>
        <w:t>64</w:t>
      </w:r>
      <w:r>
        <w:rPr>
          <w:lang w:val="en-US"/>
        </w:rPr>
        <w:t>Cu-</w:t>
      </w:r>
      <w:r>
        <w:t>α</w:t>
      </w:r>
      <w:r>
        <w:rPr>
          <w:lang w:val="en-US"/>
        </w:rPr>
        <w:t>CD19, referred to as the immunoreactive fraction. Radiolabeled</w:t>
      </w:r>
      <w:r>
        <w:rPr>
          <w:vertAlign w:val="superscript"/>
          <w:lang w:val="en-US"/>
        </w:rPr>
        <w:t xml:space="preserve"> 64</w:t>
      </w:r>
      <w:r>
        <w:rPr>
          <w:lang w:val="en-US"/>
        </w:rPr>
        <w:t>Cu-</w:t>
      </w:r>
      <w:r>
        <w:t>α</w:t>
      </w:r>
      <w:r>
        <w:rPr>
          <w:lang w:val="en-US"/>
        </w:rPr>
        <w:t>CD19 (10 ng) was applied to an increasing number of Daudi cells (Triplicates, representative data out of three individual experiments, one site nonlinear regression).</w:t>
      </w:r>
      <w:r>
        <w:rPr>
          <w:b/>
          <w:lang w:val="en-US"/>
        </w:rPr>
        <w:t xml:space="preserve"> (</w:t>
      </w:r>
      <w:r w:rsidR="001621F8">
        <w:rPr>
          <w:b/>
          <w:lang w:val="en-US"/>
        </w:rPr>
        <w:t>c</w:t>
      </w:r>
      <w:r>
        <w:rPr>
          <w:b/>
          <w:lang w:val="en-US"/>
        </w:rPr>
        <w:t>)</w:t>
      </w:r>
      <w:r>
        <w:rPr>
          <w:lang w:val="en-US"/>
        </w:rPr>
        <w:t xml:space="preserve"> </w:t>
      </w:r>
      <w:r>
        <w:rPr>
          <w:i/>
          <w:lang w:val="en-US"/>
        </w:rPr>
        <w:t>Ex vivo</w:t>
      </w:r>
      <w:r>
        <w:rPr>
          <w:lang w:val="en-US"/>
        </w:rPr>
        <w:t xml:space="preserve"> organ biodistribution of </w:t>
      </w:r>
      <w:r>
        <w:rPr>
          <w:vertAlign w:val="superscript"/>
          <w:lang w:val="en-US"/>
        </w:rPr>
        <w:t>64</w:t>
      </w:r>
      <w:r>
        <w:rPr>
          <w:lang w:val="en-US"/>
        </w:rPr>
        <w:t>Cu-</w:t>
      </w:r>
      <w:r>
        <w:t>α</w:t>
      </w:r>
      <w:r>
        <w:rPr>
          <w:lang w:val="en-US"/>
        </w:rPr>
        <w:t xml:space="preserve">CD19 and </w:t>
      </w:r>
      <w:r>
        <w:rPr>
          <w:vertAlign w:val="superscript"/>
          <w:lang w:val="en-US"/>
        </w:rPr>
        <w:t>64</w:t>
      </w:r>
      <w:r>
        <w:rPr>
          <w:lang w:val="en-US"/>
        </w:rPr>
        <w:t>Cu-</w:t>
      </w:r>
      <w:r w:rsidR="001621F8">
        <w:rPr>
          <w:lang w:val="en-US"/>
        </w:rPr>
        <w:t>B7H3</w:t>
      </w:r>
      <w:r>
        <w:rPr>
          <w:lang w:val="en-US"/>
        </w:rPr>
        <w:t xml:space="preserve"> as measured by </w:t>
      </w:r>
      <w:r>
        <w:t>γ</w:t>
      </w:r>
      <w:r>
        <w:rPr>
          <w:lang w:val="en-US"/>
        </w:rPr>
        <w:t xml:space="preserve">-counting. </w:t>
      </w:r>
      <w:r>
        <w:rPr>
          <w:lang w:val="en-US"/>
        </w:rPr>
        <w:br w:type="page"/>
      </w:r>
    </w:p>
    <w:p w14:paraId="0FE2C5AC" w14:textId="192A7ABF" w:rsidR="00DE5E00" w:rsidRPr="005F7870" w:rsidRDefault="001621F8" w:rsidP="00DE5E00">
      <w:pPr>
        <w:spacing w:line="480" w:lineRule="auto"/>
        <w:jc w:val="center"/>
        <w:rPr>
          <w:lang w:val="en-US"/>
        </w:rPr>
      </w:pPr>
      <w:r>
        <w:rPr>
          <w:noProof/>
          <w:lang w:val="en-US"/>
        </w:rPr>
        <w:lastRenderedPageBreak/>
        <w:drawing>
          <wp:inline distT="0" distB="0" distL="0" distR="0" wp14:anchorId="1A50277A" wp14:editId="72BD06F7">
            <wp:extent cx="5274000" cy="4662000"/>
            <wp:effectExtent l="0" t="0" r="0" b="5715"/>
            <wp:docPr id="61709590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000" cy="4662000"/>
                    </a:xfrm>
                    <a:prstGeom prst="rect">
                      <a:avLst/>
                    </a:prstGeom>
                    <a:noFill/>
                  </pic:spPr>
                </pic:pic>
              </a:graphicData>
            </a:graphic>
          </wp:inline>
        </w:drawing>
      </w:r>
    </w:p>
    <w:p w14:paraId="093D6D7C" w14:textId="5988448D" w:rsidR="00DE5E00" w:rsidRPr="002D26AA" w:rsidRDefault="00DE5E00" w:rsidP="002D26AA">
      <w:pPr>
        <w:spacing w:line="480" w:lineRule="auto"/>
        <w:jc w:val="both"/>
        <w:rPr>
          <w:lang w:val="en-US"/>
        </w:rPr>
      </w:pPr>
      <w:r>
        <w:rPr>
          <w:b/>
          <w:lang w:val="en-US"/>
        </w:rPr>
        <w:t>FIGURE S</w:t>
      </w:r>
      <w:r w:rsidR="001621F8">
        <w:rPr>
          <w:b/>
          <w:lang w:val="en-US"/>
        </w:rPr>
        <w:t>2</w:t>
      </w:r>
      <w:r>
        <w:rPr>
          <w:b/>
          <w:lang w:val="en-US"/>
        </w:rPr>
        <w:tab/>
      </w:r>
      <w:r>
        <w:rPr>
          <w:b/>
          <w:lang w:val="en-US"/>
        </w:rPr>
        <w:tab/>
        <w:t xml:space="preserve">Comparison of CD19-PET to </w:t>
      </w:r>
      <w:r w:rsidRPr="005F7870">
        <w:rPr>
          <w:b/>
          <w:vertAlign w:val="superscript"/>
          <w:lang w:val="en-US"/>
        </w:rPr>
        <w:t>18</w:t>
      </w:r>
      <w:r>
        <w:rPr>
          <w:b/>
          <w:lang w:val="en-US"/>
        </w:rPr>
        <w:t xml:space="preserve">F-FDG-PET. </w:t>
      </w:r>
      <w:r w:rsidRPr="005F7870">
        <w:rPr>
          <w:bCs/>
          <w:lang w:val="en-US"/>
        </w:rPr>
        <w:t>Ma</w:t>
      </w:r>
      <w:r>
        <w:rPr>
          <w:lang w:val="en-US"/>
        </w:rPr>
        <w:t xml:space="preserve">ximum intensity projection (MIP) of standardized uptake values (SUV) of CD19-PET and </w:t>
      </w:r>
      <w:r w:rsidRPr="005F7870">
        <w:rPr>
          <w:bCs/>
          <w:vertAlign w:val="superscript"/>
          <w:lang w:val="en-US"/>
        </w:rPr>
        <w:t>18</w:t>
      </w:r>
      <w:r w:rsidRPr="005F7870">
        <w:rPr>
          <w:bCs/>
          <w:lang w:val="en-US"/>
        </w:rPr>
        <w:t>F-FDG-PET</w:t>
      </w:r>
      <w:r>
        <w:rPr>
          <w:bCs/>
          <w:lang w:val="en-US"/>
        </w:rPr>
        <w:t xml:space="preserve"> of patient 1 and 3</w:t>
      </w:r>
      <w:r w:rsidR="001621F8">
        <w:rPr>
          <w:bCs/>
          <w:lang w:val="en-US"/>
        </w:rPr>
        <w:t>.</w:t>
      </w:r>
      <w:r>
        <w:rPr>
          <w:lang w:val="en-US"/>
        </w:rPr>
        <w:t xml:space="preserve"> (</w:t>
      </w:r>
      <w:r w:rsidR="001621F8" w:rsidRPr="001621F8">
        <w:rPr>
          <w:b/>
          <w:bCs/>
          <w:lang w:val="en-US"/>
        </w:rPr>
        <w:t>a-f</w:t>
      </w:r>
      <w:r w:rsidRPr="001621F8">
        <w:rPr>
          <w:lang w:val="en-US"/>
        </w:rPr>
        <w:t>)</w:t>
      </w:r>
      <w:r>
        <w:rPr>
          <w:b/>
          <w:bCs/>
          <w:lang w:val="en-US"/>
        </w:rPr>
        <w:t xml:space="preserve"> </w:t>
      </w:r>
      <w:r>
        <w:rPr>
          <w:lang w:val="en-US"/>
        </w:rPr>
        <w:t xml:space="preserve">Exemplary transversal images (levels are marked in the MIP by red lines) of </w:t>
      </w:r>
      <w:proofErr w:type="spellStart"/>
      <w:r>
        <w:rPr>
          <w:lang w:val="en-US"/>
        </w:rPr>
        <w:t>intermodality</w:t>
      </w:r>
      <w:proofErr w:type="spellEnd"/>
      <w:r>
        <w:rPr>
          <w:lang w:val="en-US"/>
        </w:rPr>
        <w:t>-matched lymphoma lesions (indicated by white arrows) and spleen (green arrow) are shown for each patient. Irradiated lymphoma bulk of patient 1 (</w:t>
      </w:r>
      <w:r w:rsidR="001621F8">
        <w:rPr>
          <w:lang w:val="en-US"/>
        </w:rPr>
        <w:t>b</w:t>
      </w:r>
      <w:r>
        <w:rPr>
          <w:lang w:val="en-US"/>
        </w:rPr>
        <w:t>) is marked in dotted white circle.</w:t>
      </w:r>
      <w:r>
        <w:rPr>
          <w:b/>
          <w:caps/>
          <w:color w:val="1A1A1A"/>
          <w:sz w:val="24"/>
          <w:highlight w:val="white"/>
          <w:lang w:val="en-US"/>
        </w:rPr>
        <w:br w:type="page"/>
      </w:r>
    </w:p>
    <w:p w14:paraId="7D6D0E59" w14:textId="0F63F695" w:rsidR="00AE18DB" w:rsidRPr="0073262C" w:rsidRDefault="00AE18DB" w:rsidP="00AE18DB">
      <w:pPr>
        <w:spacing w:line="480" w:lineRule="auto"/>
        <w:rPr>
          <w:b/>
          <w:caps/>
          <w:color w:val="FF0000"/>
          <w:sz w:val="24"/>
          <w:lang w:val="en-US"/>
        </w:rPr>
      </w:pPr>
      <w:r w:rsidRPr="0073262C">
        <w:rPr>
          <w:b/>
          <w:caps/>
          <w:color w:val="FF0000"/>
          <w:sz w:val="24"/>
          <w:highlight w:val="white"/>
          <w:lang w:val="en-US"/>
        </w:rPr>
        <w:lastRenderedPageBreak/>
        <w:t>Supplementa</w:t>
      </w:r>
      <w:r w:rsidRPr="0073262C">
        <w:rPr>
          <w:b/>
          <w:caps/>
          <w:color w:val="FF0000"/>
          <w:sz w:val="24"/>
          <w:lang w:val="en-US"/>
        </w:rPr>
        <w:t>RY Tables</w:t>
      </w:r>
    </w:p>
    <w:p w14:paraId="4F86170B" w14:textId="0C62B861" w:rsidR="00AE18DB" w:rsidRPr="00F21644" w:rsidRDefault="00AE18DB" w:rsidP="00AE18DB">
      <w:pPr>
        <w:spacing w:line="480" w:lineRule="auto"/>
        <w:jc w:val="both"/>
        <w:rPr>
          <w:b/>
          <w:caps/>
          <w:color w:val="FF0000"/>
          <w:sz w:val="24"/>
          <w:highlight w:val="white"/>
          <w:lang w:val="en-US"/>
        </w:rPr>
      </w:pPr>
      <w:bookmarkStart w:id="0" w:name="_Hlk165240349"/>
      <w:r w:rsidRPr="0073262C">
        <w:rPr>
          <w:b/>
          <w:color w:val="FF0000"/>
          <w:lang w:val="en-US"/>
        </w:rPr>
        <w:t>TABLE S1</w:t>
      </w:r>
      <w:r w:rsidRPr="0073262C">
        <w:rPr>
          <w:b/>
          <w:color w:val="FF0000"/>
          <w:lang w:val="en-US"/>
        </w:rPr>
        <w:tab/>
      </w:r>
      <w:r w:rsidRPr="0073262C">
        <w:rPr>
          <w:b/>
          <w:color w:val="FF0000"/>
          <w:lang w:val="en-US"/>
        </w:rPr>
        <w:tab/>
        <w:t xml:space="preserve">Patient characteristics. </w:t>
      </w:r>
      <w:r w:rsidR="009E197B" w:rsidRPr="009E197B">
        <w:rPr>
          <w:bCs/>
          <w:color w:val="FF0000"/>
          <w:lang w:val="en-US"/>
        </w:rPr>
        <w:t>FL = follicular lymphoma</w:t>
      </w:r>
      <w:r w:rsidR="009E197B">
        <w:rPr>
          <w:bCs/>
          <w:color w:val="FF0000"/>
          <w:lang w:val="en-US"/>
        </w:rPr>
        <w:t>;</w:t>
      </w:r>
      <w:r w:rsidR="009E197B" w:rsidRPr="009E197B">
        <w:rPr>
          <w:bCs/>
          <w:color w:val="FF0000"/>
          <w:lang w:val="en-US"/>
        </w:rPr>
        <w:t xml:space="preserve"> DLBCL = diffuse large B-cell lymphoma</w:t>
      </w:r>
      <w:r w:rsidR="009E197B">
        <w:rPr>
          <w:bCs/>
          <w:color w:val="FF0000"/>
          <w:lang w:val="en-US"/>
        </w:rPr>
        <w:t>;</w:t>
      </w:r>
      <w:r w:rsidR="009E197B" w:rsidRPr="009E197B">
        <w:rPr>
          <w:bCs/>
          <w:color w:val="FF0000"/>
          <w:lang w:val="en-US"/>
        </w:rPr>
        <w:t xml:space="preserve"> MZL = marginal zone lymphoma</w:t>
      </w:r>
      <w:r w:rsidR="009E197B">
        <w:rPr>
          <w:bCs/>
          <w:color w:val="FF0000"/>
          <w:lang w:val="en-US"/>
        </w:rPr>
        <w:t>;</w:t>
      </w:r>
      <w:r w:rsidR="009E197B" w:rsidRPr="009E197B">
        <w:rPr>
          <w:bCs/>
          <w:color w:val="FF0000"/>
          <w:lang w:val="en-US"/>
        </w:rPr>
        <w:t xml:space="preserve"> EPOCH = etoposide, prednisolone</w:t>
      </w:r>
      <w:r w:rsidR="009E197B">
        <w:rPr>
          <w:bCs/>
          <w:color w:val="FF0000"/>
          <w:lang w:val="en-US"/>
        </w:rPr>
        <w:t>,</w:t>
      </w:r>
      <w:r w:rsidR="009E197B" w:rsidRPr="009E197B">
        <w:rPr>
          <w:bCs/>
          <w:color w:val="FF0000"/>
          <w:lang w:val="en-US"/>
        </w:rPr>
        <w:t xml:space="preserve"> vincristine, cyclophosphamide, anthracycline</w:t>
      </w:r>
      <w:r w:rsidR="009E197B">
        <w:rPr>
          <w:bCs/>
          <w:color w:val="FF0000"/>
          <w:lang w:val="en-US"/>
        </w:rPr>
        <w:t xml:space="preserve">; R = rituximab; </w:t>
      </w:r>
      <w:proofErr w:type="spellStart"/>
      <w:r w:rsidR="009E197B">
        <w:rPr>
          <w:bCs/>
          <w:color w:val="FF0000"/>
          <w:lang w:val="en-US"/>
        </w:rPr>
        <w:t>RTx</w:t>
      </w:r>
      <w:proofErr w:type="spellEnd"/>
      <w:r w:rsidR="009E197B">
        <w:rPr>
          <w:bCs/>
          <w:color w:val="FF0000"/>
          <w:lang w:val="en-US"/>
        </w:rPr>
        <w:t xml:space="preserve"> = radiotherapy; per = peritoneal bulk; PREBEN = </w:t>
      </w:r>
      <w:r w:rsidR="00F21644">
        <w:rPr>
          <w:bCs/>
          <w:color w:val="FF0000"/>
          <w:lang w:val="en-US"/>
        </w:rPr>
        <w:t xml:space="preserve">pixantrone, rituximab, etoposide, </w:t>
      </w:r>
      <w:proofErr w:type="spellStart"/>
      <w:r w:rsidR="00F21644">
        <w:rPr>
          <w:bCs/>
          <w:color w:val="FF0000"/>
          <w:lang w:val="en-US"/>
        </w:rPr>
        <w:t>bendamustine</w:t>
      </w:r>
      <w:proofErr w:type="spellEnd"/>
      <w:r w:rsidR="00F21644">
        <w:rPr>
          <w:bCs/>
          <w:color w:val="FF0000"/>
          <w:lang w:val="en-US"/>
        </w:rPr>
        <w:t xml:space="preserve">; CHOP = cyclophosphamide, </w:t>
      </w:r>
      <w:proofErr w:type="spellStart"/>
      <w:r w:rsidR="00F21644">
        <w:rPr>
          <w:bCs/>
          <w:color w:val="FF0000"/>
          <w:lang w:val="en-US"/>
        </w:rPr>
        <w:t>doxorubicine</w:t>
      </w:r>
      <w:proofErr w:type="spellEnd"/>
      <w:r w:rsidR="00F21644">
        <w:rPr>
          <w:bCs/>
          <w:color w:val="FF0000"/>
          <w:lang w:val="en-US"/>
        </w:rPr>
        <w:t xml:space="preserve">, </w:t>
      </w:r>
      <w:proofErr w:type="spellStart"/>
      <w:r w:rsidR="00F21644">
        <w:rPr>
          <w:bCs/>
          <w:color w:val="FF0000"/>
          <w:lang w:val="en-US"/>
        </w:rPr>
        <w:t>vinciristine</w:t>
      </w:r>
      <w:proofErr w:type="spellEnd"/>
      <w:r w:rsidR="00F21644">
        <w:rPr>
          <w:bCs/>
          <w:color w:val="FF0000"/>
          <w:lang w:val="en-US"/>
        </w:rPr>
        <w:t xml:space="preserve">, prednisolone, BEAM = </w:t>
      </w:r>
      <w:r w:rsidR="00F21644" w:rsidRPr="00F21644">
        <w:rPr>
          <w:bCs/>
          <w:color w:val="FF0000"/>
          <w:lang w:val="en-US"/>
        </w:rPr>
        <w:t>BCNU, etoposide, cytarabine, melphalan</w:t>
      </w:r>
      <w:r w:rsidR="00F21644">
        <w:rPr>
          <w:bCs/>
          <w:color w:val="FF0000"/>
          <w:lang w:val="en-US"/>
        </w:rPr>
        <w:t xml:space="preserve">; </w:t>
      </w:r>
      <w:proofErr w:type="spellStart"/>
      <w:r w:rsidR="00F21644">
        <w:rPr>
          <w:bCs/>
          <w:color w:val="FF0000"/>
          <w:lang w:val="en-US"/>
        </w:rPr>
        <w:t>autoSCT</w:t>
      </w:r>
      <w:proofErr w:type="spellEnd"/>
      <w:r w:rsidR="00F21644">
        <w:rPr>
          <w:bCs/>
          <w:color w:val="FF0000"/>
          <w:lang w:val="en-US"/>
        </w:rPr>
        <w:t xml:space="preserve"> = autologous stem-cell transplantation. </w:t>
      </w:r>
    </w:p>
    <w:tbl>
      <w:tblPr>
        <w:tblW w:w="8931"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504"/>
        <w:gridCol w:w="537"/>
        <w:gridCol w:w="526"/>
        <w:gridCol w:w="1081"/>
        <w:gridCol w:w="1249"/>
        <w:gridCol w:w="715"/>
        <w:gridCol w:w="3160"/>
        <w:gridCol w:w="1159"/>
      </w:tblGrid>
      <w:tr w:rsidR="00460289" w:rsidRPr="00F21644" w14:paraId="55DDA542" w14:textId="77777777" w:rsidTr="00460289">
        <w:trPr>
          <w:tblHeader/>
        </w:trPr>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662ED31E" w14:textId="0F3F0753" w:rsidR="002D7664" w:rsidRPr="00F21644" w:rsidRDefault="002D7664" w:rsidP="00AE18DB">
            <w:pPr>
              <w:rPr>
                <w:rFonts w:eastAsia="Times New Roman"/>
                <w:b/>
                <w:bCs/>
                <w:color w:val="FF0000"/>
                <w:sz w:val="20"/>
                <w:szCs w:val="20"/>
                <w:lang w:val="de-DE"/>
              </w:rPr>
            </w:pPr>
            <w:r w:rsidRPr="00F21644">
              <w:rPr>
                <w:rFonts w:eastAsia="Times New Roman"/>
                <w:b/>
                <w:bCs/>
                <w:color w:val="FF0000"/>
                <w:sz w:val="20"/>
                <w:szCs w:val="20"/>
                <w:lang w:val="de-DE"/>
              </w:rPr>
              <w:t>Pat #</w:t>
            </w:r>
          </w:p>
        </w:tc>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2D6602BC" w14:textId="3BC91945" w:rsidR="002D7664" w:rsidRPr="00F21644" w:rsidRDefault="00F21644" w:rsidP="00AE18DB">
            <w:pPr>
              <w:rPr>
                <w:rFonts w:eastAsia="Times New Roman"/>
                <w:b/>
                <w:bCs/>
                <w:color w:val="FF0000"/>
                <w:sz w:val="20"/>
                <w:szCs w:val="20"/>
                <w:lang w:val="de-DE"/>
              </w:rPr>
            </w:pPr>
            <w:proofErr w:type="spellStart"/>
            <w:r w:rsidRPr="00F21644">
              <w:rPr>
                <w:rFonts w:eastAsia="Times New Roman"/>
                <w:b/>
                <w:bCs/>
                <w:color w:val="FF0000"/>
                <w:sz w:val="20"/>
                <w:szCs w:val="20"/>
                <w:lang w:val="de-DE"/>
              </w:rPr>
              <w:t>a</w:t>
            </w:r>
            <w:r w:rsidR="002D7664" w:rsidRPr="00F21644">
              <w:rPr>
                <w:rFonts w:eastAsia="Times New Roman"/>
                <w:b/>
                <w:bCs/>
                <w:color w:val="FF0000"/>
                <w:sz w:val="20"/>
                <w:szCs w:val="20"/>
                <w:lang w:val="de-DE"/>
              </w:rPr>
              <w:t>ge</w:t>
            </w:r>
            <w:proofErr w:type="spellEnd"/>
          </w:p>
        </w:tc>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3D83C229" w14:textId="60A956F9" w:rsidR="002D7664" w:rsidRPr="00F21644" w:rsidRDefault="00F21644" w:rsidP="00AE18DB">
            <w:pPr>
              <w:rPr>
                <w:rFonts w:eastAsia="Times New Roman"/>
                <w:b/>
                <w:bCs/>
                <w:color w:val="FF0000"/>
                <w:sz w:val="20"/>
                <w:szCs w:val="20"/>
                <w:lang w:val="de-DE"/>
              </w:rPr>
            </w:pPr>
            <w:r w:rsidRPr="00F21644">
              <w:rPr>
                <w:rFonts w:eastAsia="Times New Roman"/>
                <w:b/>
                <w:bCs/>
                <w:color w:val="FF0000"/>
                <w:sz w:val="20"/>
                <w:szCs w:val="20"/>
                <w:lang w:val="de-DE"/>
              </w:rPr>
              <w:t>s</w:t>
            </w:r>
            <w:r w:rsidR="002D7664" w:rsidRPr="00F21644">
              <w:rPr>
                <w:rFonts w:eastAsia="Times New Roman"/>
                <w:b/>
                <w:bCs/>
                <w:color w:val="FF0000"/>
                <w:sz w:val="20"/>
                <w:szCs w:val="20"/>
                <w:lang w:val="de-DE"/>
              </w:rPr>
              <w:t>ex</w:t>
            </w:r>
          </w:p>
        </w:tc>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02BC6CE6" w14:textId="6AE41B11" w:rsidR="002D7664" w:rsidRPr="00F21644" w:rsidRDefault="00F21644" w:rsidP="00AE18DB">
            <w:pPr>
              <w:rPr>
                <w:rFonts w:eastAsia="Times New Roman"/>
                <w:b/>
                <w:bCs/>
                <w:color w:val="FF0000"/>
                <w:sz w:val="20"/>
                <w:szCs w:val="20"/>
                <w:lang w:val="de-DE"/>
              </w:rPr>
            </w:pPr>
            <w:proofErr w:type="spellStart"/>
            <w:r w:rsidRPr="00F21644">
              <w:rPr>
                <w:rFonts w:eastAsia="Times New Roman"/>
                <w:b/>
                <w:bCs/>
                <w:color w:val="FF0000"/>
                <w:sz w:val="20"/>
                <w:szCs w:val="20"/>
                <w:lang w:val="de-DE"/>
              </w:rPr>
              <w:t>h</w:t>
            </w:r>
            <w:r w:rsidR="002D7664" w:rsidRPr="00F21644">
              <w:rPr>
                <w:rFonts w:eastAsia="Times New Roman"/>
                <w:b/>
                <w:bCs/>
                <w:color w:val="FF0000"/>
                <w:sz w:val="20"/>
                <w:szCs w:val="20"/>
                <w:lang w:val="de-DE"/>
              </w:rPr>
              <w:t>istology</w:t>
            </w:r>
            <w:proofErr w:type="spellEnd"/>
          </w:p>
        </w:tc>
        <w:tc>
          <w:tcPr>
            <w:tcW w:w="1092" w:type="dxa"/>
            <w:tcBorders>
              <w:top w:val="nil"/>
              <w:left w:val="nil"/>
              <w:bottom w:val="single" w:sz="4" w:space="0" w:color="auto"/>
              <w:right w:val="nil"/>
            </w:tcBorders>
            <w:tcMar>
              <w:top w:w="48" w:type="dxa"/>
              <w:left w:w="96" w:type="dxa"/>
              <w:bottom w:w="48" w:type="dxa"/>
              <w:right w:w="96" w:type="dxa"/>
            </w:tcMar>
            <w:vAlign w:val="center"/>
            <w:hideMark/>
          </w:tcPr>
          <w:p w14:paraId="11AA6A68" w14:textId="59417BAF" w:rsidR="002D7664" w:rsidRPr="00F21644" w:rsidRDefault="002D7664" w:rsidP="00AE18DB">
            <w:pPr>
              <w:rPr>
                <w:rFonts w:eastAsia="Times New Roman"/>
                <w:b/>
                <w:bCs/>
                <w:color w:val="FF0000"/>
                <w:sz w:val="20"/>
                <w:szCs w:val="20"/>
                <w:lang w:val="de-DE"/>
              </w:rPr>
            </w:pPr>
            <w:r w:rsidRPr="00F21644">
              <w:rPr>
                <w:rFonts w:eastAsia="Times New Roman"/>
                <w:b/>
                <w:bCs/>
                <w:color w:val="FF0000"/>
                <w:sz w:val="20"/>
                <w:szCs w:val="20"/>
                <w:lang w:val="de-DE"/>
              </w:rPr>
              <w:t xml:space="preserve">CD19 </w:t>
            </w:r>
            <w:proofErr w:type="spellStart"/>
            <w:r w:rsidRPr="00F21644">
              <w:rPr>
                <w:rFonts w:eastAsia="Times New Roman"/>
                <w:b/>
                <w:bCs/>
                <w:color w:val="FF0000"/>
                <w:sz w:val="20"/>
                <w:szCs w:val="20"/>
                <w:lang w:val="de-DE"/>
              </w:rPr>
              <w:t>expression</w:t>
            </w:r>
            <w:proofErr w:type="spellEnd"/>
          </w:p>
        </w:tc>
        <w:tc>
          <w:tcPr>
            <w:tcW w:w="658" w:type="dxa"/>
            <w:tcBorders>
              <w:top w:val="nil"/>
              <w:left w:val="nil"/>
              <w:bottom w:val="single" w:sz="4" w:space="0" w:color="auto"/>
              <w:right w:val="nil"/>
            </w:tcBorders>
            <w:tcMar>
              <w:top w:w="48" w:type="dxa"/>
              <w:left w:w="96" w:type="dxa"/>
              <w:bottom w:w="48" w:type="dxa"/>
              <w:right w:w="96" w:type="dxa"/>
            </w:tcMar>
            <w:vAlign w:val="center"/>
            <w:hideMark/>
          </w:tcPr>
          <w:p w14:paraId="51C0C9C3" w14:textId="2B1270EF" w:rsidR="002D7664" w:rsidRPr="00F21644" w:rsidRDefault="00F21644" w:rsidP="00AE18DB">
            <w:pPr>
              <w:rPr>
                <w:rFonts w:eastAsia="Times New Roman"/>
                <w:b/>
                <w:bCs/>
                <w:color w:val="FF0000"/>
                <w:sz w:val="20"/>
                <w:szCs w:val="20"/>
                <w:lang w:val="de-DE"/>
              </w:rPr>
            </w:pPr>
            <w:proofErr w:type="spellStart"/>
            <w:r w:rsidRPr="00F21644">
              <w:rPr>
                <w:rFonts w:eastAsia="Times New Roman"/>
                <w:b/>
                <w:bCs/>
                <w:color w:val="FF0000"/>
                <w:sz w:val="20"/>
                <w:szCs w:val="20"/>
                <w:lang w:val="de-DE"/>
              </w:rPr>
              <w:t>s</w:t>
            </w:r>
            <w:r w:rsidR="002D7664" w:rsidRPr="00F21644">
              <w:rPr>
                <w:rFonts w:eastAsia="Times New Roman"/>
                <w:b/>
                <w:bCs/>
                <w:color w:val="FF0000"/>
                <w:sz w:val="20"/>
                <w:szCs w:val="20"/>
                <w:lang w:val="de-DE"/>
              </w:rPr>
              <w:t>tage</w:t>
            </w:r>
            <w:proofErr w:type="spellEnd"/>
          </w:p>
        </w:tc>
        <w:tc>
          <w:tcPr>
            <w:tcW w:w="3544" w:type="dxa"/>
            <w:tcBorders>
              <w:top w:val="nil"/>
              <w:left w:val="nil"/>
              <w:bottom w:val="single" w:sz="4" w:space="0" w:color="auto"/>
              <w:right w:val="nil"/>
            </w:tcBorders>
            <w:tcMar>
              <w:top w:w="48" w:type="dxa"/>
              <w:left w:w="96" w:type="dxa"/>
              <w:bottom w:w="48" w:type="dxa"/>
              <w:right w:w="96" w:type="dxa"/>
            </w:tcMar>
            <w:vAlign w:val="center"/>
            <w:hideMark/>
          </w:tcPr>
          <w:p w14:paraId="3274102E" w14:textId="276FF25C" w:rsidR="002D7664" w:rsidRPr="00F21644" w:rsidRDefault="00F21644" w:rsidP="00AE18DB">
            <w:pPr>
              <w:rPr>
                <w:rFonts w:eastAsia="Times New Roman"/>
                <w:b/>
                <w:bCs/>
                <w:color w:val="FF0000"/>
                <w:sz w:val="20"/>
                <w:szCs w:val="20"/>
                <w:lang w:val="de-DE"/>
              </w:rPr>
            </w:pPr>
            <w:proofErr w:type="spellStart"/>
            <w:r w:rsidRPr="00F21644">
              <w:rPr>
                <w:rFonts w:eastAsia="Times New Roman"/>
                <w:b/>
                <w:bCs/>
                <w:color w:val="FF0000"/>
                <w:sz w:val="20"/>
                <w:szCs w:val="20"/>
                <w:lang w:val="de-DE"/>
              </w:rPr>
              <w:t>p</w:t>
            </w:r>
            <w:r w:rsidR="002D7664" w:rsidRPr="00F21644">
              <w:rPr>
                <w:rFonts w:eastAsia="Times New Roman"/>
                <w:b/>
                <w:bCs/>
                <w:color w:val="FF0000"/>
                <w:sz w:val="20"/>
                <w:szCs w:val="20"/>
                <w:lang w:val="de-DE"/>
              </w:rPr>
              <w:t>rior</w:t>
            </w:r>
            <w:proofErr w:type="spellEnd"/>
            <w:r w:rsidR="002D7664" w:rsidRPr="00F21644">
              <w:rPr>
                <w:rFonts w:eastAsia="Times New Roman"/>
                <w:b/>
                <w:bCs/>
                <w:color w:val="FF0000"/>
                <w:sz w:val="20"/>
                <w:szCs w:val="20"/>
                <w:lang w:val="de-DE"/>
              </w:rPr>
              <w:t xml:space="preserve"> </w:t>
            </w:r>
            <w:proofErr w:type="spellStart"/>
            <w:r w:rsidR="002D7664" w:rsidRPr="00F21644">
              <w:rPr>
                <w:rFonts w:eastAsia="Times New Roman"/>
                <w:b/>
                <w:bCs/>
                <w:color w:val="FF0000"/>
                <w:sz w:val="20"/>
                <w:szCs w:val="20"/>
                <w:lang w:val="de-DE"/>
              </w:rPr>
              <w:t>treatments</w:t>
            </w:r>
            <w:proofErr w:type="spellEnd"/>
          </w:p>
        </w:tc>
        <w:tc>
          <w:tcPr>
            <w:tcW w:w="1134" w:type="dxa"/>
            <w:tcBorders>
              <w:top w:val="nil"/>
              <w:left w:val="nil"/>
              <w:bottom w:val="single" w:sz="4" w:space="0" w:color="auto"/>
              <w:right w:val="nil"/>
            </w:tcBorders>
            <w:tcMar>
              <w:top w:w="48" w:type="dxa"/>
              <w:left w:w="96" w:type="dxa"/>
              <w:bottom w:w="48" w:type="dxa"/>
              <w:right w:w="96" w:type="dxa"/>
            </w:tcMar>
            <w:vAlign w:val="center"/>
            <w:hideMark/>
          </w:tcPr>
          <w:p w14:paraId="19B52874" w14:textId="30EF5FBD" w:rsidR="002D7664" w:rsidRPr="00F21644" w:rsidRDefault="002D7664" w:rsidP="00AE18DB">
            <w:pPr>
              <w:rPr>
                <w:rFonts w:eastAsia="Times New Roman"/>
                <w:b/>
                <w:bCs/>
                <w:color w:val="FF0000"/>
                <w:sz w:val="20"/>
                <w:szCs w:val="20"/>
                <w:lang w:val="de-DE"/>
              </w:rPr>
            </w:pPr>
            <w:r w:rsidRPr="00F21644">
              <w:rPr>
                <w:rFonts w:eastAsia="Times New Roman"/>
                <w:b/>
                <w:bCs/>
                <w:color w:val="FF0000"/>
                <w:sz w:val="20"/>
                <w:szCs w:val="20"/>
                <w:lang w:val="de-DE"/>
              </w:rPr>
              <w:t xml:space="preserve">Rituximab </w:t>
            </w:r>
            <w:proofErr w:type="spellStart"/>
            <w:r w:rsidRPr="00F21644">
              <w:rPr>
                <w:rFonts w:eastAsia="Times New Roman"/>
                <w:b/>
                <w:bCs/>
                <w:color w:val="FF0000"/>
                <w:sz w:val="20"/>
                <w:szCs w:val="20"/>
                <w:lang w:val="de-DE"/>
              </w:rPr>
              <w:t>prior</w:t>
            </w:r>
            <w:proofErr w:type="spellEnd"/>
            <w:r w:rsidRPr="00F21644">
              <w:rPr>
                <w:rFonts w:eastAsia="Times New Roman"/>
                <w:b/>
                <w:bCs/>
                <w:color w:val="FF0000"/>
                <w:sz w:val="20"/>
                <w:szCs w:val="20"/>
                <w:lang w:val="de-DE"/>
              </w:rPr>
              <w:t xml:space="preserve"> PET</w:t>
            </w:r>
          </w:p>
        </w:tc>
      </w:tr>
      <w:tr w:rsidR="00460289" w:rsidRPr="00F21644" w14:paraId="239EB565" w14:textId="77777777" w:rsidTr="00460289">
        <w:tc>
          <w:tcPr>
            <w:tcW w:w="0" w:type="auto"/>
            <w:tcBorders>
              <w:top w:val="single" w:sz="4" w:space="0" w:color="auto"/>
              <w:left w:val="nil"/>
              <w:bottom w:val="nil"/>
              <w:right w:val="nil"/>
            </w:tcBorders>
            <w:tcMar>
              <w:top w:w="48" w:type="dxa"/>
              <w:left w:w="96" w:type="dxa"/>
              <w:bottom w:w="48" w:type="dxa"/>
              <w:right w:w="96" w:type="dxa"/>
            </w:tcMar>
            <w:vAlign w:val="center"/>
            <w:hideMark/>
          </w:tcPr>
          <w:p w14:paraId="3319BAE1" w14:textId="77777777"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1</w:t>
            </w:r>
          </w:p>
        </w:tc>
        <w:tc>
          <w:tcPr>
            <w:tcW w:w="0" w:type="auto"/>
            <w:tcBorders>
              <w:top w:val="single" w:sz="4" w:space="0" w:color="auto"/>
              <w:left w:val="nil"/>
              <w:bottom w:val="nil"/>
              <w:right w:val="nil"/>
            </w:tcBorders>
            <w:tcMar>
              <w:top w:w="48" w:type="dxa"/>
              <w:left w:w="96" w:type="dxa"/>
              <w:bottom w:w="48" w:type="dxa"/>
              <w:right w:w="96" w:type="dxa"/>
            </w:tcMar>
            <w:vAlign w:val="center"/>
            <w:hideMark/>
          </w:tcPr>
          <w:p w14:paraId="7D2324C6" w14:textId="143DFCD6"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25</w:t>
            </w:r>
          </w:p>
        </w:tc>
        <w:tc>
          <w:tcPr>
            <w:tcW w:w="0" w:type="auto"/>
            <w:tcBorders>
              <w:top w:val="single" w:sz="4" w:space="0" w:color="auto"/>
              <w:left w:val="nil"/>
              <w:bottom w:val="nil"/>
              <w:right w:val="nil"/>
            </w:tcBorders>
            <w:tcMar>
              <w:top w:w="48" w:type="dxa"/>
              <w:left w:w="96" w:type="dxa"/>
              <w:bottom w:w="48" w:type="dxa"/>
              <w:right w:w="96" w:type="dxa"/>
            </w:tcMar>
            <w:vAlign w:val="center"/>
            <w:hideMark/>
          </w:tcPr>
          <w:p w14:paraId="4846B45E" w14:textId="77777777"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F</w:t>
            </w:r>
          </w:p>
        </w:tc>
        <w:tc>
          <w:tcPr>
            <w:tcW w:w="0" w:type="auto"/>
            <w:tcBorders>
              <w:top w:val="single" w:sz="4" w:space="0" w:color="auto"/>
              <w:left w:val="nil"/>
              <w:bottom w:val="nil"/>
              <w:right w:val="nil"/>
            </w:tcBorders>
            <w:tcMar>
              <w:top w:w="48" w:type="dxa"/>
              <w:left w:w="96" w:type="dxa"/>
              <w:bottom w:w="48" w:type="dxa"/>
              <w:right w:w="96" w:type="dxa"/>
            </w:tcMar>
            <w:vAlign w:val="center"/>
            <w:hideMark/>
          </w:tcPr>
          <w:p w14:paraId="5B825E7A" w14:textId="028D3C2D"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 xml:space="preserve">FL, 3b </w:t>
            </w:r>
          </w:p>
        </w:tc>
        <w:tc>
          <w:tcPr>
            <w:tcW w:w="1092" w:type="dxa"/>
            <w:tcBorders>
              <w:top w:val="single" w:sz="4" w:space="0" w:color="auto"/>
              <w:left w:val="nil"/>
              <w:bottom w:val="nil"/>
              <w:right w:val="nil"/>
            </w:tcBorders>
            <w:tcMar>
              <w:top w:w="48" w:type="dxa"/>
              <w:left w:w="96" w:type="dxa"/>
              <w:bottom w:w="48" w:type="dxa"/>
              <w:right w:w="96" w:type="dxa"/>
            </w:tcMar>
            <w:vAlign w:val="center"/>
            <w:hideMark/>
          </w:tcPr>
          <w:p w14:paraId="336F507A" w14:textId="6AC594FE"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w:t>
            </w:r>
          </w:p>
        </w:tc>
        <w:tc>
          <w:tcPr>
            <w:tcW w:w="658" w:type="dxa"/>
            <w:tcBorders>
              <w:top w:val="single" w:sz="4" w:space="0" w:color="auto"/>
              <w:left w:val="nil"/>
              <w:bottom w:val="nil"/>
              <w:right w:val="nil"/>
            </w:tcBorders>
            <w:tcMar>
              <w:top w:w="48" w:type="dxa"/>
              <w:left w:w="96" w:type="dxa"/>
              <w:bottom w:w="48" w:type="dxa"/>
              <w:right w:w="96" w:type="dxa"/>
            </w:tcMar>
            <w:vAlign w:val="center"/>
            <w:hideMark/>
          </w:tcPr>
          <w:p w14:paraId="506F3036" w14:textId="6C729EC9"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IV B</w:t>
            </w:r>
          </w:p>
        </w:tc>
        <w:tc>
          <w:tcPr>
            <w:tcW w:w="3544" w:type="dxa"/>
            <w:tcBorders>
              <w:top w:val="single" w:sz="4" w:space="0" w:color="auto"/>
              <w:left w:val="nil"/>
              <w:bottom w:val="nil"/>
              <w:right w:val="nil"/>
            </w:tcBorders>
            <w:tcMar>
              <w:top w:w="48" w:type="dxa"/>
              <w:left w:w="96" w:type="dxa"/>
              <w:bottom w:w="48" w:type="dxa"/>
              <w:right w:w="96" w:type="dxa"/>
            </w:tcMar>
            <w:vAlign w:val="center"/>
            <w:hideMark/>
          </w:tcPr>
          <w:p w14:paraId="1B9B72E9" w14:textId="22F71057" w:rsidR="002D7664" w:rsidRPr="00F21644" w:rsidRDefault="009E197B" w:rsidP="00AE18DB">
            <w:pPr>
              <w:rPr>
                <w:rFonts w:eastAsia="Times New Roman"/>
                <w:color w:val="FF0000"/>
                <w:sz w:val="20"/>
                <w:szCs w:val="20"/>
                <w:lang w:val="de-DE"/>
              </w:rPr>
            </w:pPr>
            <w:r w:rsidRPr="00F21644">
              <w:rPr>
                <w:rFonts w:eastAsia="Times New Roman"/>
                <w:color w:val="FF0000"/>
                <w:sz w:val="20"/>
                <w:szCs w:val="20"/>
                <w:lang w:val="de-DE"/>
              </w:rPr>
              <w:t>EPOCH-R</w:t>
            </w:r>
            <w:r w:rsidR="002D7664" w:rsidRPr="00F21644">
              <w:rPr>
                <w:rFonts w:eastAsia="Times New Roman"/>
                <w:color w:val="FF0000"/>
                <w:sz w:val="20"/>
                <w:szCs w:val="20"/>
                <w:lang w:val="de-DE"/>
              </w:rPr>
              <w:t xml:space="preserve">, </w:t>
            </w:r>
            <w:proofErr w:type="spellStart"/>
            <w:r w:rsidR="002D7664" w:rsidRPr="00F21644">
              <w:rPr>
                <w:rFonts w:eastAsia="Times New Roman"/>
                <w:color w:val="FF0000"/>
                <w:sz w:val="20"/>
                <w:szCs w:val="20"/>
                <w:lang w:val="de-DE"/>
              </w:rPr>
              <w:t>RTx</w:t>
            </w:r>
            <w:proofErr w:type="spellEnd"/>
            <w:r w:rsidR="002D7664" w:rsidRPr="00F21644">
              <w:rPr>
                <w:rFonts w:eastAsia="Times New Roman"/>
                <w:color w:val="FF0000"/>
                <w:sz w:val="20"/>
                <w:szCs w:val="20"/>
                <w:lang w:val="de-DE"/>
              </w:rPr>
              <w:t xml:space="preserve"> (per), </w:t>
            </w:r>
            <w:r w:rsidRPr="00F21644">
              <w:rPr>
                <w:rFonts w:eastAsia="Times New Roman"/>
                <w:color w:val="FF0000"/>
                <w:sz w:val="20"/>
                <w:szCs w:val="20"/>
                <w:lang w:val="de-DE"/>
              </w:rPr>
              <w:t>PREBEN</w:t>
            </w:r>
          </w:p>
        </w:tc>
        <w:tc>
          <w:tcPr>
            <w:tcW w:w="1134" w:type="dxa"/>
            <w:tcBorders>
              <w:top w:val="single" w:sz="4" w:space="0" w:color="auto"/>
              <w:left w:val="nil"/>
              <w:bottom w:val="nil"/>
              <w:right w:val="nil"/>
            </w:tcBorders>
            <w:tcMar>
              <w:top w:w="48" w:type="dxa"/>
              <w:left w:w="96" w:type="dxa"/>
              <w:bottom w:w="48" w:type="dxa"/>
              <w:right w:w="96" w:type="dxa"/>
            </w:tcMar>
            <w:vAlign w:val="center"/>
            <w:hideMark/>
          </w:tcPr>
          <w:p w14:paraId="0D94E194" w14:textId="7A7A0C6A" w:rsidR="002D7664" w:rsidRPr="00F21644" w:rsidRDefault="002D7664" w:rsidP="00AE18DB">
            <w:pPr>
              <w:rPr>
                <w:rFonts w:eastAsia="Times New Roman"/>
                <w:color w:val="FF0000"/>
                <w:sz w:val="20"/>
                <w:szCs w:val="20"/>
                <w:lang w:val="de-DE"/>
              </w:rPr>
            </w:pPr>
            <w:proofErr w:type="spellStart"/>
            <w:r w:rsidRPr="00F21644">
              <w:rPr>
                <w:rFonts w:eastAsia="Times New Roman"/>
                <w:color w:val="FF0000"/>
                <w:sz w:val="20"/>
                <w:szCs w:val="20"/>
                <w:lang w:val="de-DE"/>
              </w:rPr>
              <w:t>ongoing</w:t>
            </w:r>
            <w:proofErr w:type="spellEnd"/>
          </w:p>
        </w:tc>
      </w:tr>
      <w:tr w:rsidR="00460289" w:rsidRPr="00F21644" w14:paraId="48530199" w14:textId="77777777" w:rsidTr="00460289">
        <w:tc>
          <w:tcPr>
            <w:tcW w:w="0" w:type="auto"/>
            <w:tcBorders>
              <w:top w:val="nil"/>
              <w:left w:val="nil"/>
              <w:bottom w:val="nil"/>
              <w:right w:val="nil"/>
            </w:tcBorders>
            <w:tcMar>
              <w:top w:w="48" w:type="dxa"/>
              <w:left w:w="96" w:type="dxa"/>
              <w:bottom w:w="48" w:type="dxa"/>
              <w:right w:w="96" w:type="dxa"/>
            </w:tcMar>
            <w:vAlign w:val="center"/>
            <w:hideMark/>
          </w:tcPr>
          <w:p w14:paraId="1AA1BA3C" w14:textId="77777777"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2</w:t>
            </w:r>
          </w:p>
        </w:tc>
        <w:tc>
          <w:tcPr>
            <w:tcW w:w="0" w:type="auto"/>
            <w:tcBorders>
              <w:top w:val="nil"/>
              <w:left w:val="nil"/>
              <w:bottom w:val="nil"/>
              <w:right w:val="nil"/>
            </w:tcBorders>
            <w:tcMar>
              <w:top w:w="48" w:type="dxa"/>
              <w:left w:w="96" w:type="dxa"/>
              <w:bottom w:w="48" w:type="dxa"/>
              <w:right w:w="96" w:type="dxa"/>
            </w:tcMar>
            <w:vAlign w:val="center"/>
            <w:hideMark/>
          </w:tcPr>
          <w:p w14:paraId="497261C5" w14:textId="67033022"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68</w:t>
            </w:r>
          </w:p>
        </w:tc>
        <w:tc>
          <w:tcPr>
            <w:tcW w:w="0" w:type="auto"/>
            <w:tcBorders>
              <w:top w:val="nil"/>
              <w:left w:val="nil"/>
              <w:bottom w:val="nil"/>
              <w:right w:val="nil"/>
            </w:tcBorders>
            <w:tcMar>
              <w:top w:w="48" w:type="dxa"/>
              <w:left w:w="96" w:type="dxa"/>
              <w:bottom w:w="48" w:type="dxa"/>
              <w:right w:w="96" w:type="dxa"/>
            </w:tcMar>
            <w:vAlign w:val="center"/>
            <w:hideMark/>
          </w:tcPr>
          <w:p w14:paraId="441D9177" w14:textId="77777777"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F</w:t>
            </w:r>
          </w:p>
        </w:tc>
        <w:tc>
          <w:tcPr>
            <w:tcW w:w="0" w:type="auto"/>
            <w:tcBorders>
              <w:top w:val="nil"/>
              <w:left w:val="nil"/>
              <w:bottom w:val="nil"/>
              <w:right w:val="nil"/>
            </w:tcBorders>
            <w:tcMar>
              <w:top w:w="48" w:type="dxa"/>
              <w:left w:w="96" w:type="dxa"/>
              <w:bottom w:w="48" w:type="dxa"/>
              <w:right w:w="96" w:type="dxa"/>
            </w:tcMar>
            <w:vAlign w:val="center"/>
            <w:hideMark/>
          </w:tcPr>
          <w:p w14:paraId="3D626656" w14:textId="33117709"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 xml:space="preserve">DLBCL, </w:t>
            </w:r>
            <w:proofErr w:type="spellStart"/>
            <w:r w:rsidRPr="00F21644">
              <w:rPr>
                <w:rFonts w:eastAsia="Times New Roman"/>
                <w:color w:val="FF0000"/>
                <w:sz w:val="20"/>
                <w:szCs w:val="20"/>
                <w:lang w:val="de-DE"/>
              </w:rPr>
              <w:t>from</w:t>
            </w:r>
            <w:proofErr w:type="spellEnd"/>
            <w:r w:rsidRPr="00F21644">
              <w:rPr>
                <w:rFonts w:eastAsia="Times New Roman"/>
                <w:color w:val="FF0000"/>
                <w:sz w:val="20"/>
                <w:szCs w:val="20"/>
                <w:lang w:val="de-DE"/>
              </w:rPr>
              <w:t xml:space="preserve"> FL</w:t>
            </w:r>
          </w:p>
        </w:tc>
        <w:tc>
          <w:tcPr>
            <w:tcW w:w="1092" w:type="dxa"/>
            <w:tcBorders>
              <w:top w:val="nil"/>
              <w:left w:val="nil"/>
              <w:bottom w:val="nil"/>
              <w:right w:val="nil"/>
            </w:tcBorders>
            <w:tcMar>
              <w:top w:w="48" w:type="dxa"/>
              <w:left w:w="96" w:type="dxa"/>
              <w:bottom w:w="48" w:type="dxa"/>
              <w:right w:w="96" w:type="dxa"/>
            </w:tcMar>
            <w:vAlign w:val="center"/>
            <w:hideMark/>
          </w:tcPr>
          <w:p w14:paraId="02FCBE7F" w14:textId="3505D753"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w:t>
            </w:r>
          </w:p>
        </w:tc>
        <w:tc>
          <w:tcPr>
            <w:tcW w:w="658" w:type="dxa"/>
            <w:tcBorders>
              <w:top w:val="nil"/>
              <w:left w:val="nil"/>
              <w:bottom w:val="nil"/>
              <w:right w:val="nil"/>
            </w:tcBorders>
            <w:tcMar>
              <w:top w:w="48" w:type="dxa"/>
              <w:left w:w="96" w:type="dxa"/>
              <w:bottom w:w="48" w:type="dxa"/>
              <w:right w:w="96" w:type="dxa"/>
            </w:tcMar>
            <w:vAlign w:val="center"/>
            <w:hideMark/>
          </w:tcPr>
          <w:p w14:paraId="3524CC07" w14:textId="76BF1B92"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II E</w:t>
            </w:r>
          </w:p>
        </w:tc>
        <w:tc>
          <w:tcPr>
            <w:tcW w:w="3544" w:type="dxa"/>
            <w:tcBorders>
              <w:top w:val="nil"/>
              <w:left w:val="nil"/>
              <w:bottom w:val="nil"/>
              <w:right w:val="nil"/>
            </w:tcBorders>
            <w:tcMar>
              <w:top w:w="48" w:type="dxa"/>
              <w:left w:w="96" w:type="dxa"/>
              <w:bottom w:w="48" w:type="dxa"/>
              <w:right w:w="96" w:type="dxa"/>
            </w:tcMar>
            <w:vAlign w:val="center"/>
            <w:hideMark/>
          </w:tcPr>
          <w:p w14:paraId="18000FF4" w14:textId="613A2B1C" w:rsidR="002D7664" w:rsidRPr="00F21644" w:rsidRDefault="00460289" w:rsidP="00AE18DB">
            <w:pPr>
              <w:rPr>
                <w:rFonts w:eastAsia="Times New Roman"/>
                <w:color w:val="FF0000"/>
                <w:sz w:val="20"/>
                <w:szCs w:val="20"/>
                <w:lang w:val="de-DE"/>
              </w:rPr>
            </w:pPr>
            <w:r w:rsidRPr="00F21644">
              <w:rPr>
                <w:rFonts w:eastAsia="Times New Roman"/>
                <w:color w:val="FF0000"/>
                <w:sz w:val="20"/>
                <w:szCs w:val="20"/>
                <w:lang w:val="de-DE"/>
              </w:rPr>
              <w:t xml:space="preserve">R-CHOP, R-BEAM, </w:t>
            </w:r>
            <w:proofErr w:type="spellStart"/>
            <w:r w:rsidRPr="00F21644">
              <w:rPr>
                <w:rFonts w:eastAsia="Times New Roman"/>
                <w:color w:val="FF0000"/>
                <w:sz w:val="20"/>
                <w:szCs w:val="20"/>
                <w:lang w:val="de-DE"/>
              </w:rPr>
              <w:t>autoSCT</w:t>
            </w:r>
            <w:proofErr w:type="spellEnd"/>
            <w:r w:rsidR="002D7664" w:rsidRPr="00F21644">
              <w:rPr>
                <w:rFonts w:eastAsia="Times New Roman"/>
                <w:color w:val="FF0000"/>
                <w:sz w:val="20"/>
                <w:szCs w:val="20"/>
                <w:lang w:val="de-DE"/>
              </w:rPr>
              <w:t xml:space="preserve">, R, </w:t>
            </w:r>
            <w:proofErr w:type="spellStart"/>
            <w:r w:rsidR="002D7664" w:rsidRPr="00F21644">
              <w:rPr>
                <w:rFonts w:eastAsia="Times New Roman"/>
                <w:color w:val="FF0000"/>
                <w:sz w:val="20"/>
                <w:szCs w:val="20"/>
                <w:lang w:val="de-DE"/>
              </w:rPr>
              <w:t>Idealisib</w:t>
            </w:r>
            <w:proofErr w:type="spellEnd"/>
          </w:p>
        </w:tc>
        <w:tc>
          <w:tcPr>
            <w:tcW w:w="1134" w:type="dxa"/>
            <w:tcBorders>
              <w:top w:val="nil"/>
              <w:left w:val="nil"/>
              <w:bottom w:val="nil"/>
              <w:right w:val="nil"/>
            </w:tcBorders>
            <w:tcMar>
              <w:top w:w="48" w:type="dxa"/>
              <w:left w:w="96" w:type="dxa"/>
              <w:bottom w:w="48" w:type="dxa"/>
              <w:right w:w="96" w:type="dxa"/>
            </w:tcMar>
            <w:vAlign w:val="center"/>
            <w:hideMark/>
          </w:tcPr>
          <w:p w14:paraId="5F227799" w14:textId="690975EC" w:rsidR="002D7664" w:rsidRPr="00F21644" w:rsidRDefault="002D7664" w:rsidP="00F6746C">
            <w:pPr>
              <w:rPr>
                <w:rFonts w:eastAsia="Times New Roman"/>
                <w:color w:val="FF0000"/>
                <w:sz w:val="20"/>
                <w:szCs w:val="20"/>
                <w:lang w:val="de-DE"/>
              </w:rPr>
            </w:pPr>
            <w:r w:rsidRPr="00F21644">
              <w:rPr>
                <w:rFonts w:eastAsia="Times New Roman"/>
                <w:color w:val="FF0000"/>
                <w:sz w:val="20"/>
                <w:szCs w:val="20"/>
                <w:lang w:val="de-DE"/>
              </w:rPr>
              <w:t xml:space="preserve">&gt;6 </w:t>
            </w:r>
            <w:proofErr w:type="spellStart"/>
            <w:r w:rsidRPr="00F21644">
              <w:rPr>
                <w:rFonts w:eastAsia="Times New Roman"/>
                <w:color w:val="FF0000"/>
                <w:sz w:val="20"/>
                <w:szCs w:val="20"/>
                <w:lang w:val="de-DE"/>
              </w:rPr>
              <w:t>mths</w:t>
            </w:r>
            <w:proofErr w:type="spellEnd"/>
          </w:p>
        </w:tc>
      </w:tr>
      <w:tr w:rsidR="00460289" w:rsidRPr="00F21644" w14:paraId="6E7A7560" w14:textId="77777777" w:rsidTr="00460289">
        <w:tc>
          <w:tcPr>
            <w:tcW w:w="0" w:type="auto"/>
            <w:tcBorders>
              <w:top w:val="nil"/>
              <w:left w:val="nil"/>
              <w:bottom w:val="nil"/>
              <w:right w:val="nil"/>
            </w:tcBorders>
            <w:tcMar>
              <w:top w:w="48" w:type="dxa"/>
              <w:left w:w="96" w:type="dxa"/>
              <w:bottom w:w="48" w:type="dxa"/>
              <w:right w:w="96" w:type="dxa"/>
            </w:tcMar>
            <w:vAlign w:val="center"/>
            <w:hideMark/>
          </w:tcPr>
          <w:p w14:paraId="33711C54" w14:textId="77777777"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3</w:t>
            </w:r>
          </w:p>
        </w:tc>
        <w:tc>
          <w:tcPr>
            <w:tcW w:w="0" w:type="auto"/>
            <w:tcBorders>
              <w:top w:val="nil"/>
              <w:left w:val="nil"/>
              <w:bottom w:val="nil"/>
              <w:right w:val="nil"/>
            </w:tcBorders>
            <w:tcMar>
              <w:top w:w="48" w:type="dxa"/>
              <w:left w:w="96" w:type="dxa"/>
              <w:bottom w:w="48" w:type="dxa"/>
              <w:right w:w="96" w:type="dxa"/>
            </w:tcMar>
            <w:vAlign w:val="center"/>
            <w:hideMark/>
          </w:tcPr>
          <w:p w14:paraId="1558A2E0" w14:textId="3CDB1F8C"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58</w:t>
            </w:r>
          </w:p>
        </w:tc>
        <w:tc>
          <w:tcPr>
            <w:tcW w:w="0" w:type="auto"/>
            <w:tcBorders>
              <w:top w:val="nil"/>
              <w:left w:val="nil"/>
              <w:bottom w:val="nil"/>
              <w:right w:val="nil"/>
            </w:tcBorders>
            <w:tcMar>
              <w:top w:w="48" w:type="dxa"/>
              <w:left w:w="96" w:type="dxa"/>
              <w:bottom w:w="48" w:type="dxa"/>
              <w:right w:w="96" w:type="dxa"/>
            </w:tcMar>
            <w:vAlign w:val="center"/>
            <w:hideMark/>
          </w:tcPr>
          <w:p w14:paraId="046D357C" w14:textId="77777777"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M</w:t>
            </w:r>
          </w:p>
        </w:tc>
        <w:tc>
          <w:tcPr>
            <w:tcW w:w="0" w:type="auto"/>
            <w:tcBorders>
              <w:top w:val="nil"/>
              <w:left w:val="nil"/>
              <w:bottom w:val="nil"/>
              <w:right w:val="nil"/>
            </w:tcBorders>
            <w:tcMar>
              <w:top w:w="48" w:type="dxa"/>
              <w:left w:w="96" w:type="dxa"/>
              <w:bottom w:w="48" w:type="dxa"/>
              <w:right w:w="96" w:type="dxa"/>
            </w:tcMar>
            <w:vAlign w:val="center"/>
            <w:hideMark/>
          </w:tcPr>
          <w:p w14:paraId="6CA97BCF" w14:textId="6014DAE2"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DLBCL</w:t>
            </w:r>
          </w:p>
        </w:tc>
        <w:tc>
          <w:tcPr>
            <w:tcW w:w="1092" w:type="dxa"/>
            <w:tcBorders>
              <w:top w:val="nil"/>
              <w:left w:val="nil"/>
              <w:bottom w:val="nil"/>
              <w:right w:val="nil"/>
            </w:tcBorders>
            <w:tcMar>
              <w:top w:w="48" w:type="dxa"/>
              <w:left w:w="96" w:type="dxa"/>
              <w:bottom w:w="48" w:type="dxa"/>
              <w:right w:w="96" w:type="dxa"/>
            </w:tcMar>
            <w:vAlign w:val="center"/>
            <w:hideMark/>
          </w:tcPr>
          <w:p w14:paraId="3CFFA305" w14:textId="29C77E04"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w:t>
            </w:r>
          </w:p>
        </w:tc>
        <w:tc>
          <w:tcPr>
            <w:tcW w:w="658" w:type="dxa"/>
            <w:tcBorders>
              <w:top w:val="nil"/>
              <w:left w:val="nil"/>
              <w:bottom w:val="nil"/>
              <w:right w:val="nil"/>
            </w:tcBorders>
            <w:tcMar>
              <w:top w:w="48" w:type="dxa"/>
              <w:left w:w="96" w:type="dxa"/>
              <w:bottom w:w="48" w:type="dxa"/>
              <w:right w:w="96" w:type="dxa"/>
            </w:tcMar>
            <w:vAlign w:val="center"/>
            <w:hideMark/>
          </w:tcPr>
          <w:p w14:paraId="361DC32B" w14:textId="57DEC654" w:rsidR="002D7664" w:rsidRPr="00F21644" w:rsidRDefault="00043BD2" w:rsidP="00AE18DB">
            <w:pPr>
              <w:rPr>
                <w:rFonts w:eastAsia="Times New Roman"/>
                <w:color w:val="FF0000"/>
                <w:sz w:val="20"/>
                <w:szCs w:val="20"/>
                <w:lang w:val="de-DE"/>
              </w:rPr>
            </w:pPr>
            <w:r w:rsidRPr="00F21644">
              <w:rPr>
                <w:rFonts w:eastAsia="Times New Roman"/>
                <w:color w:val="FF0000"/>
                <w:sz w:val="20"/>
                <w:szCs w:val="20"/>
                <w:lang w:val="de-DE"/>
              </w:rPr>
              <w:t>IV B</w:t>
            </w:r>
          </w:p>
        </w:tc>
        <w:tc>
          <w:tcPr>
            <w:tcW w:w="3544" w:type="dxa"/>
            <w:tcBorders>
              <w:top w:val="nil"/>
              <w:left w:val="nil"/>
              <w:bottom w:val="nil"/>
              <w:right w:val="nil"/>
            </w:tcBorders>
            <w:tcMar>
              <w:top w:w="48" w:type="dxa"/>
              <w:left w:w="96" w:type="dxa"/>
              <w:bottom w:w="48" w:type="dxa"/>
              <w:right w:w="96" w:type="dxa"/>
            </w:tcMar>
            <w:vAlign w:val="center"/>
            <w:hideMark/>
          </w:tcPr>
          <w:p w14:paraId="421EF476" w14:textId="25374200" w:rsidR="002D7664" w:rsidRPr="00F21644" w:rsidRDefault="00460289" w:rsidP="00AE18DB">
            <w:pPr>
              <w:rPr>
                <w:rFonts w:eastAsia="Times New Roman"/>
                <w:color w:val="FF0000"/>
                <w:sz w:val="20"/>
                <w:szCs w:val="20"/>
                <w:lang w:val="de-DE"/>
              </w:rPr>
            </w:pPr>
            <w:r w:rsidRPr="00F21644">
              <w:rPr>
                <w:rFonts w:eastAsia="Times New Roman"/>
                <w:color w:val="FF0000"/>
                <w:sz w:val="20"/>
                <w:szCs w:val="20"/>
                <w:lang w:val="de-DE"/>
              </w:rPr>
              <w:t>R-CHOEP, R-MTX-</w:t>
            </w:r>
            <w:proofErr w:type="spellStart"/>
            <w:r w:rsidR="00F21644" w:rsidRPr="00F21644">
              <w:rPr>
                <w:rFonts w:eastAsia="Times New Roman"/>
                <w:color w:val="FF0000"/>
                <w:sz w:val="20"/>
                <w:szCs w:val="20"/>
                <w:lang w:val="de-DE"/>
              </w:rPr>
              <w:t>i</w:t>
            </w:r>
            <w:r w:rsidRPr="00F21644">
              <w:rPr>
                <w:rFonts w:eastAsia="Times New Roman"/>
                <w:color w:val="FF0000"/>
                <w:sz w:val="20"/>
                <w:szCs w:val="20"/>
                <w:lang w:val="de-DE"/>
              </w:rPr>
              <w:t>fosphamid</w:t>
            </w:r>
            <w:r w:rsidR="00F21644" w:rsidRPr="00F21644">
              <w:rPr>
                <w:rFonts w:eastAsia="Times New Roman"/>
                <w:color w:val="FF0000"/>
                <w:sz w:val="20"/>
                <w:szCs w:val="20"/>
                <w:lang w:val="de-DE"/>
              </w:rPr>
              <w:t>e</w:t>
            </w:r>
            <w:proofErr w:type="spellEnd"/>
            <w:r w:rsidRPr="00F21644">
              <w:rPr>
                <w:rFonts w:eastAsia="Times New Roman"/>
                <w:color w:val="FF0000"/>
                <w:sz w:val="20"/>
                <w:szCs w:val="20"/>
                <w:lang w:val="de-DE"/>
              </w:rPr>
              <w:t xml:space="preserve">, </w:t>
            </w:r>
            <w:proofErr w:type="spellStart"/>
            <w:r w:rsidRPr="00F21644">
              <w:rPr>
                <w:rFonts w:eastAsia="Times New Roman"/>
                <w:color w:val="FF0000"/>
                <w:sz w:val="20"/>
                <w:szCs w:val="20"/>
                <w:lang w:val="de-DE"/>
              </w:rPr>
              <w:t>AraC</w:t>
            </w:r>
            <w:proofErr w:type="spellEnd"/>
            <w:r w:rsidRPr="00F21644">
              <w:rPr>
                <w:rFonts w:eastAsia="Times New Roman"/>
                <w:color w:val="FF0000"/>
                <w:sz w:val="20"/>
                <w:szCs w:val="20"/>
                <w:lang w:val="de-DE"/>
              </w:rPr>
              <w:t>/</w:t>
            </w:r>
            <w:proofErr w:type="spellStart"/>
            <w:r w:rsidRPr="00F21644">
              <w:rPr>
                <w:rFonts w:eastAsia="Times New Roman"/>
                <w:color w:val="FF0000"/>
                <w:sz w:val="20"/>
                <w:szCs w:val="20"/>
                <w:lang w:val="de-DE"/>
              </w:rPr>
              <w:t>Thiotepa</w:t>
            </w:r>
            <w:proofErr w:type="spellEnd"/>
            <w:r w:rsidRPr="00F21644">
              <w:rPr>
                <w:rFonts w:eastAsia="Times New Roman"/>
                <w:color w:val="FF0000"/>
                <w:sz w:val="20"/>
                <w:szCs w:val="20"/>
                <w:lang w:val="de-DE"/>
              </w:rPr>
              <w:t xml:space="preserve">, </w:t>
            </w:r>
            <w:proofErr w:type="spellStart"/>
            <w:r w:rsidR="002D7664" w:rsidRPr="00F21644">
              <w:rPr>
                <w:rFonts w:eastAsia="Times New Roman"/>
                <w:color w:val="FF0000"/>
                <w:sz w:val="20"/>
                <w:szCs w:val="20"/>
                <w:lang w:val="de-DE"/>
              </w:rPr>
              <w:t>autoSCT</w:t>
            </w:r>
            <w:proofErr w:type="spellEnd"/>
            <w:r w:rsidR="002D7664" w:rsidRPr="00F21644">
              <w:rPr>
                <w:rFonts w:eastAsia="Times New Roman"/>
                <w:color w:val="FF0000"/>
                <w:sz w:val="20"/>
                <w:szCs w:val="20"/>
                <w:lang w:val="de-DE"/>
              </w:rPr>
              <w:t>,</w:t>
            </w:r>
          </w:p>
        </w:tc>
        <w:tc>
          <w:tcPr>
            <w:tcW w:w="1134" w:type="dxa"/>
            <w:tcBorders>
              <w:top w:val="nil"/>
              <w:left w:val="nil"/>
              <w:bottom w:val="nil"/>
              <w:right w:val="nil"/>
            </w:tcBorders>
            <w:tcMar>
              <w:top w:w="48" w:type="dxa"/>
              <w:left w:w="96" w:type="dxa"/>
              <w:bottom w:w="48" w:type="dxa"/>
              <w:right w:w="96" w:type="dxa"/>
            </w:tcMar>
            <w:vAlign w:val="center"/>
            <w:hideMark/>
          </w:tcPr>
          <w:p w14:paraId="4D87D16F" w14:textId="20ABF477"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 xml:space="preserve">4.5 </w:t>
            </w:r>
            <w:proofErr w:type="spellStart"/>
            <w:r w:rsidRPr="00F21644">
              <w:rPr>
                <w:rFonts w:eastAsia="Times New Roman"/>
                <w:color w:val="FF0000"/>
                <w:sz w:val="20"/>
                <w:szCs w:val="20"/>
                <w:lang w:val="de-DE"/>
              </w:rPr>
              <w:t>mths</w:t>
            </w:r>
            <w:proofErr w:type="spellEnd"/>
          </w:p>
        </w:tc>
      </w:tr>
      <w:tr w:rsidR="00460289" w:rsidRPr="00F21644" w14:paraId="69F76A68" w14:textId="77777777" w:rsidTr="00460289">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6AF5CCD9" w14:textId="77777777"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4</w:t>
            </w:r>
          </w:p>
        </w:tc>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72C08D1A" w14:textId="588CAB5A" w:rsidR="002D7664" w:rsidRPr="00F21644" w:rsidRDefault="00043BD2" w:rsidP="00AE18DB">
            <w:pPr>
              <w:rPr>
                <w:rFonts w:eastAsia="Times New Roman"/>
                <w:color w:val="FF0000"/>
                <w:sz w:val="20"/>
                <w:szCs w:val="20"/>
                <w:lang w:val="de-DE"/>
              </w:rPr>
            </w:pPr>
            <w:r w:rsidRPr="00F21644">
              <w:rPr>
                <w:rFonts w:eastAsia="Times New Roman"/>
                <w:color w:val="FF0000"/>
                <w:sz w:val="20"/>
                <w:szCs w:val="20"/>
                <w:lang w:val="de-DE"/>
              </w:rPr>
              <w:t>80</w:t>
            </w:r>
          </w:p>
        </w:tc>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5FF20A6A" w14:textId="27C74302" w:rsidR="002D7664" w:rsidRPr="00F21644" w:rsidRDefault="002D7664" w:rsidP="00AE18DB">
            <w:pPr>
              <w:rPr>
                <w:rFonts w:eastAsia="Times New Roman"/>
                <w:color w:val="FF0000"/>
                <w:sz w:val="20"/>
                <w:szCs w:val="20"/>
                <w:lang w:val="de-DE"/>
              </w:rPr>
            </w:pPr>
            <w:r w:rsidRPr="00F21644">
              <w:rPr>
                <w:rFonts w:eastAsia="Times New Roman"/>
                <w:color w:val="FF0000"/>
                <w:sz w:val="20"/>
                <w:szCs w:val="20"/>
                <w:lang w:val="de-DE"/>
              </w:rPr>
              <w:t>M</w:t>
            </w:r>
          </w:p>
        </w:tc>
        <w:tc>
          <w:tcPr>
            <w:tcW w:w="0" w:type="auto"/>
            <w:tcBorders>
              <w:top w:val="nil"/>
              <w:left w:val="nil"/>
              <w:bottom w:val="single" w:sz="4" w:space="0" w:color="auto"/>
              <w:right w:val="nil"/>
            </w:tcBorders>
            <w:tcMar>
              <w:top w:w="48" w:type="dxa"/>
              <w:left w:w="96" w:type="dxa"/>
              <w:bottom w:w="48" w:type="dxa"/>
              <w:right w:w="96" w:type="dxa"/>
            </w:tcMar>
            <w:vAlign w:val="center"/>
            <w:hideMark/>
          </w:tcPr>
          <w:p w14:paraId="63867AF8" w14:textId="0BCD97A4" w:rsidR="002D7664" w:rsidRPr="00F21644" w:rsidRDefault="00043BD2" w:rsidP="00AE18DB">
            <w:pPr>
              <w:rPr>
                <w:rFonts w:eastAsia="Times New Roman"/>
                <w:color w:val="FF0000"/>
                <w:sz w:val="20"/>
                <w:szCs w:val="20"/>
                <w:lang w:val="de-DE"/>
              </w:rPr>
            </w:pPr>
            <w:r w:rsidRPr="00F21644">
              <w:rPr>
                <w:rFonts w:eastAsia="Times New Roman"/>
                <w:color w:val="FF0000"/>
                <w:sz w:val="20"/>
                <w:szCs w:val="20"/>
                <w:lang w:val="de-DE"/>
              </w:rPr>
              <w:t>MZL</w:t>
            </w:r>
          </w:p>
        </w:tc>
        <w:tc>
          <w:tcPr>
            <w:tcW w:w="1092" w:type="dxa"/>
            <w:tcBorders>
              <w:top w:val="nil"/>
              <w:left w:val="nil"/>
              <w:bottom w:val="single" w:sz="4" w:space="0" w:color="auto"/>
              <w:right w:val="nil"/>
            </w:tcBorders>
            <w:tcMar>
              <w:top w:w="48" w:type="dxa"/>
              <w:left w:w="96" w:type="dxa"/>
              <w:bottom w:w="48" w:type="dxa"/>
              <w:right w:w="96" w:type="dxa"/>
            </w:tcMar>
            <w:vAlign w:val="center"/>
            <w:hideMark/>
          </w:tcPr>
          <w:p w14:paraId="39285C9A" w14:textId="036AA078" w:rsidR="002D7664" w:rsidRPr="00F21644" w:rsidRDefault="00043BD2" w:rsidP="00AE18DB">
            <w:pPr>
              <w:rPr>
                <w:rFonts w:eastAsia="Times New Roman"/>
                <w:color w:val="FF0000"/>
                <w:sz w:val="20"/>
                <w:szCs w:val="20"/>
                <w:lang w:val="de-DE"/>
              </w:rPr>
            </w:pPr>
            <w:r w:rsidRPr="00F21644">
              <w:rPr>
                <w:rFonts w:eastAsia="Times New Roman"/>
                <w:color w:val="FF0000"/>
                <w:sz w:val="20"/>
                <w:szCs w:val="20"/>
                <w:lang w:val="de-DE"/>
              </w:rPr>
              <w:t>+</w:t>
            </w:r>
          </w:p>
        </w:tc>
        <w:tc>
          <w:tcPr>
            <w:tcW w:w="658" w:type="dxa"/>
            <w:tcBorders>
              <w:top w:val="nil"/>
              <w:left w:val="nil"/>
              <w:bottom w:val="single" w:sz="4" w:space="0" w:color="auto"/>
              <w:right w:val="nil"/>
            </w:tcBorders>
            <w:tcMar>
              <w:top w:w="48" w:type="dxa"/>
              <w:left w:w="96" w:type="dxa"/>
              <w:bottom w:w="48" w:type="dxa"/>
              <w:right w:w="96" w:type="dxa"/>
            </w:tcMar>
            <w:vAlign w:val="center"/>
            <w:hideMark/>
          </w:tcPr>
          <w:p w14:paraId="5C7557FC" w14:textId="7459AC38" w:rsidR="002D7664" w:rsidRPr="00F21644" w:rsidRDefault="00043BD2" w:rsidP="00AE18DB">
            <w:pPr>
              <w:rPr>
                <w:rFonts w:eastAsia="Times New Roman"/>
                <w:color w:val="FF0000"/>
                <w:sz w:val="20"/>
                <w:szCs w:val="20"/>
                <w:lang w:val="de-DE"/>
              </w:rPr>
            </w:pPr>
            <w:r w:rsidRPr="00F21644">
              <w:rPr>
                <w:rFonts w:eastAsia="Times New Roman"/>
                <w:color w:val="FF0000"/>
                <w:sz w:val="20"/>
                <w:szCs w:val="20"/>
                <w:lang w:val="de-DE"/>
              </w:rPr>
              <w:t>IV B</w:t>
            </w:r>
          </w:p>
        </w:tc>
        <w:tc>
          <w:tcPr>
            <w:tcW w:w="3544" w:type="dxa"/>
            <w:tcBorders>
              <w:top w:val="nil"/>
              <w:left w:val="nil"/>
              <w:bottom w:val="single" w:sz="4" w:space="0" w:color="auto"/>
              <w:right w:val="nil"/>
            </w:tcBorders>
            <w:tcMar>
              <w:top w:w="48" w:type="dxa"/>
              <w:left w:w="96" w:type="dxa"/>
              <w:bottom w:w="48" w:type="dxa"/>
              <w:right w:w="96" w:type="dxa"/>
            </w:tcMar>
            <w:vAlign w:val="center"/>
            <w:hideMark/>
          </w:tcPr>
          <w:p w14:paraId="249E8351" w14:textId="307F84B6" w:rsidR="002D7664" w:rsidRPr="00F21644" w:rsidRDefault="00460289" w:rsidP="00AE18DB">
            <w:pPr>
              <w:rPr>
                <w:rFonts w:eastAsia="Times New Roman"/>
                <w:color w:val="FF0000"/>
                <w:sz w:val="20"/>
                <w:szCs w:val="20"/>
                <w:lang w:val="de-DE"/>
              </w:rPr>
            </w:pPr>
            <w:r w:rsidRPr="00F21644">
              <w:rPr>
                <w:rFonts w:eastAsia="Times New Roman"/>
                <w:color w:val="FF0000"/>
                <w:sz w:val="20"/>
                <w:szCs w:val="20"/>
                <w:lang w:val="de-DE"/>
              </w:rPr>
              <w:t>R</w:t>
            </w:r>
            <w:r w:rsidR="00F21644" w:rsidRPr="00F21644">
              <w:rPr>
                <w:rFonts w:eastAsia="Times New Roman"/>
                <w:color w:val="FF0000"/>
                <w:sz w:val="20"/>
                <w:szCs w:val="20"/>
                <w:lang w:val="de-DE"/>
              </w:rPr>
              <w:t>/</w:t>
            </w:r>
            <w:proofErr w:type="spellStart"/>
            <w:r w:rsidR="00F21644" w:rsidRPr="00F21644">
              <w:rPr>
                <w:rFonts w:eastAsia="Times New Roman"/>
                <w:color w:val="FF0000"/>
                <w:sz w:val="20"/>
                <w:szCs w:val="20"/>
                <w:lang w:val="de-DE"/>
              </w:rPr>
              <w:t>b</w:t>
            </w:r>
            <w:r w:rsidRPr="00F21644">
              <w:rPr>
                <w:rFonts w:eastAsia="Times New Roman"/>
                <w:color w:val="FF0000"/>
                <w:sz w:val="20"/>
                <w:szCs w:val="20"/>
                <w:lang w:val="de-DE"/>
              </w:rPr>
              <w:t>endamustin</w:t>
            </w:r>
            <w:r w:rsidR="00F21644" w:rsidRPr="00F21644">
              <w:rPr>
                <w:rFonts w:eastAsia="Times New Roman"/>
                <w:color w:val="FF0000"/>
                <w:sz w:val="20"/>
                <w:szCs w:val="20"/>
                <w:lang w:val="de-DE"/>
              </w:rPr>
              <w:t>e</w:t>
            </w:r>
            <w:proofErr w:type="spellEnd"/>
            <w:r w:rsidRPr="00F21644">
              <w:rPr>
                <w:rFonts w:eastAsia="Times New Roman"/>
                <w:color w:val="FF0000"/>
                <w:sz w:val="20"/>
                <w:szCs w:val="20"/>
                <w:lang w:val="de-DE"/>
              </w:rPr>
              <w:t>, R</w:t>
            </w:r>
            <w:r w:rsidR="00F21644" w:rsidRPr="00F21644">
              <w:rPr>
                <w:rFonts w:eastAsia="Times New Roman"/>
                <w:color w:val="FF0000"/>
                <w:sz w:val="20"/>
                <w:szCs w:val="20"/>
                <w:lang w:val="de-DE"/>
              </w:rPr>
              <w:t>/</w:t>
            </w:r>
            <w:proofErr w:type="spellStart"/>
            <w:r w:rsidR="00F21644" w:rsidRPr="00F21644">
              <w:rPr>
                <w:rFonts w:eastAsia="Times New Roman"/>
                <w:color w:val="FF0000"/>
                <w:sz w:val="20"/>
                <w:szCs w:val="20"/>
                <w:lang w:val="de-DE"/>
              </w:rPr>
              <w:t>c</w:t>
            </w:r>
            <w:r w:rsidRPr="00F21644">
              <w:rPr>
                <w:rFonts w:eastAsia="Times New Roman"/>
                <w:color w:val="FF0000"/>
                <w:sz w:val="20"/>
                <w:szCs w:val="20"/>
                <w:lang w:val="de-DE"/>
              </w:rPr>
              <w:t>hlorambucil</w:t>
            </w:r>
            <w:proofErr w:type="spellEnd"/>
            <w:r w:rsidRPr="00F21644">
              <w:rPr>
                <w:rFonts w:eastAsia="Times New Roman"/>
                <w:color w:val="FF0000"/>
                <w:sz w:val="20"/>
                <w:szCs w:val="20"/>
                <w:lang w:val="de-DE"/>
              </w:rPr>
              <w:t>, R-CHOP</w:t>
            </w:r>
          </w:p>
        </w:tc>
        <w:tc>
          <w:tcPr>
            <w:tcW w:w="1134" w:type="dxa"/>
            <w:tcBorders>
              <w:top w:val="nil"/>
              <w:left w:val="nil"/>
              <w:bottom w:val="single" w:sz="4" w:space="0" w:color="auto"/>
              <w:right w:val="nil"/>
            </w:tcBorders>
            <w:tcMar>
              <w:top w:w="48" w:type="dxa"/>
              <w:left w:w="96" w:type="dxa"/>
              <w:bottom w:w="48" w:type="dxa"/>
              <w:right w:w="96" w:type="dxa"/>
            </w:tcMar>
            <w:vAlign w:val="center"/>
            <w:hideMark/>
          </w:tcPr>
          <w:p w14:paraId="29CE49F1" w14:textId="36CF71D6" w:rsidR="002D7664" w:rsidRPr="00F21644" w:rsidRDefault="00460289" w:rsidP="00AE18DB">
            <w:pPr>
              <w:rPr>
                <w:rFonts w:eastAsia="Times New Roman"/>
                <w:color w:val="FF0000"/>
                <w:sz w:val="20"/>
                <w:szCs w:val="20"/>
                <w:lang w:val="de-DE"/>
              </w:rPr>
            </w:pPr>
            <w:r w:rsidRPr="00F21644">
              <w:rPr>
                <w:rFonts w:eastAsia="Times New Roman"/>
                <w:color w:val="FF0000"/>
                <w:sz w:val="20"/>
                <w:szCs w:val="20"/>
                <w:lang w:val="de-DE"/>
              </w:rPr>
              <w:t xml:space="preserve">&lt;2 </w:t>
            </w:r>
            <w:proofErr w:type="spellStart"/>
            <w:r w:rsidRPr="00F21644">
              <w:rPr>
                <w:rFonts w:eastAsia="Times New Roman"/>
                <w:color w:val="FF0000"/>
                <w:sz w:val="20"/>
                <w:szCs w:val="20"/>
                <w:lang w:val="de-DE"/>
              </w:rPr>
              <w:t>mths</w:t>
            </w:r>
            <w:proofErr w:type="spellEnd"/>
          </w:p>
        </w:tc>
      </w:tr>
    </w:tbl>
    <w:p w14:paraId="1EC6A12C" w14:textId="77777777" w:rsidR="00AE18DB" w:rsidRPr="00F21644" w:rsidRDefault="00AE18DB">
      <w:pPr>
        <w:rPr>
          <w:b/>
          <w:caps/>
          <w:color w:val="FF0000"/>
          <w:sz w:val="20"/>
          <w:szCs w:val="20"/>
          <w:highlight w:val="white"/>
          <w:lang w:val="en-US"/>
        </w:rPr>
      </w:pPr>
      <w:r w:rsidRPr="00F21644">
        <w:rPr>
          <w:b/>
          <w:caps/>
          <w:color w:val="FF0000"/>
          <w:sz w:val="20"/>
          <w:szCs w:val="20"/>
          <w:highlight w:val="white"/>
          <w:lang w:val="en-US"/>
        </w:rPr>
        <w:br w:type="page"/>
      </w:r>
    </w:p>
    <w:bookmarkEnd w:id="0"/>
    <w:p w14:paraId="043FBBB8" w14:textId="02C370AF" w:rsidR="00C21491" w:rsidRDefault="00C21491" w:rsidP="00C21491">
      <w:pPr>
        <w:spacing w:line="480" w:lineRule="auto"/>
        <w:rPr>
          <w:b/>
          <w:caps/>
          <w:color w:val="1A1A1A"/>
          <w:sz w:val="24"/>
          <w:lang w:val="en-US"/>
        </w:rPr>
      </w:pPr>
      <w:r>
        <w:rPr>
          <w:b/>
          <w:caps/>
          <w:color w:val="1A1A1A"/>
          <w:sz w:val="24"/>
          <w:highlight w:val="white"/>
          <w:lang w:val="en-US"/>
        </w:rPr>
        <w:lastRenderedPageBreak/>
        <w:t>Supplementa</w:t>
      </w:r>
      <w:r w:rsidR="004950FA">
        <w:rPr>
          <w:b/>
          <w:caps/>
          <w:color w:val="1A1A1A"/>
          <w:sz w:val="24"/>
          <w:lang w:val="en-US"/>
        </w:rPr>
        <w:t>RY</w:t>
      </w:r>
      <w:r>
        <w:rPr>
          <w:b/>
          <w:caps/>
          <w:color w:val="1A1A1A"/>
          <w:sz w:val="24"/>
          <w:lang w:val="en-US"/>
        </w:rPr>
        <w:t xml:space="preserve"> </w:t>
      </w:r>
      <w:r>
        <w:rPr>
          <w:b/>
          <w:caps/>
          <w:color w:val="1A1A1A"/>
          <w:sz w:val="24"/>
          <w:szCs w:val="28"/>
          <w:lang w:val="en-US"/>
        </w:rPr>
        <w:t>MethoDs</w:t>
      </w:r>
    </w:p>
    <w:p w14:paraId="565DAA67" w14:textId="77777777" w:rsidR="00C21491" w:rsidRDefault="00C21491" w:rsidP="00C21491">
      <w:pPr>
        <w:spacing w:line="480" w:lineRule="auto"/>
        <w:jc w:val="both"/>
        <w:rPr>
          <w:b/>
          <w:lang w:val="en-US"/>
        </w:rPr>
      </w:pPr>
      <w:r>
        <w:rPr>
          <w:b/>
          <w:vertAlign w:val="superscript"/>
          <w:lang w:val="en-US"/>
        </w:rPr>
        <w:t>64</w:t>
      </w:r>
      <w:r>
        <w:rPr>
          <w:b/>
          <w:lang w:val="en-US"/>
        </w:rPr>
        <w:t>Cu Production</w:t>
      </w:r>
    </w:p>
    <w:p w14:paraId="625F1CF0" w14:textId="77777777" w:rsidR="00C21491" w:rsidRDefault="00C21491" w:rsidP="00C21491">
      <w:pPr>
        <w:spacing w:line="480" w:lineRule="auto"/>
        <w:jc w:val="both"/>
        <w:rPr>
          <w:lang w:val="en-US"/>
        </w:rPr>
      </w:pPr>
      <w:r>
        <w:rPr>
          <w:vertAlign w:val="superscript"/>
          <w:lang w:val="en-US"/>
        </w:rPr>
        <w:t>64</w:t>
      </w:r>
      <w:r>
        <w:rPr>
          <w:lang w:val="en-US"/>
        </w:rPr>
        <w:t xml:space="preserve">Cu was produced at a </w:t>
      </w:r>
      <w:proofErr w:type="spellStart"/>
      <w:r>
        <w:rPr>
          <w:lang w:val="en-US"/>
        </w:rPr>
        <w:t>PETtrace</w:t>
      </w:r>
      <w:proofErr w:type="spellEnd"/>
      <w:r>
        <w:rPr>
          <w:lang w:val="en-US"/>
        </w:rPr>
        <w:t xml:space="preserve"> cyclotron (16.5 MeV proton energy; GE Medical Systems, Uppsala, Sweden) by proton irradiation of </w:t>
      </w:r>
      <w:r>
        <w:rPr>
          <w:vertAlign w:val="superscript"/>
          <w:lang w:val="en-US"/>
        </w:rPr>
        <w:t>64</w:t>
      </w:r>
      <w:r>
        <w:rPr>
          <w:lang w:val="en-US"/>
        </w:rPr>
        <w:t xml:space="preserve">Ni electroplated on a platinum/iridium plate (90/10) (30 mg, &gt; 98% enrichment; </w:t>
      </w:r>
      <w:proofErr w:type="spellStart"/>
      <w:r>
        <w:rPr>
          <w:lang w:val="en-US"/>
        </w:rPr>
        <w:t>Chemotrade</w:t>
      </w:r>
      <w:proofErr w:type="spellEnd"/>
      <w:r>
        <w:rPr>
          <w:lang w:val="en-US"/>
        </w:rPr>
        <w:t>, Düsseldorf, Germany) and separated from metallic impurities by ion-exchange chromatography (AG</w:t>
      </w:r>
      <w:r>
        <w:rPr>
          <w:vertAlign w:val="superscript"/>
          <w:lang w:val="en-US"/>
        </w:rPr>
        <w:t>®</w:t>
      </w:r>
      <w:r>
        <w:rPr>
          <w:lang w:val="en-US"/>
        </w:rPr>
        <w:t xml:space="preserve"> 1-X8, Bio-Rad Laboratories, Hercules, CA, USA).</w:t>
      </w:r>
    </w:p>
    <w:p w14:paraId="75E61620" w14:textId="77777777" w:rsidR="00C21491" w:rsidRDefault="00C21491" w:rsidP="00C21491">
      <w:pPr>
        <w:spacing w:line="480" w:lineRule="auto"/>
        <w:jc w:val="both"/>
        <w:rPr>
          <w:b/>
          <w:lang w:val="en-US"/>
        </w:rPr>
      </w:pPr>
    </w:p>
    <w:p w14:paraId="16EBBBE5" w14:textId="18543ED0" w:rsidR="00C21491" w:rsidRDefault="00C21491" w:rsidP="00C21491">
      <w:pPr>
        <w:spacing w:line="480" w:lineRule="auto"/>
        <w:jc w:val="both"/>
        <w:rPr>
          <w:b/>
          <w:lang w:val="en-US"/>
        </w:rPr>
      </w:pPr>
      <w:r>
        <w:rPr>
          <w:b/>
          <w:lang w:val="en-US"/>
        </w:rPr>
        <w:t>Radiolabeling</w:t>
      </w:r>
    </w:p>
    <w:p w14:paraId="6BF83658" w14:textId="77777777" w:rsidR="00C21491" w:rsidRDefault="00C21491" w:rsidP="00C21491">
      <w:pPr>
        <w:spacing w:line="480" w:lineRule="auto"/>
        <w:jc w:val="both"/>
        <w:rPr>
          <w:lang w:val="en-US"/>
        </w:rPr>
      </w:pPr>
      <w:r>
        <w:rPr>
          <w:lang w:val="en-US"/>
        </w:rPr>
        <w:t>The radiopharmaceutical for human application was prepared under</w:t>
      </w:r>
      <w:r>
        <w:rPr>
          <w:rFonts w:eastAsia="MS Gothic"/>
          <w:bCs/>
          <w:iCs/>
          <w:lang w:val="en-US"/>
        </w:rPr>
        <w:t xml:space="preserve"> the</w:t>
      </w:r>
      <w:r>
        <w:rPr>
          <w:lang w:val="en-US"/>
        </w:rPr>
        <w:t xml:space="preserve"> direct responsibility of the nuclear medicine physician within the framework of article §13 2b of the German Pharmaceuticals Act (“</w:t>
      </w:r>
      <w:proofErr w:type="spellStart"/>
      <w:r>
        <w:rPr>
          <w:lang w:val="en-US"/>
        </w:rPr>
        <w:t>Arzneimittelgesetz</w:t>
      </w:r>
      <w:proofErr w:type="spellEnd"/>
      <w:r>
        <w:rPr>
          <w:lang w:val="en-US"/>
        </w:rPr>
        <w:t xml:space="preserve">”; AMG) in a good manufacturing practice (GMP) facility. First, the anti-CD19 antibody (anti-human CD19 4G7, chimeric monoclonal antibody from CHO cells, GMP grade, </w:t>
      </w:r>
      <w:proofErr w:type="spellStart"/>
      <w:r>
        <w:rPr>
          <w:lang w:val="en-US"/>
        </w:rPr>
        <w:t>Celonic</w:t>
      </w:r>
      <w:proofErr w:type="spellEnd"/>
      <w:r>
        <w:rPr>
          <w:lang w:val="en-US"/>
        </w:rPr>
        <w:t xml:space="preserve"> AG, Basel, Switzerland) was conjugated using the chelator DOTA-NHS ester (2,2′,</w:t>
      </w:r>
      <w:proofErr w:type="gramStart"/>
      <w:r>
        <w:rPr>
          <w:lang w:val="en-US"/>
        </w:rPr>
        <w:t>2”-(</w:t>
      </w:r>
      <w:proofErr w:type="gramEnd"/>
      <w:r>
        <w:rPr>
          <w:lang w:val="en-US"/>
        </w:rPr>
        <w:t xml:space="preserve">10-(2-((2,5-dioxopyrrolidin-1-yl)oxy)-2-oxoethyl)-1,4,7,10-tetraazacyclododecane-1,4,7-triyl)triacetic acid; </w:t>
      </w:r>
      <w:proofErr w:type="spellStart"/>
      <w:r>
        <w:rPr>
          <w:lang w:val="en-US"/>
        </w:rPr>
        <w:t>CheMatech</w:t>
      </w:r>
      <w:proofErr w:type="spellEnd"/>
      <w:r>
        <w:rPr>
          <w:lang w:val="en-US"/>
        </w:rPr>
        <w:t>, Dijon, France).</w:t>
      </w:r>
    </w:p>
    <w:p w14:paraId="2C49D00C" w14:textId="77777777" w:rsidR="00C21491" w:rsidRDefault="00C21491" w:rsidP="00C21491">
      <w:pPr>
        <w:spacing w:line="480" w:lineRule="auto"/>
        <w:jc w:val="both"/>
        <w:rPr>
          <w:lang w:val="en-US"/>
        </w:rPr>
      </w:pPr>
      <w:r>
        <w:rPr>
          <w:lang w:val="en-US"/>
        </w:rPr>
        <w:t xml:space="preserve">All buffers were treated with 1.2 g/L </w:t>
      </w:r>
      <w:proofErr w:type="spellStart"/>
      <w:r>
        <w:rPr>
          <w:lang w:val="en-US"/>
        </w:rPr>
        <w:t>Chelex</w:t>
      </w:r>
      <w:proofErr w:type="spellEnd"/>
      <w:r>
        <w:rPr>
          <w:lang w:val="en-US"/>
        </w:rPr>
        <w:t xml:space="preserve"> 100 (sodium form, Sigma-Aldrich, St. Louis, MO, USA) to avoid contamination with metals. For removal of metal contaminations, the antibody was pretreated with 0.5 M EDTA for 30 min at room temperature (RT). Then, </w:t>
      </w:r>
      <w:r>
        <w:rPr>
          <w:rFonts w:eastAsia="MS Gothic"/>
          <w:lang w:val="en-US"/>
        </w:rPr>
        <w:t>the buffer</w:t>
      </w:r>
      <w:r>
        <w:rPr>
          <w:rFonts w:eastAsiaTheme="majorEastAsia"/>
          <w:lang w:val="en-US"/>
        </w:rPr>
        <w:t xml:space="preserve"> </w:t>
      </w:r>
      <w:r>
        <w:rPr>
          <w:lang w:val="en-US"/>
        </w:rPr>
        <w:t xml:space="preserve">was </w:t>
      </w:r>
      <w:r>
        <w:rPr>
          <w:rFonts w:eastAsia="MS Gothic"/>
          <w:lang w:val="en-US"/>
        </w:rPr>
        <w:t>changed</w:t>
      </w:r>
      <w:r>
        <w:rPr>
          <w:lang w:val="en-US"/>
        </w:rPr>
        <w:t xml:space="preserve"> to 0.1 M 4-(2-hydroxyethyl)-1-piperazineethanesulfonic acid (HEPES) pH 7.5. DOTA-NHS ester was dissolved in water for injection and added to the antibody (</w:t>
      </w:r>
      <w:r>
        <w:rPr>
          <w:rFonts w:eastAsia="MS Gothic"/>
          <w:lang w:val="en-US"/>
        </w:rPr>
        <w:t>55-fold</w:t>
      </w:r>
      <w:r>
        <w:rPr>
          <w:lang w:val="en-US"/>
        </w:rPr>
        <w:t xml:space="preserve"> molar excess) followed by incubation at 4 °C for 12 h. After washing with 0.25 M sodium acetate pH 5.8, the conjugated antibody was characterized with respect to appearance (clear, colorless, no visible particles), protein concentration (result: 3.6 mg/mL), HPLC (SEC) profile, endotoxins</w:t>
      </w:r>
      <w:r>
        <w:rPr>
          <w:rFonts w:eastAsiaTheme="majorEastAsia"/>
          <w:lang w:val="en-US"/>
        </w:rPr>
        <w:t>,</w:t>
      </w:r>
      <w:r>
        <w:rPr>
          <w:lang w:val="en-US"/>
        </w:rPr>
        <w:t xml:space="preserve"> and radiolabeling properties (test synthesis). This conjugate can be stored for 5 years (</w:t>
      </w:r>
      <w:r>
        <w:rPr>
          <w:rFonts w:eastAsiaTheme="majorEastAsia"/>
          <w:lang w:val="en-US"/>
        </w:rPr>
        <w:t>2–8</w:t>
      </w:r>
      <w:r>
        <w:rPr>
          <w:lang w:val="en-US"/>
        </w:rPr>
        <w:t xml:space="preserve"> °C) without significant loss in quality. </w:t>
      </w:r>
    </w:p>
    <w:p w14:paraId="26BF1C6D" w14:textId="5051C555" w:rsidR="00C21491" w:rsidRDefault="00C21491" w:rsidP="00C21491">
      <w:pPr>
        <w:spacing w:line="480" w:lineRule="auto"/>
        <w:jc w:val="both"/>
        <w:rPr>
          <w:lang w:val="en-US"/>
        </w:rPr>
      </w:pPr>
      <w:r>
        <w:rPr>
          <w:lang w:val="en-US"/>
        </w:rPr>
        <w:lastRenderedPageBreak/>
        <w:t xml:space="preserve">Radiolabeling was performed for individual patient application according to a modification of a procedure described in </w:t>
      </w:r>
      <w:r w:rsidRPr="000A438C">
        <w:rPr>
          <w:rFonts w:eastAsia="MS Gothic"/>
          <w:bCs/>
          <w:iCs/>
          <w:lang w:val="en-US"/>
        </w:rPr>
        <w:t xml:space="preserve">the </w:t>
      </w:r>
      <w:r w:rsidRPr="000A438C">
        <w:rPr>
          <w:lang w:val="en-US"/>
        </w:rPr>
        <w:t xml:space="preserve">literature </w:t>
      </w:r>
      <w:r w:rsidRPr="000A438C">
        <w:fldChar w:fldCharType="begin"/>
      </w:r>
      <w:r w:rsidR="001621F8" w:rsidRPr="000A438C">
        <w:rPr>
          <w:lang w:val="nl-NL"/>
        </w:rPr>
        <w:instrText xml:space="preserve"> ADDIN EN.CITE &lt;EndNote&gt;&lt;Cite&gt;&lt;Author&gt;Cooper&lt;/Author&gt;&lt;Year&gt;2006&lt;/Year&gt;&lt;RecNum&gt;15677&lt;/RecNum&gt;&lt;DisplayText&gt;(1)&lt;/DisplayText&gt;&lt;record&gt;&lt;rec-number&gt;15677&lt;/rec-number&gt;&lt;foreign-keys&gt;&lt;key app="EN" db-id="sv9af9dr40avfme5zdbxfw2lex25zatea5er" timestamp="1619005461"&gt;15677&lt;/key&gt;&lt;/foreign-keys&gt;&lt;ref-type name="Journal Article"&gt;17&lt;/ref-type&gt;&lt;contributors&gt;&lt;authors&gt;&lt;author&gt;Cooper, Maggie S.&lt;/author&gt;&lt;author&gt;Sabbah, Emmanuelle&lt;/author&gt;&lt;author&gt;Mather, Stephen J.&lt;/author&gt;&lt;/authors&gt;&lt;/contributors&gt;&lt;auth-address&gt;Nuclear Medicine Research Laboratory, St Bartholomew&amp;apos;s Hospital, London EC1A 7BE, UK.&lt;/auth-address&gt;&lt;titles&gt;&lt;title&gt;Conjugation of chelating agents to proteins and radiolabeling with trivalent metallic isotopes&lt;/title&gt;&lt;secondary-title&gt;Nature protocols&lt;/secondary-title&gt;&lt;alt-title&gt;Nat Protoc&lt;/alt-title&gt;&lt;/titles&gt;&lt;periodical&gt;&lt;full-title&gt;Nature Protocols&lt;/full-title&gt;&lt;/periodical&gt;&lt;alt-periodical&gt;&lt;full-title&gt;Nat Protoc&lt;/full-title&gt;&lt;/alt-periodical&gt;&lt;pages&gt;314-317&lt;/pages&gt;&lt;volume&gt;1&lt;/volume&gt;&lt;number&gt;1&lt;/number&gt;&lt;dates&gt;&lt;year&gt;2006&lt;/year&gt;&lt;pub-dates&gt;&lt;date&gt;2006&lt;/date&gt;&lt;/pub-dates&gt;&lt;/dates&gt;&lt;isbn&gt;1754-2189&lt;/isbn&gt;&lt;accession-num&gt;17406251&lt;/accession-num&gt;&lt;urls&gt;&lt;related-urls&gt;&lt;url&gt;http://europepmc.org/abstract/MED/17406251&lt;/url&gt;&lt;url&gt;https://doi.org/10.1038/nprot.2006.49&lt;/url&gt;&lt;/related-urls&gt;&lt;/urls&gt;&lt;electronic-resource-num&gt;10.1038/nprot.2006.49&lt;/electronic-resource-num&gt;&lt;remote-database-name&gt;PubMed&lt;/remote-database-name&gt;&lt;language&gt;eng&lt;/language&gt;&lt;/record&gt;&lt;/Cite&gt;&lt;/EndNote&gt;</w:instrText>
      </w:r>
      <w:r w:rsidRPr="000A438C">
        <w:fldChar w:fldCharType="separate"/>
      </w:r>
      <w:r w:rsidR="001621F8" w:rsidRPr="000A438C">
        <w:rPr>
          <w:noProof/>
          <w:lang w:val="en-US"/>
        </w:rPr>
        <w:t>(</w:t>
      </w:r>
      <w:hyperlink w:anchor="_ENREF_1" w:tooltip="Cooper, 2006 #15677" w:history="1">
        <w:r w:rsidR="000A438C" w:rsidRPr="000A438C">
          <w:rPr>
            <w:rStyle w:val="Hyperlink"/>
            <w:color w:val="auto"/>
            <w:lang w:val="nl-NL"/>
          </w:rPr>
          <w:t>1</w:t>
        </w:r>
      </w:hyperlink>
      <w:r w:rsidR="001621F8" w:rsidRPr="000A438C">
        <w:rPr>
          <w:noProof/>
          <w:lang w:val="en-US"/>
        </w:rPr>
        <w:t>)</w:t>
      </w:r>
      <w:r w:rsidRPr="000A438C">
        <w:fldChar w:fldCharType="end"/>
      </w:r>
      <w:r w:rsidRPr="000A438C">
        <w:rPr>
          <w:lang w:val="en-US"/>
        </w:rPr>
        <w:t>. Briefly</w:t>
      </w:r>
      <w:r>
        <w:rPr>
          <w:lang w:val="en-US"/>
        </w:rPr>
        <w:t>, aliquots of chelator-conjugated antibody were incubated with a buffered solution of [</w:t>
      </w:r>
      <w:r>
        <w:rPr>
          <w:vertAlign w:val="superscript"/>
          <w:lang w:val="en-US"/>
        </w:rPr>
        <w:t>64</w:t>
      </w:r>
      <w:proofErr w:type="gramStart"/>
      <w:r>
        <w:rPr>
          <w:lang w:val="en-US"/>
        </w:rPr>
        <w:t>Cu]CuCl</w:t>
      </w:r>
      <w:proofErr w:type="gramEnd"/>
      <w:r>
        <w:rPr>
          <w:vertAlign w:val="subscript"/>
          <w:lang w:val="en-US"/>
        </w:rPr>
        <w:t>2</w:t>
      </w:r>
      <w:r>
        <w:rPr>
          <w:lang w:val="en-US"/>
        </w:rPr>
        <w:t xml:space="preserve"> (2 µg/MBq) at 38</w:t>
      </w:r>
      <w:r>
        <w:rPr>
          <w:rFonts w:eastAsiaTheme="majorEastAsia"/>
          <w:bCs/>
          <w:iCs/>
          <w:lang w:val="en-US"/>
        </w:rPr>
        <w:t>–3</w:t>
      </w:r>
      <w:r>
        <w:rPr>
          <w:lang w:val="en-US"/>
        </w:rPr>
        <w:t>9 °C for 1 h. After radiolabeling, 1 µL of 20% Ca- diethylenetriaminepentaacetic acid (DTPA; Heyl, Berlin, Germany, injection solution for human use) was added to the tracer solution followed by dilution with phosphate buffered saline (PBS) and sterile filtration. The product obtained was tested according to pharmacopoeia methods (n = 6). The sterile, clear, colorless solution was free of visible particles and had a pH = 6.9</w:t>
      </w:r>
      <w:r>
        <w:rPr>
          <w:rFonts w:eastAsiaTheme="majorEastAsia"/>
          <w:bCs/>
          <w:iCs/>
          <w:lang w:val="en-US"/>
        </w:rPr>
        <w:t>–7</w:t>
      </w:r>
      <w:r>
        <w:rPr>
          <w:lang w:val="en-US"/>
        </w:rPr>
        <w:t xml:space="preserve">.4. </w:t>
      </w:r>
      <w:r>
        <w:rPr>
          <w:rFonts w:eastAsia="MS Gothic"/>
          <w:bCs/>
          <w:iCs/>
          <w:lang w:val="en-US"/>
        </w:rPr>
        <w:t>The endotoxin</w:t>
      </w:r>
      <w:r>
        <w:rPr>
          <w:lang w:val="en-US"/>
        </w:rPr>
        <w:t xml:space="preserve"> content was &lt; 6.5 I.E./</w:t>
      </w:r>
      <w:proofErr w:type="spellStart"/>
      <w:r>
        <w:rPr>
          <w:lang w:val="en-US"/>
        </w:rPr>
        <w:t>mL.</w:t>
      </w:r>
      <w:proofErr w:type="spellEnd"/>
      <w:r>
        <w:rPr>
          <w:lang w:val="en-US"/>
        </w:rPr>
        <w:t xml:space="preserve"> Identity and chemical purity were confirmed using HPLC (SEC). Radiochemical purity (TLC, HPSEC) was &gt; 95</w:t>
      </w:r>
      <w:r>
        <w:rPr>
          <w:rFonts w:eastAsiaTheme="majorEastAsia"/>
          <w:bCs/>
          <w:iCs/>
          <w:lang w:val="en-US"/>
        </w:rPr>
        <w:t>%</w:t>
      </w:r>
      <w:r>
        <w:rPr>
          <w:rFonts w:eastAsia="MS Gothic"/>
          <w:bCs/>
          <w:iCs/>
          <w:lang w:val="en-US"/>
        </w:rPr>
        <w:t>,</w:t>
      </w:r>
      <w:r>
        <w:rPr>
          <w:lang w:val="en-US"/>
        </w:rPr>
        <w:t xml:space="preserve"> and </w:t>
      </w:r>
      <w:r>
        <w:rPr>
          <w:rFonts w:eastAsia="MS Gothic"/>
          <w:bCs/>
          <w:iCs/>
          <w:lang w:val="en-US"/>
        </w:rPr>
        <w:t>radionuclide</w:t>
      </w:r>
      <w:r>
        <w:rPr>
          <w:lang w:val="en-US"/>
        </w:rPr>
        <w:t xml:space="preserve"> purity was &gt;99.9%.</w:t>
      </w:r>
      <w:r>
        <w:rPr>
          <w:rFonts w:eastAsia="MS Gothic"/>
          <w:bCs/>
          <w:iCs/>
          <w:lang w:val="en-US"/>
        </w:rPr>
        <w:t xml:space="preserve"> The specific</w:t>
      </w:r>
      <w:r>
        <w:rPr>
          <w:lang w:val="en-US"/>
        </w:rPr>
        <w:t xml:space="preserve"> radioactivity was ca. 0.5 MBq/µg of conjugated antibody.</w:t>
      </w:r>
    </w:p>
    <w:p w14:paraId="350C0334" w14:textId="77777777" w:rsidR="00FF5102" w:rsidRDefault="00FF5102" w:rsidP="00FF5102">
      <w:pPr>
        <w:spacing w:line="480" w:lineRule="auto"/>
        <w:jc w:val="both"/>
        <w:rPr>
          <w:b/>
          <w:lang w:val="en-US"/>
        </w:rPr>
      </w:pPr>
    </w:p>
    <w:p w14:paraId="45706C09" w14:textId="11C7B233" w:rsidR="00FF5102" w:rsidRPr="00FF5102" w:rsidRDefault="00FF5102" w:rsidP="00FF5102">
      <w:pPr>
        <w:spacing w:line="480" w:lineRule="auto"/>
        <w:jc w:val="both"/>
        <w:rPr>
          <w:b/>
          <w:lang w:val="en-US"/>
        </w:rPr>
      </w:pPr>
      <w:r w:rsidRPr="00FF5102">
        <w:rPr>
          <w:b/>
          <w:lang w:val="en-US"/>
        </w:rPr>
        <w:t>Cell Lines</w:t>
      </w:r>
    </w:p>
    <w:p w14:paraId="04ED648C" w14:textId="0A7306AF" w:rsidR="00FF5102" w:rsidRPr="00FF5102" w:rsidRDefault="00FF5102" w:rsidP="00FF5102">
      <w:pPr>
        <w:spacing w:line="480" w:lineRule="auto"/>
        <w:jc w:val="both"/>
        <w:rPr>
          <w:lang w:val="en-US"/>
        </w:rPr>
      </w:pPr>
      <w:r w:rsidRPr="00FF5102">
        <w:rPr>
          <w:lang w:val="en-US"/>
        </w:rPr>
        <w:t>The human B lymphoblast cell line Daudi, obtained from ATCC (Manassas, VA, USA), w</w:t>
      </w:r>
      <w:r>
        <w:rPr>
          <w:lang w:val="en-US"/>
        </w:rPr>
        <w:t>as</w:t>
      </w:r>
      <w:r w:rsidRPr="00FF5102">
        <w:rPr>
          <w:lang w:val="en-US"/>
        </w:rPr>
        <w:t xml:space="preserve"> cultured in RPMI-1640 medium supplemented with 1% penicillin/streptomycin and 10% fetal calf serum (FCS; </w:t>
      </w:r>
      <w:proofErr w:type="spellStart"/>
      <w:r w:rsidRPr="00FF5102">
        <w:rPr>
          <w:lang w:val="en-US"/>
        </w:rPr>
        <w:t>Biochrom</w:t>
      </w:r>
      <w:proofErr w:type="spellEnd"/>
      <w:r w:rsidRPr="00FF5102">
        <w:rPr>
          <w:lang w:val="en-US"/>
        </w:rPr>
        <w:t xml:space="preserve"> GmbH, Berlin, Germany) at 37°C and 5% CO</w:t>
      </w:r>
      <w:r w:rsidRPr="00FF5102">
        <w:rPr>
          <w:vertAlign w:val="subscript"/>
          <w:lang w:val="en-US"/>
        </w:rPr>
        <w:t>2</w:t>
      </w:r>
      <w:r w:rsidRPr="00FF5102">
        <w:rPr>
          <w:lang w:val="en-US"/>
        </w:rPr>
        <w:t>.</w:t>
      </w:r>
    </w:p>
    <w:p w14:paraId="518920C9" w14:textId="77777777" w:rsidR="00FF5102" w:rsidRDefault="00FF5102" w:rsidP="00FF5102">
      <w:pPr>
        <w:spacing w:line="480" w:lineRule="auto"/>
        <w:jc w:val="both"/>
        <w:rPr>
          <w:b/>
          <w:lang w:val="en-US"/>
        </w:rPr>
      </w:pPr>
    </w:p>
    <w:p w14:paraId="51DF9DE3" w14:textId="2234415A" w:rsidR="00FF5102" w:rsidRPr="00FF5102" w:rsidRDefault="00FF5102" w:rsidP="00FF5102">
      <w:pPr>
        <w:spacing w:line="480" w:lineRule="auto"/>
        <w:jc w:val="both"/>
        <w:rPr>
          <w:b/>
          <w:lang w:val="en-US"/>
        </w:rPr>
      </w:pPr>
      <w:r w:rsidRPr="00FF5102">
        <w:rPr>
          <w:b/>
          <w:i/>
          <w:iCs/>
          <w:lang w:val="en-US"/>
        </w:rPr>
        <w:t>In Vitro</w:t>
      </w:r>
      <w:r w:rsidRPr="00FF5102">
        <w:rPr>
          <w:b/>
          <w:lang w:val="en-US"/>
        </w:rPr>
        <w:t xml:space="preserve"> </w:t>
      </w:r>
      <w:r>
        <w:rPr>
          <w:b/>
          <w:lang w:val="en-US"/>
        </w:rPr>
        <w:t xml:space="preserve">Binding </w:t>
      </w:r>
      <w:r w:rsidRPr="00FF5102">
        <w:rPr>
          <w:b/>
          <w:lang w:val="en-US"/>
        </w:rPr>
        <w:t>Assay</w:t>
      </w:r>
    </w:p>
    <w:p w14:paraId="417E7A79" w14:textId="7A2BEA9C" w:rsidR="00FF5102" w:rsidRDefault="00FF5102" w:rsidP="00FF5102">
      <w:pPr>
        <w:spacing w:line="480" w:lineRule="auto"/>
        <w:jc w:val="both"/>
        <w:rPr>
          <w:lang w:val="en-US"/>
        </w:rPr>
      </w:pPr>
      <w:r w:rsidRPr="00FF5102">
        <w:rPr>
          <w:lang w:val="en-US"/>
        </w:rPr>
        <w:t>The immunoreactive fraction was quantified by calculating the maximum binding (</w:t>
      </w:r>
      <w:proofErr w:type="spellStart"/>
      <w:r w:rsidRPr="00FF5102">
        <w:rPr>
          <w:lang w:val="en-US"/>
        </w:rPr>
        <w:t>B</w:t>
      </w:r>
      <w:r w:rsidRPr="00FF5102">
        <w:rPr>
          <w:vertAlign w:val="subscript"/>
          <w:lang w:val="en-US"/>
        </w:rPr>
        <w:t>max</w:t>
      </w:r>
      <w:proofErr w:type="spellEnd"/>
      <w:r w:rsidRPr="00FF5102">
        <w:rPr>
          <w:vertAlign w:val="subscript"/>
          <w:lang w:val="en-US"/>
        </w:rPr>
        <w:t xml:space="preserve">, </w:t>
      </w:r>
      <w:r w:rsidRPr="00FF5102">
        <w:rPr>
          <w:lang w:val="en-US"/>
        </w:rPr>
        <w:t xml:space="preserve">nonlinear regression) with increasing numbers of Daudi cells incubated with a constant quantity of </w:t>
      </w:r>
      <w:proofErr w:type="spellStart"/>
      <w:r w:rsidRPr="00FF5102">
        <w:rPr>
          <w:lang w:val="en-US"/>
        </w:rPr>
        <w:t>mAb</w:t>
      </w:r>
      <w:proofErr w:type="spellEnd"/>
      <w:r w:rsidRPr="00FF5102">
        <w:rPr>
          <w:lang w:val="en-US"/>
        </w:rPr>
        <w:t xml:space="preserve"> (10 ng)</w:t>
      </w:r>
      <w:r>
        <w:rPr>
          <w:lang w:val="en-US"/>
        </w:rPr>
        <w:t xml:space="preserve"> </w:t>
      </w:r>
      <w:r w:rsidRPr="00FF5102">
        <w:rPr>
          <w:lang w:val="en-US"/>
        </w:rPr>
        <w:t xml:space="preserve">for 1 h at 37°C. </w:t>
      </w:r>
      <w:r>
        <w:rPr>
          <w:lang w:val="en-US"/>
        </w:rPr>
        <w:t>After two washing steps</w:t>
      </w:r>
      <w:r w:rsidRPr="00FF5102">
        <w:rPr>
          <w:lang w:val="en-US"/>
        </w:rPr>
        <w:t xml:space="preserve"> with PBS/1% FCS</w:t>
      </w:r>
      <w:r>
        <w:rPr>
          <w:lang w:val="en-US"/>
        </w:rPr>
        <w:t xml:space="preserve">, the </w:t>
      </w:r>
      <w:r w:rsidRPr="00FF5102">
        <w:rPr>
          <w:lang w:val="en-US"/>
        </w:rPr>
        <w:t xml:space="preserve">remaining cell-bound radioactivity was measured using a Wizard² 2480 gamma counter (PerkinElmer, Inc., Waltham, MA, USA) and quantified as a percentage of the total added activity. </w:t>
      </w:r>
    </w:p>
    <w:p w14:paraId="5E393B16" w14:textId="77777777" w:rsidR="00FF5102" w:rsidRPr="00FF5102" w:rsidRDefault="00FF5102" w:rsidP="00FF5102">
      <w:pPr>
        <w:spacing w:line="480" w:lineRule="auto"/>
        <w:jc w:val="both"/>
        <w:rPr>
          <w:lang w:val="en-US"/>
        </w:rPr>
      </w:pPr>
    </w:p>
    <w:p w14:paraId="2C2D5631" w14:textId="312EC561" w:rsidR="00FF5102" w:rsidRPr="000A438C" w:rsidRDefault="00FF5102" w:rsidP="00FF5102">
      <w:pPr>
        <w:spacing w:line="480" w:lineRule="auto"/>
        <w:jc w:val="both"/>
        <w:rPr>
          <w:b/>
          <w:lang w:val="en-US"/>
        </w:rPr>
      </w:pPr>
      <w:r w:rsidRPr="000A438C">
        <w:rPr>
          <w:b/>
          <w:lang w:val="en-US"/>
        </w:rPr>
        <w:t>Mouse Model</w:t>
      </w:r>
    </w:p>
    <w:p w14:paraId="62504E4C" w14:textId="3F907E88" w:rsidR="00FF5102" w:rsidRPr="000A438C" w:rsidRDefault="00FF5102" w:rsidP="00FF5102">
      <w:pPr>
        <w:spacing w:line="480" w:lineRule="auto"/>
        <w:jc w:val="both"/>
        <w:rPr>
          <w:lang w:val="en-US"/>
        </w:rPr>
      </w:pPr>
      <w:r w:rsidRPr="000A438C">
        <w:rPr>
          <w:lang w:val="en-US"/>
        </w:rPr>
        <w:t>Seven-week-old female CD-1 nude (Crl:CD1-</w:t>
      </w:r>
      <w:r w:rsidRPr="000A438C">
        <w:rPr>
          <w:i/>
          <w:lang w:val="en-US"/>
        </w:rPr>
        <w:t>Foxn1</w:t>
      </w:r>
      <w:r w:rsidRPr="000A438C">
        <w:rPr>
          <w:i/>
          <w:vertAlign w:val="superscript"/>
          <w:lang w:val="en-US"/>
        </w:rPr>
        <w:t>nu</w:t>
      </w:r>
      <w:r w:rsidRPr="000A438C">
        <w:rPr>
          <w:lang w:val="en-US"/>
        </w:rPr>
        <w:t>) were purchased from Charles River Laboratories (</w:t>
      </w:r>
      <w:proofErr w:type="spellStart"/>
      <w:r w:rsidRPr="000A438C">
        <w:rPr>
          <w:lang w:val="en-US"/>
        </w:rPr>
        <w:t>Sulzfeld</w:t>
      </w:r>
      <w:proofErr w:type="spellEnd"/>
      <w:r w:rsidRPr="000A438C">
        <w:rPr>
          <w:lang w:val="en-US"/>
        </w:rPr>
        <w:t xml:space="preserve">, Germany) and kept under standardized conditions. All the experiments </w:t>
      </w:r>
      <w:r w:rsidRPr="000A438C">
        <w:rPr>
          <w:lang w:val="en-US"/>
        </w:rPr>
        <w:lastRenderedPageBreak/>
        <w:t>were carried out in accordance with the German Animal Welfare Act and with the consent of regulatory authorities (</w:t>
      </w:r>
      <w:proofErr w:type="spellStart"/>
      <w:r w:rsidRPr="000A438C">
        <w:rPr>
          <w:lang w:val="en-US"/>
        </w:rPr>
        <w:t>Regierungspräsidium</w:t>
      </w:r>
      <w:proofErr w:type="spellEnd"/>
      <w:r w:rsidRPr="000A438C">
        <w:rPr>
          <w:lang w:val="en-US"/>
        </w:rPr>
        <w:t xml:space="preserve"> Tübingen).</w:t>
      </w:r>
    </w:p>
    <w:p w14:paraId="3DD891CD" w14:textId="2E98F2CB" w:rsidR="00FF5102" w:rsidRPr="00FF5102" w:rsidRDefault="00FF5102" w:rsidP="00FF5102">
      <w:pPr>
        <w:spacing w:line="480" w:lineRule="auto"/>
        <w:jc w:val="both"/>
        <w:rPr>
          <w:lang w:val="nl-NL"/>
        </w:rPr>
      </w:pPr>
      <w:r w:rsidRPr="00FF5102">
        <w:rPr>
          <w:lang w:val="nl-NL"/>
        </w:rPr>
        <w:t>CD-1 nude mice were irradiated with 6 Gy one day prior to tumor cell injection. For tumor inoculation, 6 x 10</w:t>
      </w:r>
      <w:r w:rsidRPr="00FF5102">
        <w:rPr>
          <w:vertAlign w:val="superscript"/>
          <w:lang w:val="nl-NL"/>
        </w:rPr>
        <w:t>6</w:t>
      </w:r>
      <w:r w:rsidRPr="00FF5102">
        <w:rPr>
          <w:lang w:val="nl-NL"/>
        </w:rPr>
        <w:t xml:space="preserve"> Daudi cells were resuspended in 50% Matrigel (BD) and 50% PBS and were then subcutaneously (</w:t>
      </w:r>
      <w:r w:rsidRPr="00FF5102">
        <w:rPr>
          <w:i/>
          <w:lang w:val="nl-NL"/>
        </w:rPr>
        <w:t>s.c.</w:t>
      </w:r>
      <w:r w:rsidRPr="00FF5102">
        <w:rPr>
          <w:lang w:val="nl-NL"/>
        </w:rPr>
        <w:t xml:space="preserve">) injected into the right flanks of CD1 nude mice. </w:t>
      </w:r>
    </w:p>
    <w:p w14:paraId="385E374C" w14:textId="77777777" w:rsidR="00FF5102" w:rsidRPr="00FF5102" w:rsidRDefault="00FF5102" w:rsidP="00FF5102">
      <w:pPr>
        <w:spacing w:line="480" w:lineRule="auto"/>
        <w:jc w:val="both"/>
        <w:rPr>
          <w:b/>
          <w:lang w:val="nl-NL"/>
        </w:rPr>
      </w:pPr>
    </w:p>
    <w:p w14:paraId="117C1F93" w14:textId="77777777" w:rsidR="00FF5102" w:rsidRPr="00FF5102" w:rsidRDefault="00FF5102" w:rsidP="00FF5102">
      <w:pPr>
        <w:spacing w:line="480" w:lineRule="auto"/>
        <w:jc w:val="both"/>
        <w:rPr>
          <w:b/>
          <w:lang w:val="nl-NL"/>
        </w:rPr>
      </w:pPr>
      <w:r w:rsidRPr="00FF5102">
        <w:rPr>
          <w:b/>
          <w:lang w:val="nl-NL"/>
        </w:rPr>
        <w:t>Preclinical PET/MR Imaging</w:t>
      </w:r>
    </w:p>
    <w:p w14:paraId="1F857278" w14:textId="77243833" w:rsidR="00FF5102" w:rsidRDefault="00FF5102" w:rsidP="00FF5102">
      <w:pPr>
        <w:spacing w:line="480" w:lineRule="auto"/>
        <w:jc w:val="both"/>
        <w:rPr>
          <w:lang w:val="nl-NL"/>
        </w:rPr>
      </w:pPr>
      <w:r w:rsidRPr="00FF5102">
        <w:rPr>
          <w:lang w:val="nl-NL"/>
        </w:rPr>
        <w:t xml:space="preserve">Radiolabeled mAbs (~12 MBq/50 </w:t>
      </w:r>
      <w:r>
        <w:t>μ</w:t>
      </w:r>
      <w:r w:rsidRPr="00FF5102">
        <w:rPr>
          <w:lang w:val="nl-NL"/>
        </w:rPr>
        <w:t>g) were injected intravenously (</w:t>
      </w:r>
      <w:r w:rsidRPr="00FF5102">
        <w:rPr>
          <w:i/>
          <w:lang w:val="nl-NL"/>
        </w:rPr>
        <w:t>i.v.)</w:t>
      </w:r>
      <w:r w:rsidRPr="00FF5102">
        <w:rPr>
          <w:lang w:val="nl-NL"/>
        </w:rPr>
        <w:t xml:space="preserve"> when tumors reached a size of approximately 1 cm</w:t>
      </w:r>
      <w:r w:rsidRPr="00FF5102">
        <w:rPr>
          <w:vertAlign w:val="superscript"/>
          <w:lang w:val="nl-NL"/>
        </w:rPr>
        <w:t>3</w:t>
      </w:r>
      <w:r w:rsidRPr="00FF5102">
        <w:rPr>
          <w:lang w:val="nl-NL"/>
        </w:rPr>
        <w:t xml:space="preserve">. Simultaneous PET/MRI scans were performed on a small animal 7 T ClinScan magnetic resonance scanner (Bruker BioSpin GmbH, Rheinstetten, </w:t>
      </w:r>
      <w:r w:rsidRPr="002706DA">
        <w:rPr>
          <w:lang w:val="nl-NL"/>
        </w:rPr>
        <w:t xml:space="preserve">Germany) with an installed PET insert developed at our laboratory as previously described </w:t>
      </w:r>
      <w:r w:rsidRPr="002706DA">
        <w:fldChar w:fldCharType="begin"/>
      </w:r>
      <w:r w:rsidRPr="002706DA">
        <w:rPr>
          <w:lang w:val="nl-NL"/>
        </w:rPr>
        <w:instrText xml:space="preserve"> ADDIN EN.CITE &lt;EndNote&gt;&lt;Cite&gt;&lt;Author&gt;Wehrl&lt;/Author&gt;&lt;Year&gt;2013&lt;/Year&gt;&lt;RecNum&gt;15666&lt;/RecNum&gt;&lt;DisplayText&gt;(2)&lt;/DisplayText&gt;&lt;record&gt;&lt;rec-number&gt;15666&lt;/rec-number&gt;&lt;foreign-keys&gt;&lt;key app="EN" db-id="sv9af9dr40avfme5zdbxfw2lex25zatea5er" timestamp="1615975511"&gt;15666&lt;/key&gt;&lt;/foreign-keys&gt;&lt;ref-type name="Journal Article"&gt;17&lt;/ref-type&gt;&lt;contributors&gt;&lt;authors&gt;&lt;author&gt;Wehrl, Hans F.&lt;/author&gt;&lt;author&gt;Hossain, Mosaddek&lt;/author&gt;&lt;author&gt;Lankes, Konrad&lt;/author&gt;&lt;author&gt;Liu, Chih-Chieh&lt;/author&gt;&lt;author&gt;Bezrukov, Ilja&lt;/author&gt;&lt;author&gt;Martirosian, Petros&lt;/author&gt;&lt;author&gt;Schick, Fritz&lt;/author&gt;&lt;author&gt;Reischl, Gerald&lt;/author&gt;&lt;author&gt;Pichler, Bernd J.&lt;/author&gt;&lt;/authors&gt;&lt;/contributors&gt;&lt;titles&gt;&lt;title&gt;Simultaneous PET-MRI reveals brain function in activated and resting state on metabolic, hemodynamic and multiple temporal scales&lt;/title&gt;&lt;secondary-title&gt;Nature Medicine&lt;/secondary-title&gt;&lt;/titles&gt;&lt;periodical&gt;&lt;full-title&gt;Nat Med&lt;/full-title&gt;&lt;abbr-1&gt;Nature medicine&lt;/abbr-1&gt;&lt;/periodical&gt;&lt;pages&gt;1184-1189&lt;/pages&gt;&lt;volume&gt;19&lt;/volume&gt;&lt;number&gt;9&lt;/number&gt;&lt;dates&gt;&lt;year&gt;2013&lt;/year&gt;&lt;pub-dates&gt;&lt;date&gt;2013/09/01&lt;/date&gt;&lt;/pub-dates&gt;&lt;/dates&gt;&lt;isbn&gt;1546-170X&lt;/isbn&gt;&lt;urls&gt;&lt;related-urls&gt;&lt;url&gt;https://doi.org/10.1038/nm.3290&lt;/url&gt;&lt;/related-urls&gt;&lt;/urls&gt;&lt;electronic-resource-num&gt;10.1038/nm.3290&lt;/electronic-resource-num&gt;&lt;/record&gt;&lt;/Cite&gt;&lt;/EndNote&gt;</w:instrText>
      </w:r>
      <w:r w:rsidRPr="002706DA">
        <w:fldChar w:fldCharType="separate"/>
      </w:r>
      <w:r w:rsidRPr="002706DA">
        <w:rPr>
          <w:noProof/>
          <w:lang w:val="nl-NL"/>
        </w:rPr>
        <w:t>(</w:t>
      </w:r>
      <w:hyperlink w:anchor="_ENREF_2" w:tooltip="Wehrl, 2013 #15666" w:history="1">
        <w:r w:rsidR="000A438C" w:rsidRPr="002706DA">
          <w:rPr>
            <w:rStyle w:val="Hyperlink"/>
            <w:color w:val="auto"/>
            <w:lang w:val="nl-NL"/>
          </w:rPr>
          <w:t>2</w:t>
        </w:r>
      </w:hyperlink>
      <w:r w:rsidRPr="002706DA">
        <w:rPr>
          <w:noProof/>
          <w:lang w:val="nl-NL"/>
        </w:rPr>
        <w:t>)</w:t>
      </w:r>
      <w:r w:rsidRPr="002706DA">
        <w:fldChar w:fldCharType="end"/>
      </w:r>
      <w:r w:rsidRPr="002706DA">
        <w:rPr>
          <w:lang w:val="nl-NL"/>
        </w:rPr>
        <w:t xml:space="preserve">. Anatomical </w:t>
      </w:r>
      <w:r w:rsidRPr="000A438C">
        <w:rPr>
          <w:lang w:val="nl-NL"/>
        </w:rPr>
        <w:t xml:space="preserve">T2 TurboRARE images and static PET images with a 10 min acquisition time were acquired at the indicated time points. </w:t>
      </w:r>
      <w:r>
        <w:t xml:space="preserve">PET </w:t>
      </w:r>
      <w:proofErr w:type="spellStart"/>
      <w:r>
        <w:t>images</w:t>
      </w:r>
      <w:proofErr w:type="spellEnd"/>
      <w:r>
        <w:t xml:space="preserve"> </w:t>
      </w:r>
      <w:proofErr w:type="spellStart"/>
      <w:r>
        <w:t>were</w:t>
      </w:r>
      <w:proofErr w:type="spellEnd"/>
      <w:r>
        <w:t xml:space="preserve"> </w:t>
      </w:r>
      <w:proofErr w:type="spellStart"/>
      <w:r>
        <w:t>reconstructed</w:t>
      </w:r>
      <w:proofErr w:type="spellEnd"/>
      <w:r>
        <w:t xml:space="preserve"> </w:t>
      </w:r>
      <w:proofErr w:type="spellStart"/>
      <w:r>
        <w:t>using</w:t>
      </w:r>
      <w:proofErr w:type="spellEnd"/>
      <w:r>
        <w:t xml:space="preserve"> an </w:t>
      </w:r>
      <w:proofErr w:type="spellStart"/>
      <w:r>
        <w:t>ordered</w:t>
      </w:r>
      <w:proofErr w:type="spellEnd"/>
      <w:r>
        <w:t xml:space="preserve"> </w:t>
      </w:r>
      <w:proofErr w:type="spellStart"/>
      <w:r>
        <w:t>subset</w:t>
      </w:r>
      <w:proofErr w:type="spellEnd"/>
      <w:r>
        <w:t xml:space="preserve"> </w:t>
      </w:r>
      <w:proofErr w:type="spellStart"/>
      <w:r>
        <w:t>expectation</w:t>
      </w:r>
      <w:proofErr w:type="spellEnd"/>
      <w:r>
        <w:t xml:space="preserve"> </w:t>
      </w:r>
      <w:proofErr w:type="spellStart"/>
      <w:r>
        <w:t>maximization</w:t>
      </w:r>
      <w:proofErr w:type="spellEnd"/>
      <w:r>
        <w:t xml:space="preserve"> (OSEM-2D) </w:t>
      </w:r>
      <w:proofErr w:type="spellStart"/>
      <w:r>
        <w:t>algorithm</w:t>
      </w:r>
      <w:proofErr w:type="spellEnd"/>
      <w:r>
        <w:t xml:space="preserve"> and </w:t>
      </w:r>
      <w:proofErr w:type="spellStart"/>
      <w:r>
        <w:t>analyzed</w:t>
      </w:r>
      <w:proofErr w:type="spellEnd"/>
      <w:r>
        <w:t xml:space="preserve"> </w:t>
      </w:r>
      <w:proofErr w:type="spellStart"/>
      <w:r>
        <w:t>with</w:t>
      </w:r>
      <w:proofErr w:type="spellEnd"/>
      <w:r>
        <w:t xml:space="preserve"> </w:t>
      </w:r>
      <w:proofErr w:type="spellStart"/>
      <w:r>
        <w:t>Inveon</w:t>
      </w:r>
      <w:proofErr w:type="spellEnd"/>
      <w:r>
        <w:t xml:space="preserve"> Research </w:t>
      </w:r>
      <w:proofErr w:type="spellStart"/>
      <w:r>
        <w:t>Workplace</w:t>
      </w:r>
      <w:proofErr w:type="spellEnd"/>
      <w:r>
        <w:t xml:space="preserve"> (Siemens </w:t>
      </w:r>
      <w:proofErr w:type="spellStart"/>
      <w:r>
        <w:t>Preclinical</w:t>
      </w:r>
      <w:proofErr w:type="spellEnd"/>
      <w:r>
        <w:t xml:space="preserve"> Solutions). </w:t>
      </w:r>
      <w:r w:rsidRPr="00FF5102">
        <w:rPr>
          <w:lang w:val="nl-NL"/>
        </w:rPr>
        <w:t xml:space="preserve">The volume of interest (VOI) in each organ was defined based on anatomical MRI data used to determine the corresponding PET tracer uptake. The resulting values were decay-corrected. </w:t>
      </w:r>
      <w:r w:rsidRPr="00FF5102">
        <w:rPr>
          <w:i/>
          <w:lang w:val="nl-NL"/>
        </w:rPr>
        <w:t>Ex vivo</w:t>
      </w:r>
      <w:r w:rsidRPr="00FF5102">
        <w:rPr>
          <w:lang w:val="nl-NL"/>
        </w:rPr>
        <w:t xml:space="preserve"> </w:t>
      </w:r>
      <w:r>
        <w:t>γ</w:t>
      </w:r>
      <w:r w:rsidRPr="00FF5102">
        <w:rPr>
          <w:lang w:val="nl-NL"/>
        </w:rPr>
        <w:t>-counting was conducted immediately after the last imaging time point by measuring the weight and radioactivity of the organs of interest.</w:t>
      </w:r>
    </w:p>
    <w:p w14:paraId="2EDA7E24" w14:textId="77777777" w:rsidR="00FF5102" w:rsidRPr="00FF5102" w:rsidRDefault="00FF5102" w:rsidP="00FF5102">
      <w:pPr>
        <w:spacing w:line="480" w:lineRule="auto"/>
        <w:jc w:val="both"/>
        <w:rPr>
          <w:lang w:val="nl-NL"/>
        </w:rPr>
      </w:pPr>
    </w:p>
    <w:p w14:paraId="26F04085" w14:textId="77777777" w:rsidR="00FF5102" w:rsidRDefault="00FF5102" w:rsidP="00FF5102">
      <w:pPr>
        <w:spacing w:line="480" w:lineRule="auto"/>
        <w:jc w:val="both"/>
        <w:rPr>
          <w:b/>
          <w:lang w:val="en-US"/>
        </w:rPr>
      </w:pPr>
      <w:r>
        <w:rPr>
          <w:b/>
          <w:lang w:val="en-US"/>
        </w:rPr>
        <w:t>Generation of CAR T cells</w:t>
      </w:r>
    </w:p>
    <w:p w14:paraId="69E7E77C" w14:textId="6379BC81" w:rsidR="00FF5102" w:rsidRDefault="00FF5102" w:rsidP="00FF5102">
      <w:pPr>
        <w:spacing w:line="480" w:lineRule="auto"/>
        <w:jc w:val="both"/>
        <w:rPr>
          <w:lang w:val="en-US"/>
        </w:rPr>
      </w:pPr>
      <w:r>
        <w:rPr>
          <w:lang w:val="en-US"/>
        </w:rPr>
        <w:t xml:space="preserve">The applied </w:t>
      </w:r>
      <w:r>
        <w:t>α</w:t>
      </w:r>
      <w:r>
        <w:rPr>
          <w:lang w:val="en-US"/>
        </w:rPr>
        <w:t xml:space="preserve">CD19 CAR is based on a </w:t>
      </w:r>
      <w:proofErr w:type="spellStart"/>
      <w:r>
        <w:rPr>
          <w:lang w:val="en-US"/>
        </w:rPr>
        <w:t>scFv</w:t>
      </w:r>
      <w:proofErr w:type="spellEnd"/>
      <w:r>
        <w:rPr>
          <w:lang w:val="en-US"/>
        </w:rPr>
        <w:t xml:space="preserve"> derived from the </w:t>
      </w:r>
      <w:r>
        <w:t>α</w:t>
      </w:r>
      <w:r>
        <w:rPr>
          <w:lang w:val="en-US"/>
        </w:rPr>
        <w:t xml:space="preserve">CD19-mAb 4G7 assembled on a second-generation CAR backbone incorporating a CD8 hinge, CD8 transmembrane domain, and the cytoplasmic domain of 41BB </w:t>
      </w:r>
      <w:r w:rsidRPr="000A438C">
        <w:rPr>
          <w:lang w:val="en-US"/>
        </w:rPr>
        <w:t xml:space="preserve">and CD3zeta </w:t>
      </w:r>
      <w:r w:rsidRPr="000A438C">
        <w:fldChar w:fldCharType="begin">
          <w:fldData xml:space="preserve">PEVuZE5vdGU+PENpdGU+PEF1dGhvcj5TZWl0ejwvQXV0aG9yPjxZZWFyPjIwMjA8L1llYXI+PFJl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</w:fldData>
        </w:fldChar>
      </w:r>
      <w:r w:rsidRPr="000A438C">
        <w:rPr>
          <w:lang w:val="en-US"/>
        </w:rPr>
        <w:instrText xml:space="preserve"> ADDIN EN.CITE </w:instrText>
      </w:r>
      <w:r w:rsidRPr="000A438C">
        <w:fldChar w:fldCharType="begin">
          <w:fldData xml:space="preserve">PEVuZE5vdGU+PENpdGU+PEF1dGhvcj5TZWl0ejwvQXV0aG9yPjxZZWFyPjIwMjA8L1llYXI+PFJl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</w:fldData>
        </w:fldChar>
      </w:r>
      <w:r w:rsidRPr="000A438C">
        <w:rPr>
          <w:lang w:val="en-US"/>
        </w:rPr>
        <w:instrText xml:space="preserve"> ADDIN EN.CITE.DATA </w:instrText>
      </w:r>
      <w:r w:rsidRPr="000A438C">
        <w:fldChar w:fldCharType="end"/>
      </w:r>
      <w:r w:rsidRPr="000A438C">
        <w:fldChar w:fldCharType="separate"/>
      </w:r>
      <w:r w:rsidRPr="000A438C">
        <w:rPr>
          <w:noProof/>
          <w:lang w:val="en-US"/>
        </w:rPr>
        <w:t>(</w:t>
      </w:r>
      <w:hyperlink w:anchor="_ENREF_3" w:tooltip="Seitz, 2020 #15697" w:history="1">
        <w:r w:rsidR="000A438C" w:rsidRPr="000A438C">
          <w:rPr>
            <w:rStyle w:val="Hyperlink"/>
            <w:color w:val="auto"/>
            <w:lang w:val="en-US"/>
          </w:rPr>
          <w:t>3</w:t>
        </w:r>
      </w:hyperlink>
      <w:r w:rsidRPr="000A438C">
        <w:rPr>
          <w:noProof/>
          <w:lang w:val="en-US"/>
        </w:rPr>
        <w:t xml:space="preserve">, </w:t>
      </w:r>
      <w:hyperlink w:anchor="_ENREF_4" w:tooltip="Seitz, 2021 #15698" w:history="1">
        <w:r w:rsidR="000A438C" w:rsidRPr="000A438C">
          <w:rPr>
            <w:rStyle w:val="Hyperlink"/>
            <w:color w:val="auto"/>
            <w:lang w:val="en-US"/>
          </w:rPr>
          <w:t>4</w:t>
        </w:r>
      </w:hyperlink>
      <w:r w:rsidRPr="000A438C">
        <w:rPr>
          <w:noProof/>
          <w:lang w:val="en-US"/>
        </w:rPr>
        <w:t>)</w:t>
      </w:r>
      <w:r w:rsidRPr="000A438C">
        <w:fldChar w:fldCharType="end"/>
      </w:r>
      <w:r w:rsidRPr="000A438C">
        <w:rPr>
          <w:lang w:val="en-US"/>
        </w:rPr>
        <w:t xml:space="preserve">. Lentivirus </w:t>
      </w:r>
      <w:r>
        <w:rPr>
          <w:lang w:val="en-US"/>
        </w:rPr>
        <w:t>(LV) for T-cell transduction was produced in Lenti-XTM 293T (</w:t>
      </w:r>
      <w:proofErr w:type="spellStart"/>
      <w:r>
        <w:rPr>
          <w:lang w:val="en-US"/>
        </w:rPr>
        <w:t>TaKaRa</w:t>
      </w:r>
      <w:proofErr w:type="spellEnd"/>
      <w:r>
        <w:rPr>
          <w:lang w:val="en-US"/>
        </w:rPr>
        <w:t xml:space="preserve"> Bio, Kusatsu, Japan) after 3 plasmid transfections using Lipofectamine 3000 (</w:t>
      </w:r>
      <w:proofErr w:type="spellStart"/>
      <w:r>
        <w:rPr>
          <w:lang w:val="en-US"/>
        </w:rPr>
        <w:t>Thermo</w:t>
      </w:r>
      <w:proofErr w:type="spellEnd"/>
      <w:r>
        <w:rPr>
          <w:lang w:val="en-US"/>
        </w:rPr>
        <w:t xml:space="preserve"> Fisher) of the second-generation packaging plasmid psPAX2 (</w:t>
      </w:r>
      <w:proofErr w:type="spellStart"/>
      <w:r>
        <w:rPr>
          <w:lang w:val="en-US"/>
        </w:rPr>
        <w:t>Addgene</w:t>
      </w:r>
      <w:proofErr w:type="spellEnd"/>
      <w:r>
        <w:rPr>
          <w:lang w:val="en-US"/>
        </w:rPr>
        <w:t>), VSV-G envelope plasmid pMD2.G (</w:t>
      </w:r>
      <w:proofErr w:type="spellStart"/>
      <w:r>
        <w:rPr>
          <w:lang w:val="en-US"/>
        </w:rPr>
        <w:t>Addgene</w:t>
      </w:r>
      <w:proofErr w:type="spellEnd"/>
      <w:r>
        <w:rPr>
          <w:lang w:val="en-US"/>
        </w:rPr>
        <w:t xml:space="preserve">) and the CAR-containing transfer plasmid. For CAR-T-cell production, PBMCs were isolated from whole </w:t>
      </w:r>
      <w:r>
        <w:rPr>
          <w:lang w:val="en-US"/>
        </w:rPr>
        <w:lastRenderedPageBreak/>
        <w:t xml:space="preserve">peripheral blood acquired from healthy volunteer donors at the University Children’s Hospital </w:t>
      </w:r>
      <w:proofErr w:type="spellStart"/>
      <w:r>
        <w:rPr>
          <w:lang w:val="en-US"/>
        </w:rPr>
        <w:t>Tuebingen</w:t>
      </w:r>
      <w:proofErr w:type="spellEnd"/>
      <w:r>
        <w:rPr>
          <w:lang w:val="en-US"/>
        </w:rPr>
        <w:t xml:space="preserve"> by </w:t>
      </w:r>
      <w:proofErr w:type="spellStart"/>
      <w:r>
        <w:rPr>
          <w:lang w:val="en-US"/>
        </w:rPr>
        <w:t>Ficoll</w:t>
      </w:r>
      <w:proofErr w:type="spellEnd"/>
      <w:r>
        <w:rPr>
          <w:lang w:val="en-US"/>
        </w:rPr>
        <w:t>-Paque density gradient centrifugation (</w:t>
      </w:r>
      <w:proofErr w:type="spellStart"/>
      <w:r>
        <w:rPr>
          <w:lang w:val="en-US"/>
        </w:rPr>
        <w:t>Biocoll</w:t>
      </w:r>
      <w:proofErr w:type="spellEnd"/>
      <w:r>
        <w:rPr>
          <w:lang w:val="en-US"/>
        </w:rPr>
        <w:t xml:space="preserve">, </w:t>
      </w:r>
      <w:proofErr w:type="spellStart"/>
      <w:r>
        <w:rPr>
          <w:lang w:val="en-US"/>
        </w:rPr>
        <w:t>Biochrom</w:t>
      </w:r>
      <w:proofErr w:type="spellEnd"/>
      <w:r>
        <w:rPr>
          <w:lang w:val="en-US"/>
        </w:rPr>
        <w:t>, Berlin, Germany). T cells were isolated using CD4 and CD8 microbeads (</w:t>
      </w:r>
      <w:proofErr w:type="spellStart"/>
      <w:r>
        <w:rPr>
          <w:lang w:val="en-US"/>
        </w:rPr>
        <w:t>Miltenyi</w:t>
      </w:r>
      <w:proofErr w:type="spellEnd"/>
      <w:r>
        <w:rPr>
          <w:lang w:val="en-US"/>
        </w:rPr>
        <w:t xml:space="preserve"> </w:t>
      </w:r>
      <w:proofErr w:type="spellStart"/>
      <w:r>
        <w:rPr>
          <w:lang w:val="en-US"/>
        </w:rPr>
        <w:t>Biotec</w:t>
      </w:r>
      <w:proofErr w:type="spellEnd"/>
      <w:r>
        <w:rPr>
          <w:lang w:val="en-US"/>
        </w:rPr>
        <w:t xml:space="preserve">). T cells were activated with </w:t>
      </w:r>
      <w:proofErr w:type="spellStart"/>
      <w:r>
        <w:rPr>
          <w:lang w:val="en-US"/>
        </w:rPr>
        <w:t>TransActTM</w:t>
      </w:r>
      <w:proofErr w:type="spellEnd"/>
      <w:r>
        <w:rPr>
          <w:lang w:val="en-US"/>
        </w:rPr>
        <w:t xml:space="preserve"> (anti-CD3 and anti-CD28 agonistic signals, </w:t>
      </w:r>
      <w:proofErr w:type="spellStart"/>
      <w:r>
        <w:rPr>
          <w:lang w:val="en-US"/>
        </w:rPr>
        <w:t>Miltenyi</w:t>
      </w:r>
      <w:proofErr w:type="spellEnd"/>
      <w:r>
        <w:rPr>
          <w:lang w:val="en-US"/>
        </w:rPr>
        <w:t xml:space="preserve"> </w:t>
      </w:r>
      <w:proofErr w:type="spellStart"/>
      <w:r>
        <w:rPr>
          <w:lang w:val="en-US"/>
        </w:rPr>
        <w:t>Biotec</w:t>
      </w:r>
      <w:proofErr w:type="spellEnd"/>
      <w:r>
        <w:rPr>
          <w:lang w:val="en-US"/>
        </w:rPr>
        <w:t xml:space="preserve">) and cultivated in </w:t>
      </w:r>
      <w:proofErr w:type="spellStart"/>
      <w:r>
        <w:rPr>
          <w:lang w:val="en-US"/>
        </w:rPr>
        <w:t>TexMACS</w:t>
      </w:r>
      <w:proofErr w:type="spellEnd"/>
      <w:r>
        <w:rPr>
          <w:lang w:val="en-US"/>
        </w:rPr>
        <w:t xml:space="preserve"> media (</w:t>
      </w:r>
      <w:proofErr w:type="spellStart"/>
      <w:r>
        <w:rPr>
          <w:lang w:val="en-US"/>
        </w:rPr>
        <w:t>Miltenyi</w:t>
      </w:r>
      <w:proofErr w:type="spellEnd"/>
      <w:r>
        <w:rPr>
          <w:lang w:val="en-US"/>
        </w:rPr>
        <w:t xml:space="preserve"> </w:t>
      </w:r>
      <w:proofErr w:type="spellStart"/>
      <w:r>
        <w:rPr>
          <w:lang w:val="en-US"/>
        </w:rPr>
        <w:t>Biotec</w:t>
      </w:r>
      <w:proofErr w:type="spellEnd"/>
      <w:r>
        <w:rPr>
          <w:lang w:val="en-US"/>
        </w:rPr>
        <w:t>) supplemented with 10 ng/mL IL-7 and 5 ng/mL IL-15 (</w:t>
      </w:r>
      <w:proofErr w:type="spellStart"/>
      <w:r>
        <w:rPr>
          <w:lang w:val="en-US"/>
        </w:rPr>
        <w:t>Miltenyi</w:t>
      </w:r>
      <w:proofErr w:type="spellEnd"/>
      <w:r>
        <w:rPr>
          <w:lang w:val="en-US"/>
        </w:rPr>
        <w:t xml:space="preserve"> </w:t>
      </w:r>
      <w:proofErr w:type="spellStart"/>
      <w:r>
        <w:rPr>
          <w:lang w:val="en-US"/>
        </w:rPr>
        <w:t>Biotec</w:t>
      </w:r>
      <w:proofErr w:type="spellEnd"/>
      <w:r>
        <w:rPr>
          <w:lang w:val="en-US"/>
        </w:rPr>
        <w:t>). After 24 h, activated T cells were transduced at a multiplicity of infection (MOI) of 3. Transduced T cells were maintained at 0.5–2 × 10</w:t>
      </w:r>
      <w:r>
        <w:rPr>
          <w:vertAlign w:val="superscript"/>
          <w:lang w:val="en-US"/>
        </w:rPr>
        <w:t>6</w:t>
      </w:r>
      <w:r>
        <w:rPr>
          <w:lang w:val="en-US"/>
        </w:rPr>
        <w:t xml:space="preserve"> cells/mL in IL7/IL15 containing </w:t>
      </w:r>
      <w:proofErr w:type="spellStart"/>
      <w:r>
        <w:rPr>
          <w:lang w:val="en-US"/>
        </w:rPr>
        <w:t>TexMACS</w:t>
      </w:r>
      <w:proofErr w:type="spellEnd"/>
      <w:r>
        <w:rPr>
          <w:lang w:val="en-US"/>
        </w:rPr>
        <w:t>® media.</w:t>
      </w:r>
    </w:p>
    <w:p w14:paraId="00A87098" w14:textId="77777777" w:rsidR="00FF5102" w:rsidRDefault="00FF5102" w:rsidP="00FF5102">
      <w:pPr>
        <w:spacing w:line="480" w:lineRule="auto"/>
        <w:jc w:val="both"/>
        <w:rPr>
          <w:color w:val="262626"/>
          <w:lang w:val="en-US"/>
        </w:rPr>
      </w:pPr>
    </w:p>
    <w:p w14:paraId="58F423F3" w14:textId="77777777" w:rsidR="00FF5102" w:rsidRDefault="00FF5102" w:rsidP="00FF5102">
      <w:pPr>
        <w:spacing w:line="480" w:lineRule="auto"/>
        <w:jc w:val="both"/>
        <w:rPr>
          <w:b/>
          <w:color w:val="262626"/>
          <w:lang w:val="en-US"/>
        </w:rPr>
      </w:pPr>
      <w:r>
        <w:rPr>
          <w:b/>
          <w:color w:val="262626"/>
          <w:lang w:val="en-US"/>
        </w:rPr>
        <w:t>Luciferase-based cytotoxicity assay (LCA)</w:t>
      </w:r>
    </w:p>
    <w:p w14:paraId="29140BFA" w14:textId="77777777" w:rsidR="00FF5102" w:rsidRDefault="00FF5102" w:rsidP="00FF5102">
      <w:pPr>
        <w:spacing w:line="480" w:lineRule="auto"/>
        <w:jc w:val="both"/>
        <w:rPr>
          <w:color w:val="262626"/>
          <w:lang w:val="en-US"/>
        </w:rPr>
      </w:pPr>
      <w:r>
        <w:rPr>
          <w:color w:val="262626"/>
          <w:lang w:val="en-US"/>
        </w:rPr>
        <w:t>Tumor cells were plated in RPMI 1640-based complete media (see above) at 50,000 cells per 96 flat bottom wells in white plates. Synthetic D-luciferin (Sigma Aldrich) was added at 4 µg/</w:t>
      </w:r>
      <w:proofErr w:type="spellStart"/>
      <w:r>
        <w:rPr>
          <w:color w:val="262626"/>
          <w:lang w:val="en-US"/>
        </w:rPr>
        <w:t>mL.</w:t>
      </w:r>
      <w:proofErr w:type="spellEnd"/>
      <w:r>
        <w:rPr>
          <w:color w:val="262626"/>
          <w:lang w:val="en-US"/>
        </w:rPr>
        <w:t xml:space="preserve"> </w:t>
      </w:r>
      <w:r>
        <w:t>α</w:t>
      </w:r>
      <w:r>
        <w:rPr>
          <w:lang w:val="en-US"/>
        </w:rPr>
        <w:t xml:space="preserve">CD19-CAR T cells </w:t>
      </w:r>
      <w:r>
        <w:rPr>
          <w:color w:val="262626"/>
          <w:lang w:val="en-US"/>
        </w:rPr>
        <w:t xml:space="preserve">were plated at the indicated effector-to-target ratio. The total volume per well was 200 µl. The </w:t>
      </w:r>
      <w:r>
        <w:t>α</w:t>
      </w:r>
      <w:r>
        <w:rPr>
          <w:lang w:val="en-US"/>
        </w:rPr>
        <w:t>CD19-</w:t>
      </w:r>
      <w:r>
        <w:rPr>
          <w:color w:val="262626"/>
          <w:lang w:val="en-US"/>
        </w:rPr>
        <w:t>mAb 4G7SDIE was added at the indicated concentrations. Plates were incubated in a HERA cell incubator (Heraeus, Hanau, Germany) at 37 °C, 95% humidity, and 5% CO</w:t>
      </w:r>
      <w:r>
        <w:rPr>
          <w:color w:val="262626"/>
          <w:vertAlign w:val="subscript"/>
          <w:lang w:val="en-US"/>
        </w:rPr>
        <w:t>2</w:t>
      </w:r>
      <w:r>
        <w:rPr>
          <w:color w:val="262626"/>
          <w:lang w:val="en-US"/>
        </w:rPr>
        <w:t>. Plates were measured using the Wallac Victor 1420 Multilabel Counter (Perkin Elmer) at 37 °C at the indicated time intervals. Lysis was determined by the relative luminescence of the testing condition to the dilution series according to the standard controls.</w:t>
      </w:r>
    </w:p>
    <w:p w14:paraId="5D852A87" w14:textId="77777777" w:rsidR="00FF5102" w:rsidRPr="00FF5102" w:rsidRDefault="00FF5102" w:rsidP="00FF5102">
      <w:pPr>
        <w:spacing w:line="480" w:lineRule="auto"/>
        <w:jc w:val="both"/>
        <w:rPr>
          <w:b/>
          <w:lang w:val="en-US"/>
        </w:rPr>
      </w:pPr>
    </w:p>
    <w:p w14:paraId="58BD5B14" w14:textId="30B9AD5C" w:rsidR="00FF5102" w:rsidRPr="000A438C" w:rsidRDefault="003A15AC" w:rsidP="00FF5102">
      <w:pPr>
        <w:spacing w:line="480" w:lineRule="auto"/>
        <w:jc w:val="both"/>
        <w:rPr>
          <w:b/>
          <w:lang w:val="en-US"/>
        </w:rPr>
      </w:pPr>
      <w:bookmarkStart w:id="1" w:name="_Hlk164259878"/>
      <w:r w:rsidRPr="003A15AC">
        <w:rPr>
          <w:b/>
          <w:color w:val="FF0000"/>
          <w:lang w:val="en-US"/>
        </w:rPr>
        <w:t xml:space="preserve">Patient Selection and </w:t>
      </w:r>
      <w:r>
        <w:rPr>
          <w:b/>
          <w:lang w:val="en-US"/>
        </w:rPr>
        <w:t>C</w:t>
      </w:r>
      <w:r w:rsidR="00FF5102" w:rsidRPr="000A438C">
        <w:rPr>
          <w:b/>
          <w:lang w:val="en-US"/>
        </w:rPr>
        <w:t>linical PET/MR Imaging</w:t>
      </w:r>
    </w:p>
    <w:p w14:paraId="735BE687" w14:textId="31A4B54D" w:rsidR="00FF5102" w:rsidRDefault="003A15AC" w:rsidP="00FF5102">
      <w:pPr>
        <w:spacing w:line="480" w:lineRule="auto"/>
        <w:jc w:val="both"/>
      </w:pPr>
      <w:r>
        <w:rPr>
          <w:color w:val="FF0000"/>
          <w:lang w:val="en-US"/>
        </w:rPr>
        <w:t>P</w:t>
      </w:r>
      <w:r w:rsidR="002706DA" w:rsidRPr="002706DA">
        <w:rPr>
          <w:color w:val="FF0000"/>
          <w:lang w:val="en-US"/>
        </w:rPr>
        <w:t>atients</w:t>
      </w:r>
      <w:r>
        <w:rPr>
          <w:color w:val="FF0000"/>
          <w:lang w:val="en-US"/>
        </w:rPr>
        <w:t xml:space="preserve"> with B-NHL</w:t>
      </w:r>
      <w:r w:rsidR="002706DA" w:rsidRPr="002706DA">
        <w:rPr>
          <w:color w:val="FF0000"/>
          <w:lang w:val="en-US"/>
        </w:rPr>
        <w:t xml:space="preserve"> were </w:t>
      </w:r>
      <w:r>
        <w:rPr>
          <w:color w:val="FF0000"/>
          <w:lang w:val="en-US"/>
        </w:rPr>
        <w:t xml:space="preserve">individually </w:t>
      </w:r>
      <w:r w:rsidR="002706DA" w:rsidRPr="002706DA">
        <w:rPr>
          <w:color w:val="FF0000"/>
          <w:lang w:val="en-US"/>
        </w:rPr>
        <w:t xml:space="preserve">selected </w:t>
      </w:r>
      <w:r w:rsidR="002706DA">
        <w:rPr>
          <w:color w:val="FF0000"/>
          <w:lang w:val="en-US"/>
        </w:rPr>
        <w:t>by the</w:t>
      </w:r>
      <w:r>
        <w:rPr>
          <w:color w:val="FF0000"/>
          <w:lang w:val="en-US"/>
        </w:rPr>
        <w:t>ir</w:t>
      </w:r>
      <w:r w:rsidR="002706DA">
        <w:rPr>
          <w:color w:val="FF0000"/>
          <w:lang w:val="en-US"/>
        </w:rPr>
        <w:t xml:space="preserve"> referring physician</w:t>
      </w:r>
      <w:r>
        <w:rPr>
          <w:color w:val="FF0000"/>
          <w:lang w:val="en-US"/>
        </w:rPr>
        <w:t>s with immunohistochemical confirmed CD19-positivity</w:t>
      </w:r>
      <w:r w:rsidR="002706DA">
        <w:rPr>
          <w:color w:val="FF0000"/>
          <w:lang w:val="en-US"/>
        </w:rPr>
        <w:t xml:space="preserve"> to evaluate </w:t>
      </w:r>
      <w:r w:rsidR="0033566A">
        <w:rPr>
          <w:color w:val="FF0000"/>
          <w:lang w:val="en-US"/>
        </w:rPr>
        <w:t xml:space="preserve">the </w:t>
      </w:r>
      <w:r w:rsidR="002706DA">
        <w:rPr>
          <w:color w:val="FF0000"/>
          <w:lang w:val="en-US"/>
        </w:rPr>
        <w:t>eligibility for CD19-directed therapy.</w:t>
      </w:r>
      <w:r>
        <w:rPr>
          <w:color w:val="FF0000"/>
          <w:lang w:val="en-US"/>
        </w:rPr>
        <w:t xml:space="preserve"> </w:t>
      </w:r>
      <w:bookmarkEnd w:id="1"/>
      <w:r w:rsidR="00FF5102" w:rsidRPr="000A438C">
        <w:rPr>
          <w:lang w:val="en-US"/>
        </w:rPr>
        <w:t xml:space="preserve">Simultaneous PET/MR data were acquired 19-25 h after </w:t>
      </w:r>
      <w:proofErr w:type="spellStart"/>
      <w:r w:rsidR="00FF5102" w:rsidRPr="000A438C">
        <w:rPr>
          <w:i/>
          <w:lang w:val="en-US"/>
        </w:rPr>
        <w:t>i.v.</w:t>
      </w:r>
      <w:proofErr w:type="spellEnd"/>
      <w:r w:rsidR="00FF5102" w:rsidRPr="000A438C">
        <w:rPr>
          <w:lang w:val="en-US"/>
        </w:rPr>
        <w:t xml:space="preserve"> injection of 203±57 MBq </w:t>
      </w:r>
      <w:r w:rsidR="00FF5102" w:rsidRPr="000A438C">
        <w:rPr>
          <w:vertAlign w:val="superscript"/>
          <w:lang w:val="en-US"/>
        </w:rPr>
        <w:t>64</w:t>
      </w:r>
      <w:r w:rsidR="00FF5102" w:rsidRPr="000A438C">
        <w:rPr>
          <w:lang w:val="en-US"/>
        </w:rPr>
        <w:t>Cu-</w:t>
      </w:r>
      <w:r w:rsidR="00FF5102">
        <w:t>α</w:t>
      </w:r>
      <w:r w:rsidR="00FF5102" w:rsidRPr="000A438C">
        <w:rPr>
          <w:lang w:val="en-US"/>
        </w:rPr>
        <w:t xml:space="preserve">CD19 (0.5 MBq/µg) on an integrated 3T whole-body PET/MRI system (Biograph </w:t>
      </w:r>
      <w:proofErr w:type="spellStart"/>
      <w:r w:rsidR="00FF5102" w:rsidRPr="000A438C">
        <w:rPr>
          <w:lang w:val="en-US"/>
        </w:rPr>
        <w:t>mMR</w:t>
      </w:r>
      <w:proofErr w:type="spellEnd"/>
      <w:r w:rsidR="00FF5102" w:rsidRPr="000A438C">
        <w:rPr>
          <w:lang w:val="en-US"/>
        </w:rPr>
        <w:t xml:space="preserve">, Siemens </w:t>
      </w:r>
      <w:proofErr w:type="spellStart"/>
      <w:r w:rsidR="00FF5102" w:rsidRPr="000A438C">
        <w:rPr>
          <w:lang w:val="en-US"/>
        </w:rPr>
        <w:t>Healthineers</w:t>
      </w:r>
      <w:proofErr w:type="spellEnd"/>
      <w:r w:rsidR="00FF5102" w:rsidRPr="000A438C">
        <w:rPr>
          <w:lang w:val="en-US"/>
        </w:rPr>
        <w:t xml:space="preserve">, Erlangen, Germany). T1-weighted, 3D-encoded spoiled gradient-echo with double-echo for Dixon-based fat-water separation for attenuation correction as well as coronal/axial T2 HASTE and axial T2 TIRM MR sequences were performed. </w:t>
      </w:r>
      <w:r w:rsidR="00FF5102">
        <w:t xml:space="preserve">PET </w:t>
      </w:r>
      <w:proofErr w:type="spellStart"/>
      <w:r w:rsidR="00FF5102">
        <w:t>images</w:t>
      </w:r>
      <w:proofErr w:type="spellEnd"/>
      <w:r w:rsidR="00FF5102">
        <w:t xml:space="preserve"> </w:t>
      </w:r>
      <w:proofErr w:type="spellStart"/>
      <w:r w:rsidR="00FF5102">
        <w:t>were</w:t>
      </w:r>
      <w:proofErr w:type="spellEnd"/>
      <w:r w:rsidR="00FF5102">
        <w:t xml:space="preserve"> </w:t>
      </w:r>
      <w:proofErr w:type="spellStart"/>
      <w:r w:rsidR="00FF5102">
        <w:lastRenderedPageBreak/>
        <w:t>reconstructed</w:t>
      </w:r>
      <w:proofErr w:type="spellEnd"/>
      <w:r w:rsidR="00FF5102">
        <w:t xml:space="preserve"> </w:t>
      </w:r>
      <w:proofErr w:type="spellStart"/>
      <w:r w:rsidR="00FF5102">
        <w:t>using</w:t>
      </w:r>
      <w:proofErr w:type="spellEnd"/>
      <w:r w:rsidR="00FF5102">
        <w:t xml:space="preserve"> an OSEM-3D </w:t>
      </w:r>
      <w:proofErr w:type="spellStart"/>
      <w:r w:rsidR="00FF5102">
        <w:t>algorithm</w:t>
      </w:r>
      <w:proofErr w:type="spellEnd"/>
      <w:r w:rsidR="00FF5102">
        <w:t xml:space="preserve"> </w:t>
      </w:r>
      <w:proofErr w:type="spellStart"/>
      <w:r w:rsidR="00FF5102">
        <w:t>corrected</w:t>
      </w:r>
      <w:proofErr w:type="spellEnd"/>
      <w:r w:rsidR="00FF5102">
        <w:t xml:space="preserve"> </w:t>
      </w:r>
      <w:proofErr w:type="spellStart"/>
      <w:r w:rsidR="00FF5102">
        <w:t>for</w:t>
      </w:r>
      <w:proofErr w:type="spellEnd"/>
      <w:r w:rsidR="00FF5102">
        <w:t xml:space="preserve"> </w:t>
      </w:r>
      <w:proofErr w:type="spellStart"/>
      <w:r w:rsidR="00FF5102">
        <w:t>scatter</w:t>
      </w:r>
      <w:proofErr w:type="spellEnd"/>
      <w:r w:rsidR="00FF5102">
        <w:t xml:space="preserve"> and </w:t>
      </w:r>
      <w:proofErr w:type="spellStart"/>
      <w:r w:rsidR="00FF5102">
        <w:t>attenuation</w:t>
      </w:r>
      <w:proofErr w:type="spellEnd"/>
      <w:r w:rsidR="00FF5102">
        <w:t xml:space="preserve"> </w:t>
      </w:r>
      <w:proofErr w:type="spellStart"/>
      <w:r w:rsidR="00FF5102">
        <w:t>based</w:t>
      </w:r>
      <w:proofErr w:type="spellEnd"/>
      <w:r w:rsidR="00FF5102">
        <w:t xml:space="preserve"> on </w:t>
      </w:r>
      <w:proofErr w:type="spellStart"/>
      <w:r w:rsidR="00FF5102">
        <w:t>standard</w:t>
      </w:r>
      <w:proofErr w:type="spellEnd"/>
      <w:r w:rsidR="00FF5102">
        <w:t xml:space="preserve"> MRI-</w:t>
      </w:r>
      <w:proofErr w:type="spellStart"/>
      <w:r w:rsidR="00FF5102">
        <w:t>based</w:t>
      </w:r>
      <w:proofErr w:type="spellEnd"/>
      <w:r w:rsidR="00FF5102">
        <w:t xml:space="preserve"> </w:t>
      </w:r>
      <w:proofErr w:type="spellStart"/>
      <w:r w:rsidR="00FF5102">
        <w:t>segmentation</w:t>
      </w:r>
      <w:proofErr w:type="spellEnd"/>
      <w:r w:rsidR="00FF5102">
        <w:t xml:space="preserve"> </w:t>
      </w:r>
      <w:proofErr w:type="spellStart"/>
      <w:r w:rsidR="00FF5102">
        <w:t>as</w:t>
      </w:r>
      <w:proofErr w:type="spellEnd"/>
      <w:r w:rsidR="00FF5102">
        <w:t xml:space="preserve"> </w:t>
      </w:r>
      <w:proofErr w:type="spellStart"/>
      <w:r w:rsidR="00FF5102">
        <w:t>previously</w:t>
      </w:r>
      <w:proofErr w:type="spellEnd"/>
      <w:r w:rsidR="00FF5102">
        <w:t xml:space="preserve"> </w:t>
      </w:r>
      <w:proofErr w:type="spellStart"/>
      <w:r w:rsidR="00FF5102" w:rsidRPr="000A438C">
        <w:t>described</w:t>
      </w:r>
      <w:proofErr w:type="spellEnd"/>
      <w:r w:rsidR="00FF5102" w:rsidRPr="000A438C">
        <w:t xml:space="preserve"> </w:t>
      </w:r>
      <w:r w:rsidR="00FF5102" w:rsidRPr="000A438C">
        <w:fldChar w:fldCharType="begin">
          <w:fldData xml:space="preserve">PEVuZE5vdGU+PENpdGU+PEF1dGhvcj5Ib2ZtYW5uPC9BdXRob3I+PFllYXI+MjAxMTwvWWVhcj48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</w:fldData>
        </w:fldChar>
      </w:r>
      <w:r w:rsidR="00FF5102" w:rsidRPr="000A438C">
        <w:instrText xml:space="preserve"> ADDIN EN.CITE </w:instrText>
      </w:r>
      <w:r w:rsidR="00FF5102" w:rsidRPr="000A438C">
        <w:fldChar w:fldCharType="begin">
          <w:fldData xml:space="preserve">PEVuZE5vdGU+PENpdGU+PEF1dGhvcj5Ib2ZtYW5uPC9BdXRob3I+PFllYXI+MjAxMTwvWWVhcj48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</w:fldData>
        </w:fldChar>
      </w:r>
      <w:r w:rsidR="00FF5102" w:rsidRPr="000A438C">
        <w:instrText xml:space="preserve"> ADDIN EN.CITE.DATA </w:instrText>
      </w:r>
      <w:r w:rsidR="00FF5102" w:rsidRPr="000A438C">
        <w:fldChar w:fldCharType="end"/>
      </w:r>
      <w:r w:rsidR="00FF5102" w:rsidRPr="000A438C">
        <w:fldChar w:fldCharType="separate"/>
      </w:r>
      <w:r w:rsidR="00FF5102" w:rsidRPr="000A438C">
        <w:rPr>
          <w:noProof/>
        </w:rPr>
        <w:t>(</w:t>
      </w:r>
      <w:hyperlink w:anchor="_ENREF_5" w:tooltip="Hofmann, 2011 #15692" w:history="1">
        <w:r w:rsidR="000A438C" w:rsidRPr="000A438C">
          <w:rPr>
            <w:rStyle w:val="Hyperlink"/>
            <w:color w:val="auto"/>
          </w:rPr>
          <w:t>5</w:t>
        </w:r>
      </w:hyperlink>
      <w:r w:rsidR="00FF5102" w:rsidRPr="000A438C">
        <w:rPr>
          <w:noProof/>
        </w:rPr>
        <w:t>)</w:t>
      </w:r>
      <w:r w:rsidR="00FF5102" w:rsidRPr="000A438C">
        <w:fldChar w:fldCharType="end"/>
      </w:r>
      <w:r w:rsidR="00FF5102" w:rsidRPr="000A438C">
        <w:t xml:space="preserve">. </w:t>
      </w:r>
      <w:proofErr w:type="spellStart"/>
      <w:r w:rsidR="00FF5102" w:rsidRPr="000A438C">
        <w:t>For</w:t>
      </w:r>
      <w:proofErr w:type="spellEnd"/>
      <w:r w:rsidR="00FF5102" w:rsidRPr="000A438C">
        <w:t xml:space="preserve"> semiquantitative </w:t>
      </w:r>
      <w:r w:rsidR="00FF5102">
        <w:t xml:space="preserve">PET </w:t>
      </w:r>
      <w:proofErr w:type="spellStart"/>
      <w:r w:rsidR="00FF5102">
        <w:t>analysis</w:t>
      </w:r>
      <w:proofErr w:type="spellEnd"/>
      <w:r w:rsidR="00FF5102">
        <w:t xml:space="preserve">, </w:t>
      </w:r>
      <w:proofErr w:type="spellStart"/>
      <w:r w:rsidR="00FF5102">
        <w:t>representative</w:t>
      </w:r>
      <w:proofErr w:type="spellEnd"/>
      <w:r w:rsidR="00FF5102">
        <w:t xml:space="preserve"> </w:t>
      </w:r>
      <w:proofErr w:type="spellStart"/>
      <w:r w:rsidR="00FF5102">
        <w:t>regions</w:t>
      </w:r>
      <w:proofErr w:type="spellEnd"/>
      <w:r w:rsidR="00FF5102">
        <w:t xml:space="preserve"> </w:t>
      </w:r>
      <w:proofErr w:type="spellStart"/>
      <w:r w:rsidR="00FF5102">
        <w:t>of</w:t>
      </w:r>
      <w:proofErr w:type="spellEnd"/>
      <w:r w:rsidR="00FF5102">
        <w:t xml:space="preserve"> </w:t>
      </w:r>
      <w:proofErr w:type="spellStart"/>
      <w:r w:rsidR="00FF5102">
        <w:t>interest</w:t>
      </w:r>
      <w:proofErr w:type="spellEnd"/>
      <w:r w:rsidR="00FF5102">
        <w:t xml:space="preserve"> </w:t>
      </w:r>
      <w:proofErr w:type="spellStart"/>
      <w:r w:rsidR="00FF5102">
        <w:t>with</w:t>
      </w:r>
      <w:proofErr w:type="spellEnd"/>
      <w:r w:rsidR="00FF5102">
        <w:t xml:space="preserve"> 40% </w:t>
      </w:r>
      <w:proofErr w:type="spellStart"/>
      <w:r w:rsidR="00FF5102">
        <w:t>isocontour</w:t>
      </w:r>
      <w:proofErr w:type="spellEnd"/>
      <w:r w:rsidR="00FF5102">
        <w:t xml:space="preserve"> </w:t>
      </w:r>
      <w:proofErr w:type="spellStart"/>
      <w:r w:rsidR="00FF5102">
        <w:t>were</w:t>
      </w:r>
      <w:proofErr w:type="spellEnd"/>
      <w:r w:rsidR="00FF5102">
        <w:t xml:space="preserve"> </w:t>
      </w:r>
      <w:proofErr w:type="spellStart"/>
      <w:r w:rsidR="00FF5102">
        <w:t>defined</w:t>
      </w:r>
      <w:proofErr w:type="spellEnd"/>
      <w:r w:rsidR="00FF5102">
        <w:t xml:space="preserve"> </w:t>
      </w:r>
      <w:proofErr w:type="spellStart"/>
      <w:r w:rsidR="00FF5102">
        <w:t>by</w:t>
      </w:r>
      <w:proofErr w:type="spellEnd"/>
      <w:r w:rsidR="00FF5102">
        <w:t xml:space="preserve"> </w:t>
      </w:r>
      <w:proofErr w:type="spellStart"/>
      <w:r w:rsidR="00FF5102">
        <w:t>dedicated</w:t>
      </w:r>
      <w:proofErr w:type="spellEnd"/>
      <w:r w:rsidR="00FF5102">
        <w:t xml:space="preserve"> </w:t>
      </w:r>
      <w:proofErr w:type="spellStart"/>
      <w:r w:rsidR="00FF5102">
        <w:t>software</w:t>
      </w:r>
      <w:proofErr w:type="spellEnd"/>
      <w:r w:rsidR="00FF5102">
        <w:t xml:space="preserve"> </w:t>
      </w:r>
      <w:proofErr w:type="spellStart"/>
      <w:r w:rsidR="00FF5102">
        <w:t>packages</w:t>
      </w:r>
      <w:proofErr w:type="spellEnd"/>
      <w:r w:rsidR="00FF5102">
        <w:t xml:space="preserve"> (</w:t>
      </w:r>
      <w:proofErr w:type="spellStart"/>
      <w:r w:rsidR="00FF5102">
        <w:t>Syngo.via</w:t>
      </w:r>
      <w:proofErr w:type="spellEnd"/>
      <w:r w:rsidR="00FF5102">
        <w:t xml:space="preserve">, Siemens </w:t>
      </w:r>
      <w:proofErr w:type="spellStart"/>
      <w:r w:rsidR="00FF5102">
        <w:t>Healthineers</w:t>
      </w:r>
      <w:proofErr w:type="spellEnd"/>
      <w:r w:rsidR="00FF5102">
        <w:t xml:space="preserve">, Erlangen and Affinity Viewer, Hermes Medical Solutions, Stockholm, </w:t>
      </w:r>
      <w:proofErr w:type="spellStart"/>
      <w:r w:rsidR="00FF5102">
        <w:t>Sweden</w:t>
      </w:r>
      <w:proofErr w:type="spellEnd"/>
      <w:r w:rsidR="00FF5102">
        <w:t>).</w:t>
      </w:r>
    </w:p>
    <w:p w14:paraId="27A7C833" w14:textId="77777777" w:rsidR="00FF5102" w:rsidRDefault="00FF5102" w:rsidP="00FF5102">
      <w:pPr>
        <w:spacing w:line="480" w:lineRule="auto"/>
        <w:jc w:val="both"/>
      </w:pPr>
    </w:p>
    <w:p w14:paraId="47840327" w14:textId="77777777" w:rsidR="00BE2CBA" w:rsidRDefault="00BE2CBA" w:rsidP="00BE2CBA">
      <w:pPr>
        <w:spacing w:line="480" w:lineRule="auto"/>
        <w:jc w:val="both"/>
        <w:rPr>
          <w:b/>
        </w:rPr>
      </w:pPr>
      <w:r>
        <w:rPr>
          <w:b/>
        </w:rPr>
        <w:t xml:space="preserve">Statistical </w:t>
      </w:r>
      <w:proofErr w:type="spellStart"/>
      <w:r>
        <w:rPr>
          <w:b/>
        </w:rPr>
        <w:t>Analyses</w:t>
      </w:r>
      <w:proofErr w:type="spellEnd"/>
    </w:p>
    <w:p w14:paraId="2E79C3C3" w14:textId="77777777" w:rsidR="00BE2CBA" w:rsidRPr="00BE2CBA" w:rsidRDefault="00BE2CBA" w:rsidP="00BE2CBA">
      <w:pPr>
        <w:spacing w:line="480" w:lineRule="auto"/>
        <w:jc w:val="both"/>
        <w:rPr>
          <w:b/>
          <w:lang w:val="nl-NL"/>
        </w:rPr>
      </w:pPr>
      <w:r>
        <w:t xml:space="preserve">The </w:t>
      </w:r>
      <w:proofErr w:type="spellStart"/>
      <w:r>
        <w:t>data</w:t>
      </w:r>
      <w:proofErr w:type="spellEnd"/>
      <w:r>
        <w:t xml:space="preserve"> </w:t>
      </w:r>
      <w:proofErr w:type="spellStart"/>
      <w:r>
        <w:t>were</w:t>
      </w:r>
      <w:proofErr w:type="spellEnd"/>
      <w:r>
        <w:t xml:space="preserve"> </w:t>
      </w:r>
      <w:proofErr w:type="spellStart"/>
      <w:r>
        <w:t>analyzed</w:t>
      </w:r>
      <w:proofErr w:type="spellEnd"/>
      <w:r>
        <w:t xml:space="preserve"> </w:t>
      </w:r>
      <w:proofErr w:type="spellStart"/>
      <w:r>
        <w:t>using</w:t>
      </w:r>
      <w:proofErr w:type="spellEnd"/>
      <w:r>
        <w:t xml:space="preserve"> </w:t>
      </w:r>
      <w:proofErr w:type="spellStart"/>
      <w:r>
        <w:t>GraphPad</w:t>
      </w:r>
      <w:proofErr w:type="spellEnd"/>
      <w:r>
        <w:t xml:space="preserve"> Prism, </w:t>
      </w:r>
      <w:proofErr w:type="spellStart"/>
      <w:r>
        <w:t>version</w:t>
      </w:r>
      <w:proofErr w:type="spellEnd"/>
      <w:r>
        <w:t xml:space="preserve"> 10 (</w:t>
      </w:r>
      <w:proofErr w:type="spellStart"/>
      <w:r>
        <w:t>GraphPad</w:t>
      </w:r>
      <w:proofErr w:type="spellEnd"/>
      <w:r>
        <w:t xml:space="preserve"> Software, Inc., San Diego, CA, USA). The </w:t>
      </w:r>
      <w:proofErr w:type="spellStart"/>
      <w:r>
        <w:t>values</w:t>
      </w:r>
      <w:proofErr w:type="spellEnd"/>
      <w:r>
        <w:t xml:space="preserve"> </w:t>
      </w:r>
      <w:proofErr w:type="spellStart"/>
      <w:r>
        <w:t>are</w:t>
      </w:r>
      <w:proofErr w:type="spellEnd"/>
      <w:r>
        <w:t xml:space="preserve"> </w:t>
      </w:r>
      <w:proofErr w:type="spellStart"/>
      <w:r>
        <w:t>expressed</w:t>
      </w:r>
      <w:proofErr w:type="spellEnd"/>
      <w:r>
        <w:t xml:space="preserve"> </w:t>
      </w:r>
      <w:proofErr w:type="spellStart"/>
      <w:r>
        <w:t>as</w:t>
      </w:r>
      <w:proofErr w:type="spellEnd"/>
      <w:r>
        <w:t xml:space="preserve"> </w:t>
      </w:r>
      <w:proofErr w:type="spellStart"/>
      <w:r>
        <w:t>the</w:t>
      </w:r>
      <w:proofErr w:type="spellEnd"/>
      <w:r>
        <w:t xml:space="preserve"> </w:t>
      </w:r>
      <w:proofErr w:type="spellStart"/>
      <w:r>
        <w:t>arithmetic</w:t>
      </w:r>
      <w:proofErr w:type="spellEnd"/>
      <w:r>
        <w:t xml:space="preserve"> </w:t>
      </w:r>
      <w:proofErr w:type="spellStart"/>
      <w:r>
        <w:t>means</w:t>
      </w:r>
      <w:proofErr w:type="spellEnd"/>
      <w:r>
        <w:t xml:space="preserve"> ± </w:t>
      </w:r>
      <w:proofErr w:type="spellStart"/>
      <w:r>
        <w:t>standard</w:t>
      </w:r>
      <w:proofErr w:type="spellEnd"/>
      <w:r>
        <w:t xml:space="preserve"> </w:t>
      </w:r>
      <w:proofErr w:type="spellStart"/>
      <w:r>
        <w:t>deviations</w:t>
      </w:r>
      <w:proofErr w:type="spellEnd"/>
      <w:r>
        <w:t xml:space="preserve"> (SD) </w:t>
      </w:r>
      <w:proofErr w:type="spellStart"/>
      <w:r>
        <w:t>unless</w:t>
      </w:r>
      <w:proofErr w:type="spellEnd"/>
      <w:r>
        <w:t xml:space="preserve"> </w:t>
      </w:r>
      <w:proofErr w:type="spellStart"/>
      <w:r>
        <w:t>otherwise</w:t>
      </w:r>
      <w:proofErr w:type="spellEnd"/>
      <w:r>
        <w:t xml:space="preserve"> </w:t>
      </w:r>
      <w:proofErr w:type="spellStart"/>
      <w:r>
        <w:t>indicated</w:t>
      </w:r>
      <w:proofErr w:type="spellEnd"/>
      <w:r>
        <w:t xml:space="preserve">. </w:t>
      </w:r>
      <w:proofErr w:type="spellStart"/>
      <w:r>
        <w:t>For</w:t>
      </w:r>
      <w:proofErr w:type="spellEnd"/>
      <w:r>
        <w:t xml:space="preserve"> </w:t>
      </w:r>
      <w:proofErr w:type="spellStart"/>
      <w:r>
        <w:t>statistical</w:t>
      </w:r>
      <w:proofErr w:type="spellEnd"/>
      <w:r>
        <w:t xml:space="preserve"> </w:t>
      </w:r>
      <w:proofErr w:type="spellStart"/>
      <w:r>
        <w:t>analyses</w:t>
      </w:r>
      <w:proofErr w:type="spellEnd"/>
      <w:r>
        <w:t xml:space="preserve">, </w:t>
      </w:r>
      <w:proofErr w:type="spellStart"/>
      <w:r>
        <w:t>unpaired</w:t>
      </w:r>
      <w:proofErr w:type="spellEnd"/>
      <w:r>
        <w:t xml:space="preserve"> t </w:t>
      </w:r>
      <w:proofErr w:type="spellStart"/>
      <w:r>
        <w:t>tests</w:t>
      </w:r>
      <w:proofErr w:type="spellEnd"/>
      <w:r>
        <w:t xml:space="preserve"> </w:t>
      </w:r>
      <w:proofErr w:type="spellStart"/>
      <w:r>
        <w:t>were</w:t>
      </w:r>
      <w:proofErr w:type="spellEnd"/>
      <w:r>
        <w:t xml:space="preserve"> </w:t>
      </w:r>
      <w:proofErr w:type="spellStart"/>
      <w:r>
        <w:t>applied</w:t>
      </w:r>
      <w:proofErr w:type="spellEnd"/>
      <w:r>
        <w:t xml:space="preserve">. </w:t>
      </w:r>
      <w:r w:rsidRPr="00BE2CBA">
        <w:rPr>
          <w:lang w:val="nl-NL"/>
        </w:rPr>
        <w:t>Binding curves were analyzed using a one-site nonlinear regression model. A value of p &lt; 0.05 was considered to indicate statistical significance and is marked as * for p &lt; 0.05, ** for p &lt; 0.01, *** for p &lt; 0.001, and **** for p &lt; 0.0001.</w:t>
      </w:r>
    </w:p>
    <w:p w14:paraId="12540D9B" w14:textId="77777777" w:rsidR="001621F8" w:rsidRDefault="001621F8" w:rsidP="004A1D6D">
      <w:pPr>
        <w:spacing w:line="480" w:lineRule="auto"/>
        <w:jc w:val="both"/>
        <w:rPr>
          <w:color w:val="262626"/>
          <w:lang w:val="en-US"/>
        </w:rPr>
      </w:pPr>
    </w:p>
    <w:p w14:paraId="416E64F2" w14:textId="77777777" w:rsidR="004A1D6D" w:rsidRDefault="004A1D6D" w:rsidP="004A1D6D">
      <w:pPr>
        <w:spacing w:line="480" w:lineRule="auto"/>
        <w:jc w:val="both"/>
        <w:rPr>
          <w:color w:val="262626"/>
          <w:lang w:val="en-US"/>
        </w:rPr>
      </w:pPr>
    </w:p>
    <w:p w14:paraId="06F6BDE1" w14:textId="3BFB2A5A" w:rsidR="004A1D6D" w:rsidRPr="004A1D6D" w:rsidRDefault="004A1D6D" w:rsidP="004A1D6D">
      <w:pPr>
        <w:spacing w:line="480" w:lineRule="auto"/>
        <w:jc w:val="both"/>
        <w:rPr>
          <w:b/>
          <w:bCs/>
          <w:color w:val="262626"/>
          <w:sz w:val="24"/>
          <w:szCs w:val="24"/>
          <w:lang w:val="en-US"/>
        </w:rPr>
      </w:pPr>
      <w:r w:rsidRPr="004A1D6D">
        <w:rPr>
          <w:b/>
          <w:bCs/>
          <w:color w:val="262626"/>
          <w:sz w:val="24"/>
          <w:szCs w:val="24"/>
          <w:lang w:val="en-US"/>
        </w:rPr>
        <w:t>REFERENCES</w:t>
      </w:r>
    </w:p>
    <w:p w14:paraId="388362F4" w14:textId="77777777" w:rsidR="000A438C" w:rsidRPr="000A438C" w:rsidRDefault="004A1D6D" w:rsidP="000A438C">
      <w:pPr>
        <w:pStyle w:val="EndNoteBibliography"/>
      </w:pPr>
      <w:r>
        <w:rPr>
          <w:b/>
          <w:color w:val="FF0000"/>
          <w:sz w:val="28"/>
          <w:lang w:val="en-US"/>
        </w:rPr>
        <w:fldChar w:fldCharType="begin"/>
      </w:r>
      <w:r>
        <w:rPr>
          <w:b/>
          <w:color w:val="FF0000"/>
          <w:sz w:val="28"/>
          <w:lang w:val="en-US"/>
        </w:rPr>
        <w:instrText xml:space="preserve"> ADDIN EN.REFLIST </w:instrText>
      </w:r>
      <w:r>
        <w:rPr>
          <w:b/>
          <w:color w:val="FF0000"/>
          <w:sz w:val="28"/>
          <w:lang w:val="en-US"/>
        </w:rPr>
        <w:fldChar w:fldCharType="separate"/>
      </w:r>
      <w:bookmarkStart w:id="2" w:name="_ENREF_1"/>
      <w:r w:rsidR="000A438C" w:rsidRPr="000A438C">
        <w:t>1.</w:t>
      </w:r>
      <w:r w:rsidR="000A438C" w:rsidRPr="000A438C">
        <w:tab/>
        <w:t>Cooper MS, Sabbah E, Mather SJ. Conjugation of chelating agents to proteins and radiolabeling with trivalent metallic isotopes. Nature protocols. 2006;1(1):314-7.</w:t>
      </w:r>
      <w:bookmarkEnd w:id="2"/>
    </w:p>
    <w:p w14:paraId="6FEDD730" w14:textId="77777777" w:rsidR="000A438C" w:rsidRPr="000A438C" w:rsidRDefault="000A438C" w:rsidP="000A438C">
      <w:pPr>
        <w:pStyle w:val="EndNoteBibliography"/>
      </w:pPr>
      <w:bookmarkStart w:id="3" w:name="_ENREF_2"/>
      <w:r w:rsidRPr="000A438C">
        <w:t>2.</w:t>
      </w:r>
      <w:r w:rsidRPr="000A438C">
        <w:tab/>
        <w:t>Wehrl HF, Hossain M, Lankes K, Liu C-C, Bezrukov I, Martirosian P, et al. Simultaneous PET-MRI reveals brain function in activated and resting state on metabolic, hemodynamic and multiple temporal scales. Nature medicine. 2013;19(9):1184-9.</w:t>
      </w:r>
      <w:bookmarkEnd w:id="3"/>
    </w:p>
    <w:p w14:paraId="4A461256" w14:textId="77777777" w:rsidR="000A438C" w:rsidRPr="000A438C" w:rsidRDefault="000A438C" w:rsidP="000A438C">
      <w:pPr>
        <w:pStyle w:val="EndNoteBibliography"/>
      </w:pPr>
      <w:bookmarkStart w:id="4" w:name="_ENREF_3"/>
      <w:r w:rsidRPr="000A438C">
        <w:t>3.</w:t>
      </w:r>
      <w:r w:rsidRPr="000A438C">
        <w:tab/>
        <w:t>Seitz CM, Schroeder S, Knopf P, Krahl A-C, Hau J, Schleicher S, et al. GD2-targeted chimeric antigen receptor T cells prevent metastasis formation by elimination of breast cancer stem-like cells. Oncoimmunology. 2020;9(1):1683345.</w:t>
      </w:r>
      <w:bookmarkEnd w:id="4"/>
    </w:p>
    <w:p w14:paraId="2895A7D5" w14:textId="77777777" w:rsidR="000A438C" w:rsidRPr="000A438C" w:rsidRDefault="000A438C" w:rsidP="000A438C">
      <w:pPr>
        <w:pStyle w:val="EndNoteBibliography"/>
      </w:pPr>
      <w:bookmarkStart w:id="5" w:name="_ENREF_4"/>
      <w:r w:rsidRPr="000A438C">
        <w:t>4.</w:t>
      </w:r>
      <w:r w:rsidRPr="000A438C">
        <w:tab/>
        <w:t xml:space="preserve">Seitz CM, Mittelstaet J, Atar D, Hau J, Reiter S, Illi C, et al. </w:t>
      </w:r>
      <w:r w:rsidRPr="00AE18DB">
        <w:rPr>
          <w:lang w:val="nl-NL"/>
        </w:rPr>
        <w:t xml:space="preserve">Novel adapter CAR-T cell technology for precisely controllable multiplex cancer targeting. </w:t>
      </w:r>
      <w:r w:rsidRPr="000A438C">
        <w:t>Oncoimmunology. 2021;10(1):2003532.</w:t>
      </w:r>
      <w:bookmarkEnd w:id="5"/>
    </w:p>
    <w:p w14:paraId="3360D823" w14:textId="77777777" w:rsidR="000A438C" w:rsidRPr="000A438C" w:rsidRDefault="000A438C" w:rsidP="000A438C">
      <w:pPr>
        <w:pStyle w:val="EndNoteBibliography"/>
      </w:pPr>
      <w:bookmarkStart w:id="6" w:name="_ENREF_5"/>
      <w:r w:rsidRPr="000A438C">
        <w:t>5.</w:t>
      </w:r>
      <w:r w:rsidRPr="000A438C">
        <w:tab/>
        <w:t>Hofmann M, Bezrukov I, Mantlik F, Aschoff P, Steinke F, Beyer T, et al. MRI-based attenuation correction for whole-body PET/MRI: quantitative evaluation of segmentation- and atlas-based methods. Journal of nuclear medicine : official publication, Society of Nuclear Medicine. 2011;52(9):1392-9.</w:t>
      </w:r>
      <w:bookmarkEnd w:id="6"/>
    </w:p>
    <w:p w14:paraId="4E58F084" w14:textId="116D9103" w:rsidR="00C21491" w:rsidRDefault="004A1D6D" w:rsidP="00177FDC">
      <w:pPr>
        <w:pStyle w:val="EndNoteBibliography"/>
        <w:spacing w:line="480" w:lineRule="auto"/>
        <w:rPr>
          <w:b/>
          <w:color w:val="FF0000"/>
          <w:sz w:val="28"/>
          <w:lang w:val="en-US"/>
        </w:rPr>
      </w:pPr>
      <w:r>
        <w:rPr>
          <w:b/>
          <w:color w:val="FF0000"/>
          <w:sz w:val="28"/>
          <w:lang w:val="en-US"/>
        </w:rPr>
        <w:fldChar w:fldCharType="end"/>
      </w:r>
    </w:p>
    <w:sectPr w:rsidR="00C21491">
      <w:headerReference w:type="default" r:id="rId10"/>
      <w:footerReference w:type="default" r:id="rId11"/>
      <w:pgSz w:w="11909" w:h="16834"/>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24E81" w14:textId="77777777" w:rsidR="005A3BAB" w:rsidRDefault="005A3BAB">
      <w:r>
        <w:separator/>
      </w:r>
    </w:p>
  </w:endnote>
  <w:endnote w:type="continuationSeparator" w:id="0">
    <w:p w14:paraId="0BE4D099" w14:textId="77777777" w:rsidR="005A3BAB" w:rsidRDefault="005A3BAB">
      <w:r>
        <w:continuationSeparator/>
      </w:r>
    </w:p>
  </w:endnote>
  <w:endnote w:type="continuationNotice" w:id="1">
    <w:p w14:paraId="35DE7575" w14:textId="77777777" w:rsidR="005A3BAB" w:rsidRDefault="005A3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982789"/>
      <w:docPartObj>
        <w:docPartGallery w:val="Page Numbers (Bottom of Page)"/>
        <w:docPartUnique/>
      </w:docPartObj>
    </w:sdtPr>
    <w:sdtContent>
      <w:p w14:paraId="3BB28CA0" w14:textId="77777777" w:rsidR="00EF42BC" w:rsidRDefault="00C55D56">
        <w:pPr>
          <w:pStyle w:val="Fuzeile"/>
          <w:jc w:val="center"/>
        </w:pPr>
        <w:r>
          <w:fldChar w:fldCharType="begin"/>
        </w:r>
        <w:r>
          <w:instrText>PAGE   \* MERGEFORMAT</w:instrText>
        </w:r>
        <w:r>
          <w:fldChar w:fldCharType="separate"/>
        </w:r>
        <w:r>
          <w:rPr>
            <w:noProof/>
          </w:rPr>
          <w:t>1</w:t>
        </w:r>
        <w:r>
          <w:fldChar w:fldCharType="end"/>
        </w:r>
      </w:p>
    </w:sdtContent>
  </w:sdt>
  <w:p w14:paraId="4BC9B429" w14:textId="77777777" w:rsidR="00EF42BC" w:rsidRDefault="00EF42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6F246" w14:textId="77777777" w:rsidR="005A3BAB" w:rsidRDefault="005A3BAB">
      <w:r>
        <w:separator/>
      </w:r>
    </w:p>
  </w:footnote>
  <w:footnote w:type="continuationSeparator" w:id="0">
    <w:p w14:paraId="6E39EB18" w14:textId="77777777" w:rsidR="005A3BAB" w:rsidRDefault="005A3BAB">
      <w:r>
        <w:continuationSeparator/>
      </w:r>
    </w:p>
  </w:footnote>
  <w:footnote w:type="continuationNotice" w:id="1">
    <w:p w14:paraId="08F0F3CC" w14:textId="77777777" w:rsidR="005A3BAB" w:rsidRDefault="005A3B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EF42BC" w14:paraId="7C1DE0A8" w14:textId="77777777">
      <w:tc>
        <w:tcPr>
          <w:tcW w:w="3005" w:type="dxa"/>
        </w:tcPr>
        <w:p w14:paraId="757E2EA4" w14:textId="77777777" w:rsidR="00EF42BC" w:rsidRDefault="00EF42BC">
          <w:pPr>
            <w:pStyle w:val="Kopfzeile"/>
            <w:ind w:left="-115"/>
          </w:pPr>
        </w:p>
      </w:tc>
      <w:tc>
        <w:tcPr>
          <w:tcW w:w="3005" w:type="dxa"/>
        </w:tcPr>
        <w:p w14:paraId="04D03148" w14:textId="77777777" w:rsidR="00EF42BC" w:rsidRDefault="00EF42BC">
          <w:pPr>
            <w:pStyle w:val="Kopfzeile"/>
            <w:jc w:val="center"/>
          </w:pPr>
        </w:p>
      </w:tc>
      <w:tc>
        <w:tcPr>
          <w:tcW w:w="3005" w:type="dxa"/>
        </w:tcPr>
        <w:p w14:paraId="41FF599E" w14:textId="77777777" w:rsidR="00EF42BC" w:rsidRDefault="00EF42BC">
          <w:pPr>
            <w:pStyle w:val="Kopfzeile"/>
            <w:ind w:right="-115"/>
            <w:jc w:val="right"/>
          </w:pPr>
        </w:p>
      </w:tc>
    </w:tr>
  </w:tbl>
  <w:p w14:paraId="21407A34" w14:textId="77777777" w:rsidR="00EF42BC" w:rsidRDefault="00EF42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B5D82"/>
    <w:multiLevelType w:val="hybridMultilevel"/>
    <w:tmpl w:val="7EC857EA"/>
    <w:lvl w:ilvl="0" w:tplc="F1C49D5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59C598B"/>
    <w:multiLevelType w:val="multilevel"/>
    <w:tmpl w:val="DD7C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D656D2"/>
    <w:multiLevelType w:val="hybridMultilevel"/>
    <w:tmpl w:val="EE3C3C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CF83EAB"/>
    <w:multiLevelType w:val="hybridMultilevel"/>
    <w:tmpl w:val="315A96E8"/>
    <w:lvl w:ilvl="0" w:tplc="F1C49D5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21701C2"/>
    <w:multiLevelType w:val="hybridMultilevel"/>
    <w:tmpl w:val="F0CA18A0"/>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6034C3"/>
    <w:multiLevelType w:val="multilevel"/>
    <w:tmpl w:val="B722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782B91"/>
    <w:multiLevelType w:val="hybridMultilevel"/>
    <w:tmpl w:val="166446A8"/>
    <w:lvl w:ilvl="0" w:tplc="F1C49D5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AC562B7"/>
    <w:multiLevelType w:val="multilevel"/>
    <w:tmpl w:val="98E0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C2E17"/>
    <w:multiLevelType w:val="hybridMultilevel"/>
    <w:tmpl w:val="4B1AA08A"/>
    <w:lvl w:ilvl="0" w:tplc="F1C49D5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6F44095"/>
    <w:multiLevelType w:val="multilevel"/>
    <w:tmpl w:val="94AA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111315">
    <w:abstractNumId w:val="1"/>
  </w:num>
  <w:num w:numId="2" w16cid:durableId="611936195">
    <w:abstractNumId w:val="1"/>
  </w:num>
  <w:num w:numId="3" w16cid:durableId="2066564957">
    <w:abstractNumId w:val="7"/>
  </w:num>
  <w:num w:numId="4" w16cid:durableId="259681946">
    <w:abstractNumId w:val="5"/>
  </w:num>
  <w:num w:numId="5" w16cid:durableId="1954939312">
    <w:abstractNumId w:val="9"/>
  </w:num>
  <w:num w:numId="6" w16cid:durableId="948777161">
    <w:abstractNumId w:val="3"/>
  </w:num>
  <w:num w:numId="7" w16cid:durableId="1965770262">
    <w:abstractNumId w:val="8"/>
  </w:num>
  <w:num w:numId="8" w16cid:durableId="1614089645">
    <w:abstractNumId w:val="0"/>
  </w:num>
  <w:num w:numId="9" w16cid:durableId="1750271546">
    <w:abstractNumId w:val="6"/>
  </w:num>
  <w:num w:numId="10" w16cid:durableId="1539272365">
    <w:abstractNumId w:val="2"/>
  </w:num>
  <w:num w:numId="11" w16cid:durableId="1450272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7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Libraries&gt;"/>
  </w:docVars>
  <w:rsids>
    <w:rsidRoot w:val="00EF42BC"/>
    <w:rsid w:val="00020B4F"/>
    <w:rsid w:val="00043BD2"/>
    <w:rsid w:val="000469AC"/>
    <w:rsid w:val="00064AFC"/>
    <w:rsid w:val="00085A72"/>
    <w:rsid w:val="00095809"/>
    <w:rsid w:val="000A438C"/>
    <w:rsid w:val="000B34A5"/>
    <w:rsid w:val="000C6C0F"/>
    <w:rsid w:val="000F7851"/>
    <w:rsid w:val="001045E4"/>
    <w:rsid w:val="00136596"/>
    <w:rsid w:val="001621F8"/>
    <w:rsid w:val="00167DFF"/>
    <w:rsid w:val="00177FDC"/>
    <w:rsid w:val="00181971"/>
    <w:rsid w:val="00187689"/>
    <w:rsid w:val="0019344F"/>
    <w:rsid w:val="001D0940"/>
    <w:rsid w:val="001F477A"/>
    <w:rsid w:val="001F5E29"/>
    <w:rsid w:val="002062CD"/>
    <w:rsid w:val="002352BB"/>
    <w:rsid w:val="002706DA"/>
    <w:rsid w:val="002C65D7"/>
    <w:rsid w:val="002D26AA"/>
    <w:rsid w:val="002D7664"/>
    <w:rsid w:val="002E0CA9"/>
    <w:rsid w:val="00321AEC"/>
    <w:rsid w:val="00326CA9"/>
    <w:rsid w:val="0033566A"/>
    <w:rsid w:val="00363032"/>
    <w:rsid w:val="003A15AC"/>
    <w:rsid w:val="003D5181"/>
    <w:rsid w:val="00425EC7"/>
    <w:rsid w:val="004371F0"/>
    <w:rsid w:val="00437561"/>
    <w:rsid w:val="00437610"/>
    <w:rsid w:val="00453827"/>
    <w:rsid w:val="00455F82"/>
    <w:rsid w:val="00460289"/>
    <w:rsid w:val="00487BF7"/>
    <w:rsid w:val="004950FA"/>
    <w:rsid w:val="004A1D6D"/>
    <w:rsid w:val="004A3279"/>
    <w:rsid w:val="004B3EF0"/>
    <w:rsid w:val="004B4D2B"/>
    <w:rsid w:val="004E307E"/>
    <w:rsid w:val="004E5BF3"/>
    <w:rsid w:val="004F7991"/>
    <w:rsid w:val="00527E8A"/>
    <w:rsid w:val="00561D07"/>
    <w:rsid w:val="00567CF1"/>
    <w:rsid w:val="00574A12"/>
    <w:rsid w:val="00580165"/>
    <w:rsid w:val="005A0F21"/>
    <w:rsid w:val="005A3BAB"/>
    <w:rsid w:val="006D51AE"/>
    <w:rsid w:val="007056BD"/>
    <w:rsid w:val="0073262C"/>
    <w:rsid w:val="00797286"/>
    <w:rsid w:val="007A04AD"/>
    <w:rsid w:val="007D3AAA"/>
    <w:rsid w:val="007D6963"/>
    <w:rsid w:val="007D7EBA"/>
    <w:rsid w:val="00830C82"/>
    <w:rsid w:val="008817F0"/>
    <w:rsid w:val="00895D6D"/>
    <w:rsid w:val="008A0135"/>
    <w:rsid w:val="008F2BB7"/>
    <w:rsid w:val="008F7AE7"/>
    <w:rsid w:val="009156F7"/>
    <w:rsid w:val="00927EAD"/>
    <w:rsid w:val="009317C5"/>
    <w:rsid w:val="009E197B"/>
    <w:rsid w:val="00A56BF9"/>
    <w:rsid w:val="00A72126"/>
    <w:rsid w:val="00AE18DB"/>
    <w:rsid w:val="00B93038"/>
    <w:rsid w:val="00BE2CBA"/>
    <w:rsid w:val="00BE57B2"/>
    <w:rsid w:val="00C21491"/>
    <w:rsid w:val="00C55D56"/>
    <w:rsid w:val="00C66C3F"/>
    <w:rsid w:val="00CA5C46"/>
    <w:rsid w:val="00CB7559"/>
    <w:rsid w:val="00CF3B9D"/>
    <w:rsid w:val="00D31BF2"/>
    <w:rsid w:val="00D356F7"/>
    <w:rsid w:val="00D4772D"/>
    <w:rsid w:val="00D73AB2"/>
    <w:rsid w:val="00D900FA"/>
    <w:rsid w:val="00DA7545"/>
    <w:rsid w:val="00DC2DED"/>
    <w:rsid w:val="00DE5E00"/>
    <w:rsid w:val="00DE7333"/>
    <w:rsid w:val="00E214AD"/>
    <w:rsid w:val="00E32047"/>
    <w:rsid w:val="00E37A58"/>
    <w:rsid w:val="00E475AF"/>
    <w:rsid w:val="00E80792"/>
    <w:rsid w:val="00E91B1E"/>
    <w:rsid w:val="00EB1185"/>
    <w:rsid w:val="00EB5F6E"/>
    <w:rsid w:val="00EE093A"/>
    <w:rsid w:val="00EF42BC"/>
    <w:rsid w:val="00F13D96"/>
    <w:rsid w:val="00F21644"/>
    <w:rsid w:val="00F37EC1"/>
    <w:rsid w:val="00F54440"/>
    <w:rsid w:val="00F6746C"/>
    <w:rsid w:val="00FA5079"/>
    <w:rsid w:val="00FC3B01"/>
    <w:rsid w:val="00FD6BDE"/>
    <w:rsid w:val="00FF510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7647E"/>
  <w15:docId w15:val="{0FF428C4-D085-4DDF-9851-DFA5BEFF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sid w:val="00CB7559"/>
    <w:rPr>
      <w:color w:val="FF0000"/>
      <w:u w:val="non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Hervorhebung">
    <w:name w:val="Emphasis"/>
    <w:basedOn w:val="Absatz-Standardschriftart"/>
    <w:uiPriority w:val="20"/>
    <w:qFormat/>
    <w:rPr>
      <w:i/>
      <w:iCs/>
    </w:rPr>
  </w:style>
  <w:style w:type="paragraph" w:styleId="Sprechblasentext">
    <w:name w:val="Balloon Text"/>
    <w:basedOn w:val="Standard"/>
    <w:link w:val="SprechblasentextZchn"/>
    <w:uiPriority w:val="99"/>
    <w:semiHidden/>
    <w:unhideWhenUsed/>
    <w:rPr>
      <w:rFonts w:ascii="Tahoma" w:hAnsi="Tahoma" w:cs="Tahoma"/>
      <w:sz w:val="16"/>
      <w:szCs w:val="18"/>
      <w:lang w:val="en-US"/>
    </w:rPr>
  </w:style>
  <w:style w:type="character" w:customStyle="1" w:styleId="SprechblasentextZchn">
    <w:name w:val="Sprechblasentext Zchn"/>
    <w:basedOn w:val="Absatz-Standardschriftart"/>
    <w:link w:val="Sprechblasentext"/>
    <w:uiPriority w:val="99"/>
    <w:semiHidden/>
    <w:rPr>
      <w:rFonts w:ascii="Tahoma" w:hAnsi="Tahoma" w:cs="Tahoma"/>
      <w:sz w:val="16"/>
      <w:szCs w:val="18"/>
      <w:lang w:val="en-US"/>
    </w:rPr>
  </w:style>
  <w:style w:type="paragraph" w:customStyle="1" w:styleId="EndNoteBibliographyTitle">
    <w:name w:val="EndNote Bibliography Title"/>
    <w:basedOn w:val="Standard"/>
    <w:link w:val="EndNoteBibliographyTitleZchn"/>
    <w:pPr>
      <w:jc w:val="center"/>
    </w:pPr>
    <w:rPr>
      <w:noProof/>
      <w:lang w:val="de-DE"/>
    </w:rPr>
  </w:style>
  <w:style w:type="character" w:customStyle="1" w:styleId="EndNoteBibliographyTitleZchn">
    <w:name w:val="EndNote Bibliography Title Zchn"/>
    <w:basedOn w:val="Absatz-Standardschriftart"/>
    <w:link w:val="EndNoteBibliographyTitle"/>
    <w:rPr>
      <w:noProof/>
      <w:lang w:val="de-DE"/>
    </w:rPr>
  </w:style>
  <w:style w:type="paragraph" w:customStyle="1" w:styleId="EndNoteBibliography">
    <w:name w:val="EndNote Bibliography"/>
    <w:basedOn w:val="Standard"/>
    <w:link w:val="EndNoteBibliographyZchn"/>
    <w:rPr>
      <w:noProof/>
      <w:lang w:val="de-DE"/>
    </w:rPr>
  </w:style>
  <w:style w:type="character" w:customStyle="1" w:styleId="EndNoteBibliographyZchn">
    <w:name w:val="EndNote Bibliography Zchn"/>
    <w:basedOn w:val="Absatz-Standardschriftart"/>
    <w:link w:val="EndNoteBibliography"/>
    <w:rPr>
      <w:noProof/>
      <w:lang w:val="de-DE"/>
    </w:rPr>
  </w:style>
  <w:style w:type="table" w:customStyle="1" w:styleId="TableNormal1">
    <w:name w:val="Table Normal1"/>
    <w:tblPr>
      <w:tblCellMar>
        <w:top w:w="0" w:type="dxa"/>
        <w:left w:w="0" w:type="dxa"/>
        <w:bottom w:w="0" w:type="dxa"/>
        <w:right w:w="0" w:type="dxa"/>
      </w:tblCellMar>
    </w:tblPr>
  </w:style>
  <w:style w:type="character" w:styleId="BesuchterLink">
    <w:name w:val="FollowedHyperlink"/>
    <w:basedOn w:val="Absatz-Standardschriftart"/>
    <w:uiPriority w:val="99"/>
    <w:semiHidden/>
    <w:unhideWhenUsed/>
    <w:rPr>
      <w:color w:val="800080" w:themeColor="followedHyperlink"/>
      <w:u w:val="single"/>
    </w:rPr>
  </w:style>
  <w:style w:type="paragraph" w:styleId="Kommentartext">
    <w:name w:val="annotation text"/>
    <w:basedOn w:val="Standard"/>
    <w:link w:val="KommentartextZchn"/>
    <w:uiPriority w:val="99"/>
    <w:unhideWhenUsed/>
    <w:rPr>
      <w:rFonts w:ascii="Tahoma" w:hAnsi="Tahoma" w:cs="Tahoma"/>
      <w:sz w:val="16"/>
      <w:szCs w:val="20"/>
      <w:lang w:val="en-US"/>
    </w:rPr>
  </w:style>
  <w:style w:type="character" w:customStyle="1" w:styleId="KommentartextZchn">
    <w:name w:val="Kommentartext Zchn"/>
    <w:basedOn w:val="Absatz-Standardschriftart"/>
    <w:link w:val="Kommentartext"/>
    <w:uiPriority w:val="99"/>
    <w:rPr>
      <w:rFonts w:ascii="Tahoma" w:hAnsi="Tahoma" w:cs="Tahoma"/>
      <w:sz w:val="16"/>
      <w:szCs w:val="20"/>
      <w:lang w:val="en-US"/>
    </w:rPr>
  </w:style>
  <w:style w:type="character" w:styleId="Kommentarzeichen">
    <w:name w:val="annotation reference"/>
    <w:basedOn w:val="Absatz-Standardschriftart"/>
    <w:uiPriority w:val="99"/>
    <w:semiHidden/>
    <w:unhideWhenUsed/>
    <w:rPr>
      <w:sz w:val="16"/>
      <w:szCs w:val="16"/>
    </w:rPr>
  </w:style>
  <w:style w:type="table" w:styleId="Tabellenraster">
    <w:name w:val="Table Grid"/>
    <w:basedOn w:val="NormaleTabelle"/>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chtaufgelsteErwhnung10">
    <w:name w:val="Nicht aufgelöste Erwähnung1"/>
    <w:basedOn w:val="Absatz-Standardschriftart"/>
    <w:uiPriority w:val="99"/>
    <w:semiHidden/>
    <w:unhideWhenUsed/>
    <w:rPr>
      <w:color w:val="605E5C"/>
      <w:shd w:val="clear" w:color="auto" w:fill="E1DFDD"/>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ahoma" w:hAnsi="Tahoma" w:cs="Tahoma"/>
      <w:b/>
      <w:bCs/>
      <w:sz w:val="20"/>
      <w:szCs w:val="20"/>
      <w:lang w:val="en-US"/>
    </w:rPr>
  </w:style>
  <w:style w:type="character" w:customStyle="1" w:styleId="period">
    <w:name w:val="period"/>
    <w:basedOn w:val="Absatz-Standardschriftart"/>
  </w:style>
  <w:style w:type="character" w:customStyle="1" w:styleId="cit">
    <w:name w:val="cit"/>
    <w:basedOn w:val="Absatz-Standardschriftart"/>
  </w:style>
  <w:style w:type="character" w:customStyle="1" w:styleId="citation-doi">
    <w:name w:val="citation-doi"/>
    <w:basedOn w:val="Absatz-Standardschriftart"/>
  </w:style>
  <w:style w:type="character" w:customStyle="1" w:styleId="authors-list-item">
    <w:name w:val="authors-list-item"/>
    <w:basedOn w:val="Absatz-Standardschriftart"/>
  </w:style>
  <w:style w:type="character" w:customStyle="1" w:styleId="author-sup-separator">
    <w:name w:val="author-sup-separator"/>
    <w:basedOn w:val="Absatz-Standardschriftart"/>
  </w:style>
  <w:style w:type="character" w:customStyle="1" w:styleId="comma">
    <w:name w:val="comma"/>
    <w:basedOn w:val="Absatz-Standardschriftart"/>
  </w:style>
  <w:style w:type="paragraph" w:styleId="StandardWeb">
    <w:name w:val="Normal (Web)"/>
    <w:basedOn w:val="Standard"/>
    <w:uiPriority w:val="99"/>
    <w:semiHidden/>
    <w:unhideWhenUsed/>
    <w:pPr>
      <w:spacing w:before="100" w:beforeAutospacing="1" w:after="100" w:afterAutospacing="1"/>
    </w:pPr>
    <w:rPr>
      <w:rFonts w:ascii="Times New Roman" w:eastAsia="Times New Roman" w:hAnsi="Times New Roman" w:cs="Times New Roman"/>
      <w:sz w:val="24"/>
      <w:szCs w:val="24"/>
      <w:lang w:val="de-DE"/>
    </w:rPr>
  </w:style>
  <w:style w:type="paragraph" w:styleId="Listenabsatz">
    <w:name w:val="List Paragraph"/>
    <w:basedOn w:val="Standard"/>
    <w:uiPriority w:val="34"/>
    <w:qFormat/>
    <w:pPr>
      <w:ind w:left="720"/>
      <w:contextualSpacing/>
    </w:pPr>
  </w:style>
  <w:style w:type="paragraph" w:styleId="berarbeitung">
    <w:name w:val="Revision"/>
    <w:hidden/>
    <w:uiPriority w:val="99"/>
    <w:semiHidden/>
  </w:style>
  <w:style w:type="character" w:customStyle="1" w:styleId="code">
    <w:name w:val="code"/>
    <w:basedOn w:val="Absatz-Standardschriftart"/>
  </w:style>
  <w:style w:type="character" w:styleId="Zeilennummer">
    <w:name w:val="line number"/>
    <w:basedOn w:val="Absatz-Standardschriftart"/>
    <w:uiPriority w:val="99"/>
    <w:semiHidden/>
    <w:unhideWhenUsed/>
  </w:style>
  <w:style w:type="character" w:customStyle="1" w:styleId="UnresolvedMention1">
    <w:name w:val="Unresolved Mention1"/>
    <w:basedOn w:val="Absatz-Standardschriftart"/>
    <w:uiPriority w:val="99"/>
    <w:semiHidden/>
    <w:unhideWhenUsed/>
    <w:rPr>
      <w:color w:val="605E5C"/>
      <w:shd w:val="clear" w:color="auto" w:fill="E1DFDD"/>
    </w:rPr>
  </w:style>
  <w:style w:type="paragraph" w:styleId="Endnotentext">
    <w:name w:val="endnote text"/>
    <w:basedOn w:val="Standard"/>
    <w:link w:val="EndnotentextZchn"/>
    <w:uiPriority w:val="99"/>
    <w:semiHidden/>
    <w:unhideWhenUsed/>
    <w:rsid w:val="000F7851"/>
    <w:rPr>
      <w:sz w:val="20"/>
      <w:szCs w:val="20"/>
    </w:rPr>
  </w:style>
  <w:style w:type="character" w:customStyle="1" w:styleId="EndnotentextZchn">
    <w:name w:val="Endnotentext Zchn"/>
    <w:basedOn w:val="Absatz-Standardschriftart"/>
    <w:link w:val="Endnotentext"/>
    <w:uiPriority w:val="99"/>
    <w:semiHidden/>
    <w:rsid w:val="000F7851"/>
    <w:rPr>
      <w:sz w:val="20"/>
      <w:szCs w:val="20"/>
    </w:rPr>
  </w:style>
  <w:style w:type="character" w:styleId="Endnotenzeichen">
    <w:name w:val="endnote reference"/>
    <w:basedOn w:val="Absatz-Standardschriftart"/>
    <w:uiPriority w:val="99"/>
    <w:semiHidden/>
    <w:unhideWhenUsed/>
    <w:rsid w:val="000F7851"/>
    <w:rPr>
      <w:vertAlign w:val="superscript"/>
    </w:rPr>
  </w:style>
  <w:style w:type="character" w:styleId="NichtaufgelsteErwhnung">
    <w:name w:val="Unresolved Mention"/>
    <w:basedOn w:val="Absatz-Standardschriftart"/>
    <w:uiPriority w:val="99"/>
    <w:semiHidden/>
    <w:unhideWhenUsed/>
    <w:rsid w:val="008F7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237618">
      <w:marLeft w:val="0"/>
      <w:marRight w:val="0"/>
      <w:marTop w:val="0"/>
      <w:marBottom w:val="0"/>
      <w:divBdr>
        <w:top w:val="none" w:sz="0" w:space="0" w:color="auto"/>
        <w:left w:val="none" w:sz="0" w:space="0" w:color="auto"/>
        <w:bottom w:val="none" w:sz="0" w:space="0" w:color="auto"/>
        <w:right w:val="none" w:sz="0" w:space="0" w:color="auto"/>
      </w:divBdr>
    </w:div>
    <w:div w:id="229119532">
      <w:bodyDiv w:val="1"/>
      <w:marLeft w:val="0"/>
      <w:marRight w:val="0"/>
      <w:marTop w:val="0"/>
      <w:marBottom w:val="0"/>
      <w:divBdr>
        <w:top w:val="none" w:sz="0" w:space="0" w:color="auto"/>
        <w:left w:val="none" w:sz="0" w:space="0" w:color="auto"/>
        <w:bottom w:val="none" w:sz="0" w:space="0" w:color="auto"/>
        <w:right w:val="none" w:sz="0" w:space="0" w:color="auto"/>
      </w:divBdr>
    </w:div>
    <w:div w:id="303201404">
      <w:bodyDiv w:val="1"/>
      <w:marLeft w:val="0"/>
      <w:marRight w:val="0"/>
      <w:marTop w:val="0"/>
      <w:marBottom w:val="0"/>
      <w:divBdr>
        <w:top w:val="none" w:sz="0" w:space="0" w:color="auto"/>
        <w:left w:val="none" w:sz="0" w:space="0" w:color="auto"/>
        <w:bottom w:val="none" w:sz="0" w:space="0" w:color="auto"/>
        <w:right w:val="none" w:sz="0" w:space="0" w:color="auto"/>
      </w:divBdr>
    </w:div>
    <w:div w:id="310643839">
      <w:bodyDiv w:val="1"/>
      <w:marLeft w:val="0"/>
      <w:marRight w:val="0"/>
      <w:marTop w:val="0"/>
      <w:marBottom w:val="0"/>
      <w:divBdr>
        <w:top w:val="none" w:sz="0" w:space="0" w:color="auto"/>
        <w:left w:val="none" w:sz="0" w:space="0" w:color="auto"/>
        <w:bottom w:val="none" w:sz="0" w:space="0" w:color="auto"/>
        <w:right w:val="none" w:sz="0" w:space="0" w:color="auto"/>
      </w:divBdr>
    </w:div>
    <w:div w:id="323365518">
      <w:bodyDiv w:val="1"/>
      <w:marLeft w:val="0"/>
      <w:marRight w:val="0"/>
      <w:marTop w:val="0"/>
      <w:marBottom w:val="0"/>
      <w:divBdr>
        <w:top w:val="none" w:sz="0" w:space="0" w:color="auto"/>
        <w:left w:val="none" w:sz="0" w:space="0" w:color="auto"/>
        <w:bottom w:val="none" w:sz="0" w:space="0" w:color="auto"/>
        <w:right w:val="none" w:sz="0" w:space="0" w:color="auto"/>
      </w:divBdr>
    </w:div>
    <w:div w:id="348407908">
      <w:bodyDiv w:val="1"/>
      <w:marLeft w:val="0"/>
      <w:marRight w:val="0"/>
      <w:marTop w:val="0"/>
      <w:marBottom w:val="0"/>
      <w:divBdr>
        <w:top w:val="none" w:sz="0" w:space="0" w:color="auto"/>
        <w:left w:val="none" w:sz="0" w:space="0" w:color="auto"/>
        <w:bottom w:val="none" w:sz="0" w:space="0" w:color="auto"/>
        <w:right w:val="none" w:sz="0" w:space="0" w:color="auto"/>
      </w:divBdr>
    </w:div>
    <w:div w:id="429395474">
      <w:bodyDiv w:val="1"/>
      <w:marLeft w:val="0"/>
      <w:marRight w:val="0"/>
      <w:marTop w:val="0"/>
      <w:marBottom w:val="0"/>
      <w:divBdr>
        <w:top w:val="none" w:sz="0" w:space="0" w:color="auto"/>
        <w:left w:val="none" w:sz="0" w:space="0" w:color="auto"/>
        <w:bottom w:val="none" w:sz="0" w:space="0" w:color="auto"/>
        <w:right w:val="none" w:sz="0" w:space="0" w:color="auto"/>
      </w:divBdr>
    </w:div>
    <w:div w:id="465901794">
      <w:bodyDiv w:val="1"/>
      <w:marLeft w:val="0"/>
      <w:marRight w:val="0"/>
      <w:marTop w:val="0"/>
      <w:marBottom w:val="0"/>
      <w:divBdr>
        <w:top w:val="none" w:sz="0" w:space="0" w:color="auto"/>
        <w:left w:val="none" w:sz="0" w:space="0" w:color="auto"/>
        <w:bottom w:val="none" w:sz="0" w:space="0" w:color="auto"/>
        <w:right w:val="none" w:sz="0" w:space="0" w:color="auto"/>
      </w:divBdr>
      <w:divsChild>
        <w:div w:id="1497959669">
          <w:marLeft w:val="0"/>
          <w:marRight w:val="0"/>
          <w:marTop w:val="0"/>
          <w:marBottom w:val="0"/>
          <w:divBdr>
            <w:top w:val="none" w:sz="0" w:space="0" w:color="auto"/>
            <w:left w:val="none" w:sz="0" w:space="0" w:color="auto"/>
            <w:bottom w:val="none" w:sz="0" w:space="0" w:color="auto"/>
            <w:right w:val="none" w:sz="0" w:space="0" w:color="auto"/>
          </w:divBdr>
          <w:divsChild>
            <w:div w:id="1800756580">
              <w:marLeft w:val="0"/>
              <w:marRight w:val="0"/>
              <w:marTop w:val="0"/>
              <w:marBottom w:val="0"/>
              <w:divBdr>
                <w:top w:val="none" w:sz="0" w:space="0" w:color="auto"/>
                <w:left w:val="none" w:sz="0" w:space="0" w:color="auto"/>
                <w:bottom w:val="none" w:sz="0" w:space="0" w:color="auto"/>
                <w:right w:val="none" w:sz="0" w:space="0" w:color="auto"/>
              </w:divBdr>
              <w:divsChild>
                <w:div w:id="509150878">
                  <w:marLeft w:val="0"/>
                  <w:marRight w:val="0"/>
                  <w:marTop w:val="400"/>
                  <w:marBottom w:val="400"/>
                  <w:divBdr>
                    <w:top w:val="none" w:sz="0" w:space="0" w:color="auto"/>
                    <w:left w:val="none" w:sz="0" w:space="0" w:color="auto"/>
                    <w:bottom w:val="none" w:sz="0" w:space="0" w:color="auto"/>
                    <w:right w:val="none" w:sz="0" w:space="0" w:color="auto"/>
                  </w:divBdr>
                  <w:divsChild>
                    <w:div w:id="1768885356">
                      <w:marLeft w:val="0"/>
                      <w:marRight w:val="0"/>
                      <w:marTop w:val="400"/>
                      <w:marBottom w:val="400"/>
                      <w:divBdr>
                        <w:top w:val="none" w:sz="0" w:space="0" w:color="auto"/>
                        <w:left w:val="none" w:sz="0" w:space="0" w:color="auto"/>
                        <w:bottom w:val="none" w:sz="0" w:space="0" w:color="auto"/>
                        <w:right w:val="none" w:sz="0" w:space="0" w:color="auto"/>
                      </w:divBdr>
                      <w:divsChild>
                        <w:div w:id="138159158">
                          <w:marLeft w:val="0"/>
                          <w:marRight w:val="0"/>
                          <w:marTop w:val="200"/>
                          <w:marBottom w:val="200"/>
                          <w:divBdr>
                            <w:top w:val="none" w:sz="0" w:space="0" w:color="auto"/>
                            <w:left w:val="none" w:sz="0" w:space="0" w:color="auto"/>
                            <w:bottom w:val="none" w:sz="0" w:space="0" w:color="auto"/>
                            <w:right w:val="none" w:sz="0" w:space="0" w:color="auto"/>
                          </w:divBdr>
                        </w:div>
                        <w:div w:id="4925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175507">
      <w:bodyDiv w:val="1"/>
      <w:marLeft w:val="0"/>
      <w:marRight w:val="0"/>
      <w:marTop w:val="0"/>
      <w:marBottom w:val="0"/>
      <w:divBdr>
        <w:top w:val="none" w:sz="0" w:space="0" w:color="auto"/>
        <w:left w:val="none" w:sz="0" w:space="0" w:color="auto"/>
        <w:bottom w:val="none" w:sz="0" w:space="0" w:color="auto"/>
        <w:right w:val="none" w:sz="0" w:space="0" w:color="auto"/>
      </w:divBdr>
    </w:div>
    <w:div w:id="583883902">
      <w:bodyDiv w:val="1"/>
      <w:marLeft w:val="0"/>
      <w:marRight w:val="0"/>
      <w:marTop w:val="0"/>
      <w:marBottom w:val="0"/>
      <w:divBdr>
        <w:top w:val="none" w:sz="0" w:space="0" w:color="auto"/>
        <w:left w:val="none" w:sz="0" w:space="0" w:color="auto"/>
        <w:bottom w:val="none" w:sz="0" w:space="0" w:color="auto"/>
        <w:right w:val="none" w:sz="0" w:space="0" w:color="auto"/>
      </w:divBdr>
    </w:div>
    <w:div w:id="704015399">
      <w:bodyDiv w:val="1"/>
      <w:marLeft w:val="0"/>
      <w:marRight w:val="0"/>
      <w:marTop w:val="0"/>
      <w:marBottom w:val="0"/>
      <w:divBdr>
        <w:top w:val="none" w:sz="0" w:space="0" w:color="auto"/>
        <w:left w:val="none" w:sz="0" w:space="0" w:color="auto"/>
        <w:bottom w:val="none" w:sz="0" w:space="0" w:color="auto"/>
        <w:right w:val="none" w:sz="0" w:space="0" w:color="auto"/>
      </w:divBdr>
    </w:div>
    <w:div w:id="732968675">
      <w:bodyDiv w:val="1"/>
      <w:marLeft w:val="0"/>
      <w:marRight w:val="0"/>
      <w:marTop w:val="0"/>
      <w:marBottom w:val="0"/>
      <w:divBdr>
        <w:top w:val="none" w:sz="0" w:space="0" w:color="auto"/>
        <w:left w:val="none" w:sz="0" w:space="0" w:color="auto"/>
        <w:bottom w:val="none" w:sz="0" w:space="0" w:color="auto"/>
        <w:right w:val="none" w:sz="0" w:space="0" w:color="auto"/>
      </w:divBdr>
    </w:div>
    <w:div w:id="801922784">
      <w:bodyDiv w:val="1"/>
      <w:marLeft w:val="0"/>
      <w:marRight w:val="0"/>
      <w:marTop w:val="0"/>
      <w:marBottom w:val="0"/>
      <w:divBdr>
        <w:top w:val="none" w:sz="0" w:space="0" w:color="auto"/>
        <w:left w:val="none" w:sz="0" w:space="0" w:color="auto"/>
        <w:bottom w:val="none" w:sz="0" w:space="0" w:color="auto"/>
        <w:right w:val="none" w:sz="0" w:space="0" w:color="auto"/>
      </w:divBdr>
    </w:div>
    <w:div w:id="803698849">
      <w:bodyDiv w:val="1"/>
      <w:marLeft w:val="0"/>
      <w:marRight w:val="0"/>
      <w:marTop w:val="0"/>
      <w:marBottom w:val="0"/>
      <w:divBdr>
        <w:top w:val="none" w:sz="0" w:space="0" w:color="auto"/>
        <w:left w:val="none" w:sz="0" w:space="0" w:color="auto"/>
        <w:bottom w:val="none" w:sz="0" w:space="0" w:color="auto"/>
        <w:right w:val="none" w:sz="0" w:space="0" w:color="auto"/>
      </w:divBdr>
    </w:div>
    <w:div w:id="938028227">
      <w:bodyDiv w:val="1"/>
      <w:marLeft w:val="0"/>
      <w:marRight w:val="0"/>
      <w:marTop w:val="0"/>
      <w:marBottom w:val="0"/>
      <w:divBdr>
        <w:top w:val="none" w:sz="0" w:space="0" w:color="auto"/>
        <w:left w:val="none" w:sz="0" w:space="0" w:color="auto"/>
        <w:bottom w:val="none" w:sz="0" w:space="0" w:color="auto"/>
        <w:right w:val="none" w:sz="0" w:space="0" w:color="auto"/>
      </w:divBdr>
    </w:div>
    <w:div w:id="1064791593">
      <w:bodyDiv w:val="1"/>
      <w:marLeft w:val="0"/>
      <w:marRight w:val="0"/>
      <w:marTop w:val="0"/>
      <w:marBottom w:val="0"/>
      <w:divBdr>
        <w:top w:val="none" w:sz="0" w:space="0" w:color="auto"/>
        <w:left w:val="none" w:sz="0" w:space="0" w:color="auto"/>
        <w:bottom w:val="none" w:sz="0" w:space="0" w:color="auto"/>
        <w:right w:val="none" w:sz="0" w:space="0" w:color="auto"/>
      </w:divBdr>
    </w:div>
    <w:div w:id="1065184375">
      <w:bodyDiv w:val="1"/>
      <w:marLeft w:val="0"/>
      <w:marRight w:val="0"/>
      <w:marTop w:val="0"/>
      <w:marBottom w:val="0"/>
      <w:divBdr>
        <w:top w:val="none" w:sz="0" w:space="0" w:color="auto"/>
        <w:left w:val="none" w:sz="0" w:space="0" w:color="auto"/>
        <w:bottom w:val="none" w:sz="0" w:space="0" w:color="auto"/>
        <w:right w:val="none" w:sz="0" w:space="0" w:color="auto"/>
      </w:divBdr>
    </w:div>
    <w:div w:id="1112212413">
      <w:bodyDiv w:val="1"/>
      <w:marLeft w:val="0"/>
      <w:marRight w:val="0"/>
      <w:marTop w:val="0"/>
      <w:marBottom w:val="0"/>
      <w:divBdr>
        <w:top w:val="none" w:sz="0" w:space="0" w:color="auto"/>
        <w:left w:val="none" w:sz="0" w:space="0" w:color="auto"/>
        <w:bottom w:val="none" w:sz="0" w:space="0" w:color="auto"/>
        <w:right w:val="none" w:sz="0" w:space="0" w:color="auto"/>
      </w:divBdr>
    </w:div>
    <w:div w:id="1199392381">
      <w:bodyDiv w:val="1"/>
      <w:marLeft w:val="0"/>
      <w:marRight w:val="0"/>
      <w:marTop w:val="0"/>
      <w:marBottom w:val="0"/>
      <w:divBdr>
        <w:top w:val="none" w:sz="0" w:space="0" w:color="auto"/>
        <w:left w:val="none" w:sz="0" w:space="0" w:color="auto"/>
        <w:bottom w:val="none" w:sz="0" w:space="0" w:color="auto"/>
        <w:right w:val="none" w:sz="0" w:space="0" w:color="auto"/>
      </w:divBdr>
    </w:div>
    <w:div w:id="1263301634">
      <w:bodyDiv w:val="1"/>
      <w:marLeft w:val="0"/>
      <w:marRight w:val="0"/>
      <w:marTop w:val="0"/>
      <w:marBottom w:val="0"/>
      <w:divBdr>
        <w:top w:val="none" w:sz="0" w:space="0" w:color="auto"/>
        <w:left w:val="none" w:sz="0" w:space="0" w:color="auto"/>
        <w:bottom w:val="none" w:sz="0" w:space="0" w:color="auto"/>
        <w:right w:val="none" w:sz="0" w:space="0" w:color="auto"/>
      </w:divBdr>
    </w:div>
    <w:div w:id="1369724295">
      <w:bodyDiv w:val="1"/>
      <w:marLeft w:val="0"/>
      <w:marRight w:val="0"/>
      <w:marTop w:val="0"/>
      <w:marBottom w:val="0"/>
      <w:divBdr>
        <w:top w:val="none" w:sz="0" w:space="0" w:color="auto"/>
        <w:left w:val="none" w:sz="0" w:space="0" w:color="auto"/>
        <w:bottom w:val="none" w:sz="0" w:space="0" w:color="auto"/>
        <w:right w:val="none" w:sz="0" w:space="0" w:color="auto"/>
      </w:divBdr>
    </w:div>
    <w:div w:id="1435830446">
      <w:bodyDiv w:val="1"/>
      <w:marLeft w:val="0"/>
      <w:marRight w:val="0"/>
      <w:marTop w:val="0"/>
      <w:marBottom w:val="0"/>
      <w:divBdr>
        <w:top w:val="none" w:sz="0" w:space="0" w:color="auto"/>
        <w:left w:val="none" w:sz="0" w:space="0" w:color="auto"/>
        <w:bottom w:val="none" w:sz="0" w:space="0" w:color="auto"/>
        <w:right w:val="none" w:sz="0" w:space="0" w:color="auto"/>
      </w:divBdr>
    </w:div>
    <w:div w:id="1486429189">
      <w:bodyDiv w:val="1"/>
      <w:marLeft w:val="0"/>
      <w:marRight w:val="0"/>
      <w:marTop w:val="0"/>
      <w:marBottom w:val="0"/>
      <w:divBdr>
        <w:top w:val="none" w:sz="0" w:space="0" w:color="auto"/>
        <w:left w:val="none" w:sz="0" w:space="0" w:color="auto"/>
        <w:bottom w:val="none" w:sz="0" w:space="0" w:color="auto"/>
        <w:right w:val="none" w:sz="0" w:space="0" w:color="auto"/>
      </w:divBdr>
    </w:div>
    <w:div w:id="1502355308">
      <w:bodyDiv w:val="1"/>
      <w:marLeft w:val="0"/>
      <w:marRight w:val="0"/>
      <w:marTop w:val="0"/>
      <w:marBottom w:val="0"/>
      <w:divBdr>
        <w:top w:val="none" w:sz="0" w:space="0" w:color="auto"/>
        <w:left w:val="none" w:sz="0" w:space="0" w:color="auto"/>
        <w:bottom w:val="none" w:sz="0" w:space="0" w:color="auto"/>
        <w:right w:val="none" w:sz="0" w:space="0" w:color="auto"/>
      </w:divBdr>
      <w:divsChild>
        <w:div w:id="195317948">
          <w:marLeft w:val="0"/>
          <w:marRight w:val="0"/>
          <w:marTop w:val="0"/>
          <w:marBottom w:val="0"/>
          <w:divBdr>
            <w:top w:val="none" w:sz="0" w:space="0" w:color="auto"/>
            <w:left w:val="none" w:sz="0" w:space="0" w:color="auto"/>
            <w:bottom w:val="none" w:sz="0" w:space="0" w:color="auto"/>
            <w:right w:val="none" w:sz="0" w:space="0" w:color="auto"/>
          </w:divBdr>
          <w:divsChild>
            <w:div w:id="517550289">
              <w:marLeft w:val="0"/>
              <w:marRight w:val="0"/>
              <w:marTop w:val="0"/>
              <w:marBottom w:val="0"/>
              <w:divBdr>
                <w:top w:val="none" w:sz="0" w:space="0" w:color="auto"/>
                <w:left w:val="none" w:sz="0" w:space="0" w:color="auto"/>
                <w:bottom w:val="none" w:sz="0" w:space="0" w:color="auto"/>
                <w:right w:val="none" w:sz="0" w:space="0" w:color="auto"/>
              </w:divBdr>
              <w:divsChild>
                <w:div w:id="1747260982">
                  <w:marLeft w:val="0"/>
                  <w:marRight w:val="0"/>
                  <w:marTop w:val="0"/>
                  <w:marBottom w:val="0"/>
                  <w:divBdr>
                    <w:top w:val="none" w:sz="0" w:space="0" w:color="auto"/>
                    <w:left w:val="none" w:sz="0" w:space="0" w:color="auto"/>
                    <w:bottom w:val="none" w:sz="0" w:space="0" w:color="auto"/>
                    <w:right w:val="none" w:sz="0" w:space="0" w:color="auto"/>
                  </w:divBdr>
                  <w:divsChild>
                    <w:div w:id="649092822">
                      <w:marLeft w:val="0"/>
                      <w:marRight w:val="0"/>
                      <w:marTop w:val="0"/>
                      <w:marBottom w:val="0"/>
                      <w:divBdr>
                        <w:top w:val="none" w:sz="0" w:space="0" w:color="auto"/>
                        <w:left w:val="none" w:sz="0" w:space="0" w:color="auto"/>
                        <w:bottom w:val="none" w:sz="0" w:space="0" w:color="auto"/>
                        <w:right w:val="none" w:sz="0" w:space="0" w:color="auto"/>
                      </w:divBdr>
                      <w:divsChild>
                        <w:div w:id="1055658940">
                          <w:marLeft w:val="0"/>
                          <w:marRight w:val="0"/>
                          <w:marTop w:val="0"/>
                          <w:marBottom w:val="0"/>
                          <w:divBdr>
                            <w:top w:val="none" w:sz="0" w:space="0" w:color="auto"/>
                            <w:left w:val="none" w:sz="0" w:space="0" w:color="auto"/>
                            <w:bottom w:val="none" w:sz="0" w:space="0" w:color="auto"/>
                            <w:right w:val="none" w:sz="0" w:space="0" w:color="auto"/>
                          </w:divBdr>
                          <w:divsChild>
                            <w:div w:id="8665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429215">
              <w:marLeft w:val="0"/>
              <w:marRight w:val="0"/>
              <w:marTop w:val="0"/>
              <w:marBottom w:val="0"/>
              <w:divBdr>
                <w:top w:val="none" w:sz="0" w:space="0" w:color="auto"/>
                <w:left w:val="none" w:sz="0" w:space="0" w:color="auto"/>
                <w:bottom w:val="none" w:sz="0" w:space="0" w:color="auto"/>
                <w:right w:val="none" w:sz="0" w:space="0" w:color="auto"/>
              </w:divBdr>
              <w:divsChild>
                <w:div w:id="583344789">
                  <w:marLeft w:val="0"/>
                  <w:marRight w:val="0"/>
                  <w:marTop w:val="0"/>
                  <w:marBottom w:val="0"/>
                  <w:divBdr>
                    <w:top w:val="none" w:sz="0" w:space="0" w:color="auto"/>
                    <w:left w:val="none" w:sz="0" w:space="0" w:color="auto"/>
                    <w:bottom w:val="none" w:sz="0" w:space="0" w:color="auto"/>
                    <w:right w:val="none" w:sz="0" w:space="0" w:color="auto"/>
                  </w:divBdr>
                  <w:divsChild>
                    <w:div w:id="118786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040754">
          <w:marLeft w:val="0"/>
          <w:marRight w:val="0"/>
          <w:marTop w:val="0"/>
          <w:marBottom w:val="0"/>
          <w:divBdr>
            <w:top w:val="none" w:sz="0" w:space="0" w:color="auto"/>
            <w:left w:val="none" w:sz="0" w:space="0" w:color="auto"/>
            <w:bottom w:val="none" w:sz="0" w:space="0" w:color="auto"/>
            <w:right w:val="none" w:sz="0" w:space="0" w:color="auto"/>
          </w:divBdr>
          <w:divsChild>
            <w:div w:id="99375177">
              <w:marLeft w:val="0"/>
              <w:marRight w:val="0"/>
              <w:marTop w:val="0"/>
              <w:marBottom w:val="0"/>
              <w:divBdr>
                <w:top w:val="none" w:sz="0" w:space="0" w:color="auto"/>
                <w:left w:val="none" w:sz="0" w:space="0" w:color="auto"/>
                <w:bottom w:val="none" w:sz="0" w:space="0" w:color="auto"/>
                <w:right w:val="none" w:sz="0" w:space="0" w:color="auto"/>
              </w:divBdr>
            </w:div>
          </w:divsChild>
        </w:div>
        <w:div w:id="1277057561">
          <w:marLeft w:val="0"/>
          <w:marRight w:val="0"/>
          <w:marTop w:val="0"/>
          <w:marBottom w:val="0"/>
          <w:divBdr>
            <w:top w:val="none" w:sz="0" w:space="0" w:color="auto"/>
            <w:left w:val="none" w:sz="0" w:space="0" w:color="auto"/>
            <w:bottom w:val="none" w:sz="0" w:space="0" w:color="auto"/>
            <w:right w:val="none" w:sz="0" w:space="0" w:color="auto"/>
          </w:divBdr>
          <w:divsChild>
            <w:div w:id="176624550">
              <w:marLeft w:val="0"/>
              <w:marRight w:val="0"/>
              <w:marTop w:val="0"/>
              <w:marBottom w:val="0"/>
              <w:divBdr>
                <w:top w:val="none" w:sz="0" w:space="0" w:color="auto"/>
                <w:left w:val="none" w:sz="0" w:space="0" w:color="auto"/>
                <w:bottom w:val="none" w:sz="0" w:space="0" w:color="auto"/>
                <w:right w:val="none" w:sz="0" w:space="0" w:color="auto"/>
              </w:divBdr>
            </w:div>
            <w:div w:id="1107390679">
              <w:marLeft w:val="0"/>
              <w:marRight w:val="0"/>
              <w:marTop w:val="0"/>
              <w:marBottom w:val="0"/>
              <w:divBdr>
                <w:top w:val="none" w:sz="0" w:space="0" w:color="auto"/>
                <w:left w:val="none" w:sz="0" w:space="0" w:color="auto"/>
                <w:bottom w:val="none" w:sz="0" w:space="0" w:color="auto"/>
                <w:right w:val="none" w:sz="0" w:space="0" w:color="auto"/>
              </w:divBdr>
              <w:divsChild>
                <w:div w:id="398794889">
                  <w:marLeft w:val="0"/>
                  <w:marRight w:val="0"/>
                  <w:marTop w:val="0"/>
                  <w:marBottom w:val="0"/>
                  <w:divBdr>
                    <w:top w:val="none" w:sz="0" w:space="0" w:color="auto"/>
                    <w:left w:val="none" w:sz="0" w:space="0" w:color="auto"/>
                    <w:bottom w:val="none" w:sz="0" w:space="0" w:color="auto"/>
                    <w:right w:val="none" w:sz="0" w:space="0" w:color="auto"/>
                  </w:divBdr>
                  <w:divsChild>
                    <w:div w:id="4799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296891">
          <w:marLeft w:val="0"/>
          <w:marRight w:val="0"/>
          <w:marTop w:val="0"/>
          <w:marBottom w:val="0"/>
          <w:divBdr>
            <w:top w:val="none" w:sz="0" w:space="0" w:color="auto"/>
            <w:left w:val="none" w:sz="0" w:space="0" w:color="auto"/>
            <w:bottom w:val="none" w:sz="0" w:space="0" w:color="auto"/>
            <w:right w:val="none" w:sz="0" w:space="0" w:color="auto"/>
          </w:divBdr>
          <w:divsChild>
            <w:div w:id="137571600">
              <w:marLeft w:val="0"/>
              <w:marRight w:val="0"/>
              <w:marTop w:val="0"/>
              <w:marBottom w:val="0"/>
              <w:divBdr>
                <w:top w:val="none" w:sz="0" w:space="0" w:color="auto"/>
                <w:left w:val="none" w:sz="0" w:space="0" w:color="auto"/>
                <w:bottom w:val="none" w:sz="0" w:space="0" w:color="auto"/>
                <w:right w:val="none" w:sz="0" w:space="0" w:color="auto"/>
              </w:divBdr>
            </w:div>
          </w:divsChild>
        </w:div>
        <w:div w:id="1616643750">
          <w:marLeft w:val="0"/>
          <w:marRight w:val="0"/>
          <w:marTop w:val="0"/>
          <w:marBottom w:val="0"/>
          <w:divBdr>
            <w:top w:val="none" w:sz="0" w:space="0" w:color="auto"/>
            <w:left w:val="none" w:sz="0" w:space="0" w:color="auto"/>
            <w:bottom w:val="none" w:sz="0" w:space="0" w:color="auto"/>
            <w:right w:val="none" w:sz="0" w:space="0" w:color="auto"/>
          </w:divBdr>
        </w:div>
        <w:div w:id="1659454481">
          <w:marLeft w:val="0"/>
          <w:marRight w:val="0"/>
          <w:marTop w:val="0"/>
          <w:marBottom w:val="0"/>
          <w:divBdr>
            <w:top w:val="none" w:sz="0" w:space="0" w:color="auto"/>
            <w:left w:val="none" w:sz="0" w:space="0" w:color="auto"/>
            <w:bottom w:val="none" w:sz="0" w:space="0" w:color="auto"/>
            <w:right w:val="none" w:sz="0" w:space="0" w:color="auto"/>
          </w:divBdr>
          <w:divsChild>
            <w:div w:id="635453450">
              <w:marLeft w:val="0"/>
              <w:marRight w:val="0"/>
              <w:marTop w:val="0"/>
              <w:marBottom w:val="0"/>
              <w:divBdr>
                <w:top w:val="none" w:sz="0" w:space="0" w:color="auto"/>
                <w:left w:val="none" w:sz="0" w:space="0" w:color="auto"/>
                <w:bottom w:val="none" w:sz="0" w:space="0" w:color="auto"/>
                <w:right w:val="none" w:sz="0" w:space="0" w:color="auto"/>
              </w:divBdr>
              <w:divsChild>
                <w:div w:id="33404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2716">
      <w:bodyDiv w:val="1"/>
      <w:marLeft w:val="0"/>
      <w:marRight w:val="0"/>
      <w:marTop w:val="0"/>
      <w:marBottom w:val="0"/>
      <w:divBdr>
        <w:top w:val="none" w:sz="0" w:space="0" w:color="auto"/>
        <w:left w:val="none" w:sz="0" w:space="0" w:color="auto"/>
        <w:bottom w:val="none" w:sz="0" w:space="0" w:color="auto"/>
        <w:right w:val="none" w:sz="0" w:space="0" w:color="auto"/>
      </w:divBdr>
    </w:div>
    <w:div w:id="1634015948">
      <w:bodyDiv w:val="1"/>
      <w:marLeft w:val="0"/>
      <w:marRight w:val="0"/>
      <w:marTop w:val="0"/>
      <w:marBottom w:val="0"/>
      <w:divBdr>
        <w:top w:val="none" w:sz="0" w:space="0" w:color="auto"/>
        <w:left w:val="none" w:sz="0" w:space="0" w:color="auto"/>
        <w:bottom w:val="none" w:sz="0" w:space="0" w:color="auto"/>
        <w:right w:val="none" w:sz="0" w:space="0" w:color="auto"/>
      </w:divBdr>
    </w:div>
    <w:div w:id="1654604977">
      <w:bodyDiv w:val="1"/>
      <w:marLeft w:val="0"/>
      <w:marRight w:val="0"/>
      <w:marTop w:val="0"/>
      <w:marBottom w:val="0"/>
      <w:divBdr>
        <w:top w:val="none" w:sz="0" w:space="0" w:color="auto"/>
        <w:left w:val="none" w:sz="0" w:space="0" w:color="auto"/>
        <w:bottom w:val="none" w:sz="0" w:space="0" w:color="auto"/>
        <w:right w:val="none" w:sz="0" w:space="0" w:color="auto"/>
      </w:divBdr>
    </w:div>
    <w:div w:id="1664818979">
      <w:bodyDiv w:val="1"/>
      <w:marLeft w:val="0"/>
      <w:marRight w:val="0"/>
      <w:marTop w:val="0"/>
      <w:marBottom w:val="0"/>
      <w:divBdr>
        <w:top w:val="none" w:sz="0" w:space="0" w:color="auto"/>
        <w:left w:val="none" w:sz="0" w:space="0" w:color="auto"/>
        <w:bottom w:val="none" w:sz="0" w:space="0" w:color="auto"/>
        <w:right w:val="none" w:sz="0" w:space="0" w:color="auto"/>
      </w:divBdr>
    </w:div>
    <w:div w:id="1826045131">
      <w:bodyDiv w:val="1"/>
      <w:marLeft w:val="0"/>
      <w:marRight w:val="0"/>
      <w:marTop w:val="0"/>
      <w:marBottom w:val="0"/>
      <w:divBdr>
        <w:top w:val="none" w:sz="0" w:space="0" w:color="auto"/>
        <w:left w:val="none" w:sz="0" w:space="0" w:color="auto"/>
        <w:bottom w:val="none" w:sz="0" w:space="0" w:color="auto"/>
        <w:right w:val="none" w:sz="0" w:space="0" w:color="auto"/>
      </w:divBdr>
    </w:div>
    <w:div w:id="1912765025">
      <w:bodyDiv w:val="1"/>
      <w:marLeft w:val="0"/>
      <w:marRight w:val="0"/>
      <w:marTop w:val="0"/>
      <w:marBottom w:val="0"/>
      <w:divBdr>
        <w:top w:val="none" w:sz="0" w:space="0" w:color="auto"/>
        <w:left w:val="none" w:sz="0" w:space="0" w:color="auto"/>
        <w:bottom w:val="none" w:sz="0" w:space="0" w:color="auto"/>
        <w:right w:val="none" w:sz="0" w:space="0" w:color="auto"/>
      </w:divBdr>
    </w:div>
    <w:div w:id="1952391108">
      <w:bodyDiv w:val="1"/>
      <w:marLeft w:val="0"/>
      <w:marRight w:val="0"/>
      <w:marTop w:val="0"/>
      <w:marBottom w:val="0"/>
      <w:divBdr>
        <w:top w:val="none" w:sz="0" w:space="0" w:color="auto"/>
        <w:left w:val="none" w:sz="0" w:space="0" w:color="auto"/>
        <w:bottom w:val="none" w:sz="0" w:space="0" w:color="auto"/>
        <w:right w:val="none" w:sz="0" w:space="0" w:color="auto"/>
      </w:divBdr>
    </w:div>
    <w:div w:id="1961523319">
      <w:bodyDiv w:val="1"/>
      <w:marLeft w:val="0"/>
      <w:marRight w:val="0"/>
      <w:marTop w:val="0"/>
      <w:marBottom w:val="0"/>
      <w:divBdr>
        <w:top w:val="none" w:sz="0" w:space="0" w:color="auto"/>
        <w:left w:val="none" w:sz="0" w:space="0" w:color="auto"/>
        <w:bottom w:val="none" w:sz="0" w:space="0" w:color="auto"/>
        <w:right w:val="none" w:sz="0" w:space="0" w:color="auto"/>
      </w:divBdr>
    </w:div>
    <w:div w:id="2022271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22355-D449-4148-BE13-679B10CA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2057</Words>
  <Characters>12964</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dc:creator>
  <cp:lastModifiedBy>Dominik Sonanini</cp:lastModifiedBy>
  <cp:revision>7</cp:revision>
  <dcterms:created xsi:type="dcterms:W3CDTF">2024-02-08T00:31:00Z</dcterms:created>
  <dcterms:modified xsi:type="dcterms:W3CDTF">2024-04-28T22:01:00Z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minderText">
    <vt:lpwstr>_61V5Q233</vt:lpwstr>
  </property>
</Properties>
</file>