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10F" w:rsidRPr="006B7967" w:rsidRDefault="006B7967" w:rsidP="006B7967">
      <w:pPr>
        <w:spacing w:line="360" w:lineRule="auto"/>
        <w:rPr>
          <w:rFonts w:ascii="Arial" w:hAnsi="Arial" w:cs="Arial"/>
          <w:b/>
          <w:sz w:val="28"/>
          <w:szCs w:val="28"/>
        </w:rPr>
      </w:pPr>
      <w:r w:rsidRPr="006B7967">
        <w:rPr>
          <w:rFonts w:ascii="Arial" w:hAnsi="Arial" w:cs="Arial"/>
          <w:b/>
          <w:sz w:val="28"/>
          <w:szCs w:val="28"/>
        </w:rPr>
        <w:t>Additional information</w:t>
      </w: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Materials and Methods</w:t>
      </w: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Patients and Samples</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This study was conducted in accordance with the ethical principles stated in the Declaration of Helsinki. It was approved by the Institutional Review Board (IRB#: 2010-07-204) of Samsung Medical Center (SMC, Seoul, Korea). Written informed consent to use pathological specimens for research was obtained from all patients before surgery. Clinical data including clinicopathologic features, molecular testing results, and treatment histories were obtained from clinical records (Table S1). Lung tumor tissues and matched lung normal tissues of NSCLC patients (</w:t>
      </w:r>
      <w:r w:rsidRPr="001A3622">
        <w:rPr>
          <w:rFonts w:ascii="Arial" w:hAnsi="Arial" w:cs="Arial"/>
          <w:i/>
          <w:sz w:val="24"/>
          <w:szCs w:val="24"/>
        </w:rPr>
        <w:t>n</w:t>
      </w:r>
      <w:r w:rsidRPr="006B7967">
        <w:rPr>
          <w:rFonts w:ascii="Arial" w:hAnsi="Arial" w:cs="Arial"/>
          <w:sz w:val="24"/>
          <w:szCs w:val="24"/>
        </w:rPr>
        <w:t xml:space="preserve"> = 42, Table S1) who had been diagnosed with lung cancer stage IA to stage IIIA were obtained from SMC. Lung tumor and matched normal specimens of enrolled patients were immediately frozen in liquid nitrogen and stored at −80 °C until use. Lung tumor tissues and matched lung normal tissues were verified by the Department of Laboratory Medicine and Pathology at SMC.</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Xenografted NSG mouse model</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NOD/SCID/IL-2Rγnull (NSG) mice were purchased from the Jackson Laboratory (Bar Harbor, ME, USA) and maintained under specific pathogen-free conditions in accordance with ethical guidelines for the care of these mice at the Bioanalysis Center Animal Facility, GenNBio Inc. (</w:t>
      </w:r>
      <w:r w:rsidR="00E1686D" w:rsidRPr="00E1686D">
        <w:rPr>
          <w:rFonts w:ascii="Arial" w:hAnsi="Arial" w:cs="Arial"/>
          <w:sz w:val="24"/>
          <w:szCs w:val="24"/>
        </w:rPr>
        <w:t>Seongnam</w:t>
      </w:r>
      <w:r w:rsidRPr="006B7967">
        <w:rPr>
          <w:rFonts w:ascii="Arial" w:hAnsi="Arial" w:cs="Arial"/>
          <w:sz w:val="24"/>
          <w:szCs w:val="24"/>
        </w:rPr>
        <w:t>, Korea). All experimental procedures were approved by the Institutional Animal Care and Use Committee (IACUC) of the Bioanalysis Center Animal Facility (IACUC #: 23-10-01). NSG mice at 6–8 weeks old were used to generate xenografted NSG mice. Control (Ctrl) A549 (5 × 10</w:t>
      </w:r>
      <w:r w:rsidRPr="001A3622">
        <w:rPr>
          <w:rFonts w:ascii="Arial" w:hAnsi="Arial" w:cs="Arial"/>
          <w:sz w:val="24"/>
          <w:szCs w:val="24"/>
          <w:vertAlign w:val="superscript"/>
        </w:rPr>
        <w:t>6</w:t>
      </w:r>
      <w:r w:rsidRPr="006B7967">
        <w:rPr>
          <w:rFonts w:ascii="Arial" w:hAnsi="Arial" w:cs="Arial"/>
          <w:sz w:val="24"/>
          <w:szCs w:val="24"/>
        </w:rPr>
        <w:t xml:space="preserve"> cells per mouse, </w:t>
      </w:r>
      <w:r w:rsidRPr="003042C5">
        <w:rPr>
          <w:rFonts w:ascii="Arial" w:hAnsi="Arial" w:cs="Arial"/>
          <w:i/>
          <w:sz w:val="24"/>
          <w:szCs w:val="24"/>
        </w:rPr>
        <w:t>n</w:t>
      </w:r>
      <w:r w:rsidRPr="006B7967">
        <w:rPr>
          <w:rFonts w:ascii="Arial" w:hAnsi="Arial" w:cs="Arial"/>
          <w:sz w:val="24"/>
          <w:szCs w:val="24"/>
        </w:rPr>
        <w:t xml:space="preserve"> = 7) or </w:t>
      </w:r>
      <w:r w:rsidRPr="003042C5">
        <w:rPr>
          <w:rFonts w:ascii="Arial" w:hAnsi="Arial" w:cs="Arial"/>
          <w:i/>
          <w:sz w:val="24"/>
          <w:szCs w:val="24"/>
        </w:rPr>
        <w:t>PTK2</w:t>
      </w:r>
      <w:r w:rsidRPr="006B7967">
        <w:rPr>
          <w:rFonts w:ascii="Arial" w:hAnsi="Arial" w:cs="Arial"/>
          <w:sz w:val="24"/>
          <w:szCs w:val="24"/>
        </w:rPr>
        <w:t>-knockout (KO) A549 cells (5 × 10</w:t>
      </w:r>
      <w:r w:rsidRPr="003042C5">
        <w:rPr>
          <w:rFonts w:ascii="Arial" w:hAnsi="Arial" w:cs="Arial"/>
          <w:sz w:val="24"/>
          <w:szCs w:val="24"/>
          <w:vertAlign w:val="superscript"/>
        </w:rPr>
        <w:t>6</w:t>
      </w:r>
      <w:r w:rsidRPr="006B7967">
        <w:rPr>
          <w:rFonts w:ascii="Arial" w:hAnsi="Arial" w:cs="Arial"/>
          <w:sz w:val="24"/>
          <w:szCs w:val="24"/>
        </w:rPr>
        <w:t xml:space="preserve"> cells per mouse, </w:t>
      </w:r>
      <w:r w:rsidRPr="003042C5">
        <w:rPr>
          <w:rFonts w:ascii="Arial" w:hAnsi="Arial" w:cs="Arial"/>
          <w:i/>
          <w:sz w:val="24"/>
          <w:szCs w:val="24"/>
        </w:rPr>
        <w:t>n</w:t>
      </w:r>
      <w:r w:rsidRPr="006B7967">
        <w:rPr>
          <w:rFonts w:ascii="Arial" w:hAnsi="Arial" w:cs="Arial"/>
          <w:sz w:val="24"/>
          <w:szCs w:val="24"/>
        </w:rPr>
        <w:t xml:space="preserve"> = 7) in serum-free RPMI were injected under NSG mice ski</w:t>
      </w:r>
      <w:r w:rsidR="00962485">
        <w:rPr>
          <w:rFonts w:ascii="Arial" w:hAnsi="Arial" w:cs="Arial"/>
          <w:sz w:val="24"/>
          <w:szCs w:val="24"/>
        </w:rPr>
        <w:t>n (back area) [1</w:t>
      </w:r>
      <w:r w:rsidRPr="006B7967">
        <w:rPr>
          <w:rFonts w:ascii="Arial" w:hAnsi="Arial" w:cs="Arial"/>
          <w:sz w:val="24"/>
          <w:szCs w:val="24"/>
        </w:rPr>
        <w:t xml:space="preserve">]. The final injection volume was 100 μL/mouse containing a 1:1 v/v mixture of ice-chilled Matrigel (BD Biosciences, La Jolla, CA, USA), which was kept on ice until injection. After injecting cancer cells, tumor volume was measured with a caliper until 53 days after </w:t>
      </w:r>
      <w:r w:rsidRPr="006B7967">
        <w:rPr>
          <w:rFonts w:ascii="Arial" w:hAnsi="Arial" w:cs="Arial"/>
          <w:sz w:val="24"/>
          <w:szCs w:val="24"/>
        </w:rPr>
        <w:lastRenderedPageBreak/>
        <w:t>injection. Tumor volumes (mm</w:t>
      </w:r>
      <w:r w:rsidRPr="003042C5">
        <w:rPr>
          <w:rFonts w:ascii="Arial" w:hAnsi="Arial" w:cs="Arial"/>
          <w:sz w:val="24"/>
          <w:szCs w:val="24"/>
          <w:vertAlign w:val="superscript"/>
        </w:rPr>
        <w:t>3</w:t>
      </w:r>
      <w:r w:rsidRPr="006B7967">
        <w:rPr>
          <w:rFonts w:ascii="Arial" w:hAnsi="Arial" w:cs="Arial"/>
          <w:sz w:val="24"/>
          <w:szCs w:val="24"/>
        </w:rPr>
        <w:t>) were calculated as (length x width)</w:t>
      </w:r>
      <w:r w:rsidRPr="003042C5">
        <w:rPr>
          <w:rFonts w:ascii="Arial" w:hAnsi="Arial" w:cs="Arial"/>
          <w:sz w:val="24"/>
          <w:szCs w:val="24"/>
          <w:vertAlign w:val="superscript"/>
        </w:rPr>
        <w:t>2</w:t>
      </w:r>
      <w:r w:rsidRPr="006B7967">
        <w:rPr>
          <w:rFonts w:ascii="Arial" w:hAnsi="Arial" w:cs="Arial"/>
          <w:sz w:val="24"/>
          <w:szCs w:val="24"/>
        </w:rPr>
        <w:t xml:space="preserve"> × 0.5. Tumor growth curves are presented as average tumor volume ± SEM for each group in this study. All studies involving mice were approved by the Nemours IACUC.</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 xml:space="preserve">Cells </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A549 cells (human lung cancer cell line; CCL-185, American type culture collection (ATCC), Manassas, VA, USA) and H1299 cells (human non-small cell lung cancer cell line; CRL-5803, ATCC) were maintained in RPMI 1640 medium (LM011-01, Welgene, Daegu, Korea) supplemented with 10% fetal bovine serum (FBS), penicillin (100 μg/mL), and streptomycin (100 μg/mL) in a 5% CO2 humidified atmosphere at 37 °C. Human embryonic kidney (HEK) 293T cells (ATCC, CRL-11268) were cultured and maintained in Dulbecco's modified Eagle's medium (DMEM; LM001-05, Welgene, Daegu, Korea) with 10% FBS.</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Antibodies and Reagents</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Anti-PTK2 (3285S), anti-Flag (F3165), anti-pho-EGFR (2236S), anti-pho-TAK1 (9339S), and anti-pho-PTK2 (8556S) antibodies were purchased from Cell Signaling Techn</w:t>
      </w:r>
      <w:r w:rsidR="00E1686D">
        <w:rPr>
          <w:rFonts w:ascii="Arial" w:hAnsi="Arial" w:cs="Arial"/>
          <w:sz w:val="24"/>
          <w:szCs w:val="24"/>
        </w:rPr>
        <w:t>ology (Danvers, MA, USA). Anti-G</w:t>
      </w:r>
      <w:r w:rsidRPr="006B7967">
        <w:rPr>
          <w:rFonts w:ascii="Arial" w:hAnsi="Arial" w:cs="Arial"/>
          <w:sz w:val="24"/>
          <w:szCs w:val="24"/>
        </w:rPr>
        <w:t>APDH (sc-47724), anti-Myc (sc40), anti-IRAK1 (sc-5288), anti-Ub (sc-8017), and anti-TAK1 (sc-7967) antibodies were purchased from Santa Cruz Biotechnology (Santa Cruz, CA, USA). Pam3CysSerLys4 (Pam3csk4,</w:t>
      </w:r>
      <w:r w:rsidR="00E1686D">
        <w:rPr>
          <w:rFonts w:ascii="Arial" w:hAnsi="Arial" w:cs="Arial"/>
          <w:sz w:val="24"/>
          <w:szCs w:val="24"/>
        </w:rPr>
        <w:t xml:space="preserve"> </w:t>
      </w:r>
      <w:r w:rsidRPr="006B7967">
        <w:rPr>
          <w:rFonts w:ascii="Arial" w:hAnsi="Arial" w:cs="Arial"/>
          <w:sz w:val="24"/>
          <w:szCs w:val="24"/>
        </w:rPr>
        <w:t>tlrl-pms) and Pam2CGDPKHPKSF (FSL-1, tlrl-fsl) were purchased from InvivoGen (San Diego, CA, USA). Goat anti-rabbit IgG (HRP) (GTX213110-01) antibody was purchased from GeneTex Inc. (Irvine, CA, USA). Rabbit anti-mouse IgG H&amp;L (HRP) (ab6728) antibody was purchased from Abcam (Cambridge, MA, USA). TrueBlot® secondary antibodies (18-8816-33, 18-8817-33) were purchased from Cambridge Bioscience (Cambridge, UK). Lipopolysaccharide (LPS; L3024), dimethyl sulfoxide (DMSO; D4540), Dulbecco’s phosphate-buffered saline (DPBS; D8537), glutaraldehyde (G6257-100ml), crystal violet (C6158-50g), EGF (SRP3027), and Thiazolyl Blue Tetrazolium Bromide (MTT; M5655) were purchased from Sigma-</w:t>
      </w:r>
      <w:r w:rsidRPr="006B7967">
        <w:rPr>
          <w:rFonts w:ascii="Arial" w:hAnsi="Arial" w:cs="Arial"/>
          <w:sz w:val="24"/>
          <w:szCs w:val="24"/>
        </w:rPr>
        <w:lastRenderedPageBreak/>
        <w:t>Aldrich (St. Louis, MO, USA). Lipofectamine 2000 (11668019) was purchased from Thermo Fisher Scientific (Waltham, MA, USA). Defactinib (</w:t>
      </w:r>
      <w:r w:rsidR="003042C5">
        <w:rPr>
          <w:rFonts w:ascii="Arial" w:hAnsi="Arial" w:cs="Arial"/>
          <w:sz w:val="24"/>
          <w:szCs w:val="24"/>
        </w:rPr>
        <w:t>HY-1228</w:t>
      </w:r>
      <w:r w:rsidR="001A3622">
        <w:rPr>
          <w:rFonts w:ascii="Arial" w:hAnsi="Arial" w:cs="Arial"/>
          <w:sz w:val="24"/>
          <w:szCs w:val="24"/>
        </w:rPr>
        <w:t>9</w:t>
      </w:r>
      <w:r w:rsidR="003042C5">
        <w:rPr>
          <w:rFonts w:ascii="Arial" w:hAnsi="Arial" w:cs="Arial"/>
          <w:sz w:val="24"/>
          <w:szCs w:val="24"/>
        </w:rPr>
        <w:t>A</w:t>
      </w:r>
      <w:r w:rsidRPr="006B7967">
        <w:rPr>
          <w:rFonts w:ascii="Arial" w:hAnsi="Arial" w:cs="Arial"/>
          <w:sz w:val="24"/>
          <w:szCs w:val="24"/>
        </w:rPr>
        <w:t>) was purchased from MedChemExpress (Monmouth Junction, NJ, USA)</w:t>
      </w:r>
      <w:r w:rsidR="003042C5">
        <w:rPr>
          <w:rFonts w:ascii="Arial" w:hAnsi="Arial" w:cs="Arial"/>
          <w:sz w:val="24"/>
          <w:szCs w:val="24"/>
        </w:rPr>
        <w:t>.</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 xml:space="preserve">Plasmid constructs </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pWZL Neo Myr Flag PTK2 (20610</w:t>
      </w:r>
      <w:r w:rsidR="001A3622">
        <w:rPr>
          <w:rFonts w:ascii="Arial" w:hAnsi="Arial" w:cs="Arial"/>
          <w:sz w:val="24"/>
          <w:szCs w:val="24"/>
        </w:rPr>
        <w:t>), W118-1_Flag-hIRAK1 (180405)</w:t>
      </w:r>
      <w:r w:rsidRPr="006B7967">
        <w:rPr>
          <w:rFonts w:ascii="Arial" w:hAnsi="Arial" w:cs="Arial"/>
          <w:sz w:val="24"/>
          <w:szCs w:val="24"/>
        </w:rPr>
        <w:t>, Flag-TRAF6 (21624), and pRK6-HA-TAK1 (44160) vectors were purchased from Addgene (Watertown, MA, USA). pCMV-3Tag-7 (240202) and pCMV-3Tag-6 (240200) vectors were purchased from Agilent technologies (Santa Clara, CA, USA). Using pWZL Neo Myr Flag PTK2 plasmid, full-length PTK2 was cloned into the pCMV-3Tag-6 vector or pCMV-3Tag-7 vector to generate Flag-PTK2 vector or Myc-PTK2 vector, respectively. Using Flag-hIRAK1 plasmid, full-length IRAK1 was cloned into pCMV-3Tag-7 vector to generate Myc-IRAK1. Using pRK6-HA-TAK1 plasmid, full-length TAK1 was cloned into pCMV-3Tag-6 vector to generate Flag-TAK1 vector. Truncated mutants of Flag-TRAF6, Flag-TRAF6 110–522, Flag-TRAF6 260–522, and Flag-TRAF6 349-522 were generated as previously described [24].</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Generation of PTK2-Knockout (</w:t>
      </w:r>
      <w:r w:rsidRPr="003042C5">
        <w:rPr>
          <w:rFonts w:ascii="Arial" w:hAnsi="Arial" w:cs="Arial"/>
          <w:b/>
          <w:i/>
          <w:sz w:val="24"/>
          <w:szCs w:val="24"/>
        </w:rPr>
        <w:t>PTK2</w:t>
      </w:r>
      <w:r w:rsidRPr="006B7967">
        <w:rPr>
          <w:rFonts w:ascii="Arial" w:hAnsi="Arial" w:cs="Arial"/>
          <w:b/>
          <w:sz w:val="24"/>
          <w:szCs w:val="24"/>
        </w:rPr>
        <w:t>-KO) Cell Line with CRISPR/Cas9</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 xml:space="preserve">To generate </w:t>
      </w:r>
      <w:r w:rsidRPr="003042C5">
        <w:rPr>
          <w:rFonts w:ascii="Arial" w:hAnsi="Arial" w:cs="Arial"/>
          <w:i/>
          <w:sz w:val="24"/>
          <w:szCs w:val="24"/>
        </w:rPr>
        <w:t>PTK2</w:t>
      </w:r>
      <w:r w:rsidRPr="006B7967">
        <w:rPr>
          <w:rFonts w:ascii="Arial" w:hAnsi="Arial" w:cs="Arial"/>
          <w:sz w:val="24"/>
          <w:szCs w:val="24"/>
        </w:rPr>
        <w:t xml:space="preserve">-KO lung cancer cells with CRISPR/Cas9 gene editing method, we used two vector systems, including single guide RNA (sgRNA) and CRISPR-associated protein 9 (Cas9) vectors, as previously described [25-30]. sgRNA and Cas9 vectors were kindly provided by Dr. Daesik Kim (Sungkyunkwan University School of Medicine, Suwon, Korea). Guide RNA sequences for CRISPR/Cas9 were designed on the CRISPR design website (http://crispr.mit.edu/) provided by the Feng Zhang Lab. Insert oligonucleotides for human PTK2 gRNA were: 5’-TCCAGTCTACAGATTTGATA-3’ (gRNA-1) / 5’-AATCAGTTACCTAACGGACA-3’ (gRNA-2) / 5’-TCCAGAGAATCCAGCTTTGG-3’ (gRNA-3). Complementary oligonucleotides to guide RNAs (gRNAs) were annealed and cloned into a sgRNA vector. sgRNA vectors expressing gRNA of PTK2 and Cas9 vector expressing Cas9 were transfected into </w:t>
      </w:r>
      <w:r w:rsidRPr="006B7967">
        <w:rPr>
          <w:rFonts w:ascii="Arial" w:hAnsi="Arial" w:cs="Arial"/>
          <w:sz w:val="24"/>
          <w:szCs w:val="24"/>
        </w:rPr>
        <w:lastRenderedPageBreak/>
        <w:t>A549 cells and H1299 cells using Lipofectamine 2000 (Thermo Fisher Scientific, Waltham, MA, USA) according to the manufacturer’s instructions. After two weeks, colonies were isolated from 96-well plates and expression levels of PTK2 were analyzed with western blotting.</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Western Blotting (WB)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 xml:space="preserve">Control (Ctrl) A549 lung cancer cells were seeded into 12-well plates and cultured. Cells were treated with vehicle (DMSO, 0.1 % v/v concentration), Pam3csk4 (3 μg/mL), or FSL-1 (300 ng/mL) for different </w:t>
      </w:r>
      <w:r w:rsidR="0049247B">
        <w:rPr>
          <w:rFonts w:ascii="Arial" w:hAnsi="Arial" w:cs="Arial"/>
          <w:sz w:val="24"/>
          <w:szCs w:val="24"/>
        </w:rPr>
        <w:t>periods</w:t>
      </w:r>
      <w:r>
        <w:rPr>
          <w:rFonts w:ascii="Arial" w:hAnsi="Arial" w:cs="Arial"/>
          <w:sz w:val="24"/>
          <w:szCs w:val="24"/>
        </w:rPr>
        <w:t xml:space="preserve">. After collecting </w:t>
      </w:r>
      <w:r w:rsidRPr="006B7967">
        <w:rPr>
          <w:rFonts w:ascii="Arial" w:hAnsi="Arial" w:cs="Arial"/>
          <w:sz w:val="24"/>
          <w:szCs w:val="24"/>
        </w:rPr>
        <w:t>cells, cell lysates were separated by sodium dodecyl sulfate-polyacrylamide gel electrophoresis (SDS-PAGE, 8~12 %) and immune-probed with anti-PTK2, anti-pho-PTK2, and anti-GAPDH (as loading control) antibodies.</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Immunoprecipitation (IP)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 xml:space="preserve">HEK-293T cells were transiently transfected with mock (a relevant control vector), Flag-TRAF6, Flag-TRAF6 truncated mutants, Myc-PTK2, Flag-PTK2, Myc-IRAK1, or Flag-TAK1 as indicated in each figure for 24 hr. After collecting cells, cell lysates were prepared and immunoprecipitated with anti-Flag or anti-Myc antibody. IP complexes were separated by sodium dodecyl sulfate-polyacrylamide gel electrophoresis (SDS-PAGE, 8–12%) and immune-probed with anti-Myc or anti-Flag antibody. For semi-endogenous IP, H1299 wild type (WT) cells were transiently transfected with mock or Flag-PTK2 for 24 hr and then stimulated with vehicle or Pam3csk4 (7 μg/mL) for 6 hr. After collecting cells, cell lysates were prepared and immunoprecipitated with anti-IgG or anti-Flag antibody. IP complexes were separated by sodium dodecyl sulfate-polyacrylamide gel electrophoresis (SDS-PAGE, 8–12%) and immune-probed with anti-TAK1, anti-IRAK1, or anti-Flag antibody.  </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Ubiquitination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lastRenderedPageBreak/>
        <w:t>HEK-293T cells were transiently transfected with mock (a relevant control vector), Flag-TRAF6, Myc-PTK2, or Flag-TAK1 for 24 hr. After collecting cells, cell lysates were prepared and immunoprecipitated with anti-Flag antibody. IP complexes were separated by sodium dodecyl sulfate-polyacrylamide gel electrophoresis (SDS-PAGE, 8–12%) and immune-probed with anti-Myc,</w:t>
      </w:r>
      <w:r w:rsidR="003042C5">
        <w:rPr>
          <w:rFonts w:ascii="Arial" w:hAnsi="Arial" w:cs="Arial"/>
          <w:sz w:val="24"/>
          <w:szCs w:val="24"/>
        </w:rPr>
        <w:t xml:space="preserve"> or</w:t>
      </w:r>
      <w:r w:rsidRPr="006B7967">
        <w:rPr>
          <w:rFonts w:ascii="Arial" w:hAnsi="Arial" w:cs="Arial"/>
          <w:sz w:val="24"/>
          <w:szCs w:val="24"/>
        </w:rPr>
        <w:t xml:space="preserve"> anti-Flag antibody. </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Wound-Healing Migration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A wound-healing migration assay was performed following previous protocols [</w:t>
      </w:r>
      <w:r w:rsidR="00962485">
        <w:rPr>
          <w:rFonts w:ascii="Arial" w:hAnsi="Arial" w:cs="Arial"/>
          <w:sz w:val="24"/>
          <w:szCs w:val="24"/>
        </w:rPr>
        <w:t>2-6</w:t>
      </w:r>
      <w:r w:rsidRPr="006B7967">
        <w:rPr>
          <w:rFonts w:ascii="Arial" w:hAnsi="Arial" w:cs="Arial"/>
          <w:sz w:val="24"/>
          <w:szCs w:val="24"/>
        </w:rPr>
        <w:t xml:space="preserve">]. Briefly, Control (Ctrl) A549, </w:t>
      </w:r>
      <w:r w:rsidRPr="003042C5">
        <w:rPr>
          <w:rFonts w:ascii="Arial" w:hAnsi="Arial" w:cs="Arial"/>
          <w:i/>
          <w:sz w:val="24"/>
          <w:szCs w:val="24"/>
        </w:rPr>
        <w:t>PTK2</w:t>
      </w:r>
      <w:r w:rsidRPr="006B7967">
        <w:rPr>
          <w:rFonts w:ascii="Arial" w:hAnsi="Arial" w:cs="Arial"/>
          <w:sz w:val="24"/>
          <w:szCs w:val="24"/>
        </w:rPr>
        <w:t xml:space="preserve">-KO A549, Ctrl H1299, and </w:t>
      </w:r>
      <w:r w:rsidRPr="003042C5">
        <w:rPr>
          <w:rFonts w:ascii="Arial" w:hAnsi="Arial" w:cs="Arial"/>
          <w:i/>
          <w:sz w:val="24"/>
          <w:szCs w:val="24"/>
        </w:rPr>
        <w:t>PTK2</w:t>
      </w:r>
      <w:r w:rsidRPr="006B7967">
        <w:rPr>
          <w:rFonts w:ascii="Arial" w:hAnsi="Arial" w:cs="Arial"/>
          <w:sz w:val="24"/>
          <w:szCs w:val="24"/>
        </w:rPr>
        <w:t>-KO H1299 cells were seeded into 12-well plates and cultured to reach confluence. Cell monolayers were gently scratched and washed with a culture medium. After floating cells and debris were removed, cells attached to culture plates were treated with vehicle (DMSO, 0.1% v/v concentration), Pam3csk4 (3 μg/mL), FSL-1 (300 ng/mL), EGF (20 ng/mL), Pam3csk4 (3 μg/mL) plus EGF (20 ng/mL), or FSL-1 (300 ng/mL) plus EGF (20 ng/mL) for different time periods. Cell images were captured after culturing for different periods as indicated in each experiment.</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Transwell Migration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 xml:space="preserve">Control (Ctrl) A549, </w:t>
      </w:r>
      <w:r w:rsidRPr="003042C5">
        <w:rPr>
          <w:rFonts w:ascii="Arial" w:hAnsi="Arial" w:cs="Arial"/>
          <w:i/>
          <w:sz w:val="24"/>
          <w:szCs w:val="24"/>
        </w:rPr>
        <w:t>PTK2</w:t>
      </w:r>
      <w:r w:rsidRPr="006B7967">
        <w:rPr>
          <w:rFonts w:ascii="Arial" w:hAnsi="Arial" w:cs="Arial"/>
          <w:sz w:val="24"/>
          <w:szCs w:val="24"/>
        </w:rPr>
        <w:t xml:space="preserve">-KO A549, Ctrl H1299, and </w:t>
      </w:r>
      <w:r w:rsidRPr="003042C5">
        <w:rPr>
          <w:rFonts w:ascii="Arial" w:hAnsi="Arial" w:cs="Arial"/>
          <w:i/>
          <w:sz w:val="24"/>
          <w:szCs w:val="24"/>
        </w:rPr>
        <w:t>PTK2</w:t>
      </w:r>
      <w:r w:rsidRPr="006B7967">
        <w:rPr>
          <w:rFonts w:ascii="Arial" w:hAnsi="Arial" w:cs="Arial"/>
          <w:sz w:val="24"/>
          <w:szCs w:val="24"/>
        </w:rPr>
        <w:t xml:space="preserve">-KO H1299 lung cancer cells were suspended in a culture medium (250 μL) and added to the upper compartment of a 24-well Transwell® chamber (8 μm pore; Corning, 3422). Ctrl A549, Ctrl H1299, </w:t>
      </w:r>
      <w:r w:rsidRPr="003042C5">
        <w:rPr>
          <w:rFonts w:ascii="Arial" w:hAnsi="Arial" w:cs="Arial"/>
          <w:i/>
          <w:sz w:val="24"/>
          <w:szCs w:val="24"/>
        </w:rPr>
        <w:t>PTK2</w:t>
      </w:r>
      <w:r w:rsidRPr="006B7967">
        <w:rPr>
          <w:rFonts w:ascii="Arial" w:hAnsi="Arial" w:cs="Arial"/>
          <w:sz w:val="24"/>
          <w:szCs w:val="24"/>
        </w:rPr>
        <w:t xml:space="preserve">-KO A549, or </w:t>
      </w:r>
      <w:r w:rsidRPr="003042C5">
        <w:rPr>
          <w:rFonts w:ascii="Arial" w:hAnsi="Arial" w:cs="Arial"/>
          <w:i/>
          <w:sz w:val="24"/>
          <w:szCs w:val="24"/>
        </w:rPr>
        <w:t>PTK2</w:t>
      </w:r>
      <w:r w:rsidRPr="006B7967">
        <w:rPr>
          <w:rFonts w:ascii="Arial" w:hAnsi="Arial" w:cs="Arial"/>
          <w:sz w:val="24"/>
          <w:szCs w:val="24"/>
        </w:rPr>
        <w:t>-KO H1299 lung cancer cells and culture medium (250 μL) were mixed with vehicle (DMSO, 0.1 % v/v concentration), Pam3csk4 (3 μg/mL), FSL-1 (300 ng/mL), EGF (20 ng/mL), Pam3csk4 (3 μg/mL) plus EGF (20 ng/mL), or FSL-1 (300 ng/mL) plus EGF (20 ng/mL) and incubated at 37 °C for 24 h. Migratory cells would pass through polycarbonate membranes and cling to the bottom side. Non-migratory cells would stay in the upper chamber. After removing non-migratory cells, migratory cells were fixed using 2.5 % glutaraldehyde (Sigma-Aldrich, G6257-100 mL) and then stained with 0.1% crystal violet (Sigma-Aldrich, C6158-50g).</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Anchorage-Independent Soft Agar Colony Formation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Anchorage-independent soft agar colony formation assay was performed following previous protocols [</w:t>
      </w:r>
      <w:r w:rsidR="00962485">
        <w:rPr>
          <w:rFonts w:ascii="Arial" w:hAnsi="Arial" w:cs="Arial"/>
          <w:sz w:val="24"/>
          <w:szCs w:val="24"/>
        </w:rPr>
        <w:t>2-6</w:t>
      </w:r>
      <w:r w:rsidRPr="006B7967">
        <w:rPr>
          <w:rFonts w:ascii="Arial" w:hAnsi="Arial" w:cs="Arial"/>
          <w:sz w:val="24"/>
          <w:szCs w:val="24"/>
        </w:rPr>
        <w:t xml:space="preserve">]. Briefly, Ctrl A549, </w:t>
      </w:r>
      <w:r w:rsidRPr="003042C5">
        <w:rPr>
          <w:rFonts w:ascii="Arial" w:hAnsi="Arial" w:cs="Arial"/>
          <w:i/>
          <w:sz w:val="24"/>
          <w:szCs w:val="24"/>
        </w:rPr>
        <w:t>PTK2</w:t>
      </w:r>
      <w:r w:rsidRPr="006B7967">
        <w:rPr>
          <w:rFonts w:ascii="Arial" w:hAnsi="Arial" w:cs="Arial"/>
          <w:sz w:val="24"/>
          <w:szCs w:val="24"/>
        </w:rPr>
        <w:t xml:space="preserve">-KO A549, Ctrl </w:t>
      </w:r>
      <w:r w:rsidR="00962485">
        <w:rPr>
          <w:rFonts w:ascii="Arial" w:hAnsi="Arial" w:cs="Arial"/>
          <w:sz w:val="24"/>
          <w:szCs w:val="24"/>
        </w:rPr>
        <w:t xml:space="preserve">H1299, and </w:t>
      </w:r>
      <w:r w:rsidR="00962485" w:rsidRPr="003042C5">
        <w:rPr>
          <w:rFonts w:ascii="Arial" w:hAnsi="Arial" w:cs="Arial"/>
          <w:i/>
          <w:sz w:val="24"/>
          <w:szCs w:val="24"/>
        </w:rPr>
        <w:t>PTK2</w:t>
      </w:r>
      <w:r w:rsidR="00962485">
        <w:rPr>
          <w:rFonts w:ascii="Arial" w:hAnsi="Arial" w:cs="Arial"/>
          <w:sz w:val="24"/>
          <w:szCs w:val="24"/>
        </w:rPr>
        <w:t xml:space="preserve">-KO H1299 cells </w:t>
      </w:r>
      <w:r w:rsidRPr="006B7967">
        <w:rPr>
          <w:rFonts w:ascii="Arial" w:hAnsi="Arial" w:cs="Arial"/>
          <w:sz w:val="24"/>
          <w:szCs w:val="24"/>
        </w:rPr>
        <w:t>(1 × 10</w:t>
      </w:r>
      <w:r w:rsidRPr="00962485">
        <w:rPr>
          <w:rFonts w:ascii="Arial" w:hAnsi="Arial" w:cs="Arial"/>
          <w:sz w:val="24"/>
          <w:szCs w:val="24"/>
          <w:vertAlign w:val="superscript"/>
        </w:rPr>
        <w:t>4</w:t>
      </w:r>
      <w:r w:rsidRPr="006B7967">
        <w:rPr>
          <w:rFonts w:ascii="Arial" w:hAnsi="Arial" w:cs="Arial"/>
          <w:sz w:val="24"/>
          <w:szCs w:val="24"/>
        </w:rPr>
        <w:t xml:space="preserve"> cells /well) mixed with 0.3% agarose (Biotechnology Grade, GA001.500) in complete medium were plated onto the bottom of a 0.5% agar layer in a 6-well plate with a complete medium. Growth medium (2 mL) with vehicle (DMSO, 0.1 % v/v concentration), Pam3csk4 (1 μg/mL), FSL-1 (100 ng/mL), EGF (10 ng/mL), Pam3csk4 (1 μg/mL) plus EGF (10 ng/mL), or FSL-1 (100 ng/mL) plus EGF (10 ng/mL) was added on top of the layer and cells were incubated at 37 °C for 42 days.</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Colony Formation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The ability of a single cell to grow into a colony was determined with a colony formation assay as previously described [</w:t>
      </w:r>
      <w:r w:rsidR="00962485">
        <w:rPr>
          <w:rFonts w:ascii="Arial" w:hAnsi="Arial" w:cs="Arial"/>
          <w:sz w:val="24"/>
          <w:szCs w:val="24"/>
        </w:rPr>
        <w:t>2-7</w:t>
      </w:r>
      <w:r w:rsidRPr="006B7967">
        <w:rPr>
          <w:rFonts w:ascii="Arial" w:hAnsi="Arial" w:cs="Arial"/>
          <w:sz w:val="24"/>
          <w:szCs w:val="24"/>
        </w:rPr>
        <w:t xml:space="preserve">]. Ctrl A549, </w:t>
      </w:r>
      <w:r w:rsidRPr="003042C5">
        <w:rPr>
          <w:rFonts w:ascii="Arial" w:hAnsi="Arial" w:cs="Arial"/>
          <w:i/>
          <w:sz w:val="24"/>
          <w:szCs w:val="24"/>
        </w:rPr>
        <w:t>PTK2</w:t>
      </w:r>
      <w:r w:rsidRPr="006B7967">
        <w:rPr>
          <w:rFonts w:ascii="Arial" w:hAnsi="Arial" w:cs="Arial"/>
          <w:sz w:val="24"/>
          <w:szCs w:val="24"/>
        </w:rPr>
        <w:t xml:space="preserve">-KO A549, Ctrl H1299, and </w:t>
      </w:r>
      <w:r w:rsidRPr="003042C5">
        <w:rPr>
          <w:rFonts w:ascii="Arial" w:hAnsi="Arial" w:cs="Arial"/>
          <w:i/>
          <w:sz w:val="24"/>
          <w:szCs w:val="24"/>
        </w:rPr>
        <w:t>PTK2</w:t>
      </w:r>
      <w:r w:rsidRPr="006B7967">
        <w:rPr>
          <w:rFonts w:ascii="Arial" w:hAnsi="Arial" w:cs="Arial"/>
          <w:sz w:val="24"/>
          <w:szCs w:val="24"/>
        </w:rPr>
        <w:t>-KO H1299 cells were harvested with trypsin-EDTA and resuspended in a singular form. Then 700 cells/well were plated into a 6-well plate and treated with a vehicle (DMSO, 0.1% v/v concentration), Pam3csk4 (2 μg/mL), FSL-1 (200 ng/mL), EGF (20 ng/mL), Pam3csk4 (2 μg/mL) plus EGF (20 ng/mL), or FSL-1 (200 ng/mL) plus EGF (20 ng/mL). After incubation for 8 or 10 days, colonies were stained with 0.5% crystal violet (Sigma-Aldrich, C6158-50g) for 30 min at room temperature.</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Three-Dimension (3D) Spheroids Formation Assay Using Agarose-Coated Plates</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3D Spheroids formation assay was performed following previous protocols [</w:t>
      </w:r>
      <w:r w:rsidR="00962485">
        <w:rPr>
          <w:rFonts w:ascii="Arial" w:hAnsi="Arial" w:cs="Arial"/>
          <w:sz w:val="24"/>
          <w:szCs w:val="24"/>
        </w:rPr>
        <w:t>8, 9</w:t>
      </w:r>
      <w:r w:rsidRPr="006B7967">
        <w:rPr>
          <w:rFonts w:ascii="Arial" w:hAnsi="Arial" w:cs="Arial"/>
          <w:sz w:val="24"/>
          <w:szCs w:val="24"/>
        </w:rPr>
        <w:t xml:space="preserve">]. Briefly, 1.5% agarose hydrogel was added to each well of a 96-well culture plate and incubated at room temperature (RT) for 30 min. Ctrl A549, </w:t>
      </w:r>
      <w:r w:rsidRPr="006A6FE4">
        <w:rPr>
          <w:rFonts w:ascii="Arial" w:hAnsi="Arial" w:cs="Arial"/>
          <w:i/>
          <w:sz w:val="24"/>
          <w:szCs w:val="24"/>
        </w:rPr>
        <w:t>PTK2</w:t>
      </w:r>
      <w:r w:rsidRPr="006B7967">
        <w:rPr>
          <w:rFonts w:ascii="Arial" w:hAnsi="Arial" w:cs="Arial"/>
          <w:sz w:val="24"/>
          <w:szCs w:val="24"/>
        </w:rPr>
        <w:t xml:space="preserve">-KO A549, Ctrl H1299, and </w:t>
      </w:r>
      <w:r w:rsidRPr="006A6FE4">
        <w:rPr>
          <w:rFonts w:ascii="Arial" w:hAnsi="Arial" w:cs="Arial"/>
          <w:i/>
          <w:sz w:val="24"/>
          <w:szCs w:val="24"/>
        </w:rPr>
        <w:t>PTK2</w:t>
      </w:r>
      <w:r w:rsidRPr="006B7967">
        <w:rPr>
          <w:rFonts w:ascii="Arial" w:hAnsi="Arial" w:cs="Arial"/>
          <w:sz w:val="24"/>
          <w:szCs w:val="24"/>
        </w:rPr>
        <w:t xml:space="preserve">-KO H1299 cells were seeded into 100 µl growth medium at a concentration of 125 or 500 cells per well. Plates were incubated at 37 °C for an additional 48 hours </w:t>
      </w:r>
      <w:r w:rsidRPr="006B7967">
        <w:rPr>
          <w:rFonts w:ascii="Arial" w:hAnsi="Arial" w:cs="Arial"/>
          <w:sz w:val="24"/>
          <w:szCs w:val="24"/>
        </w:rPr>
        <w:lastRenderedPageBreak/>
        <w:t>to allow the formation of 3D spheroids in culture. The spheroid was added with vehicle (DMSO, 0.1% v/v concentration), Pam3csk4 (2 μ</w:t>
      </w:r>
      <w:r w:rsidR="00E1686D">
        <w:rPr>
          <w:rFonts w:ascii="Arial" w:hAnsi="Arial" w:cs="Arial"/>
          <w:sz w:val="24"/>
          <w:szCs w:val="24"/>
        </w:rPr>
        <w:t>g/mL), FSL-1 (200 ng/mL), EGF (1</w:t>
      </w:r>
      <w:r w:rsidRPr="006B7967">
        <w:rPr>
          <w:rFonts w:ascii="Arial" w:hAnsi="Arial" w:cs="Arial"/>
          <w:sz w:val="24"/>
          <w:szCs w:val="24"/>
        </w:rPr>
        <w:t>0 ng/mL)</w:t>
      </w:r>
      <w:r w:rsidR="00E1686D">
        <w:rPr>
          <w:rFonts w:ascii="Arial" w:hAnsi="Arial" w:cs="Arial"/>
          <w:sz w:val="24"/>
          <w:szCs w:val="24"/>
        </w:rPr>
        <w:t>, Pam3csk4 (2 μg/mL) plus EGF (1</w:t>
      </w:r>
      <w:r w:rsidRPr="006B7967">
        <w:rPr>
          <w:rFonts w:ascii="Arial" w:hAnsi="Arial" w:cs="Arial"/>
          <w:sz w:val="24"/>
          <w:szCs w:val="24"/>
        </w:rPr>
        <w:t xml:space="preserve">0 ng/mL), </w:t>
      </w:r>
      <w:r w:rsidR="00E1686D">
        <w:rPr>
          <w:rFonts w:ascii="Arial" w:hAnsi="Arial" w:cs="Arial"/>
          <w:sz w:val="24"/>
          <w:szCs w:val="24"/>
        </w:rPr>
        <w:t>or FSL-1 (200 ng/mL) plus EGF (1</w:t>
      </w:r>
      <w:r w:rsidRPr="006B7967">
        <w:rPr>
          <w:rFonts w:ascii="Arial" w:hAnsi="Arial" w:cs="Arial"/>
          <w:sz w:val="24"/>
          <w:szCs w:val="24"/>
        </w:rPr>
        <w:t>0 ng/mL) and incubated for additional time periods. Spheroid formation and growth were evaluated using phase-contrast microscopy. The size of the spheroid was assessed using ImageJ Software (National Institutes of Health, Bethesda, MD, USA).</w:t>
      </w:r>
      <w:r w:rsidR="006A6FE4">
        <w:rPr>
          <w:rFonts w:ascii="Arial" w:hAnsi="Arial" w:cs="Arial"/>
          <w:sz w:val="24"/>
          <w:szCs w:val="24"/>
        </w:rPr>
        <w:t xml:space="preserve"> To determine IC50 value of </w:t>
      </w:r>
      <w:r w:rsidR="006A6FE4" w:rsidRPr="006B7967">
        <w:rPr>
          <w:rFonts w:ascii="Arial" w:hAnsi="Arial" w:cs="Arial"/>
          <w:sz w:val="24"/>
          <w:szCs w:val="24"/>
        </w:rPr>
        <w:t>Defactinib</w:t>
      </w:r>
      <w:r w:rsidR="006A6FE4">
        <w:rPr>
          <w:rFonts w:ascii="Arial" w:hAnsi="Arial" w:cs="Arial"/>
          <w:sz w:val="24"/>
          <w:szCs w:val="24"/>
        </w:rPr>
        <w:t xml:space="preserve"> in wild type A549 or H1299 cells, </w:t>
      </w:r>
      <w:r w:rsidR="006A6FE4" w:rsidRPr="006B7967">
        <w:rPr>
          <w:rFonts w:ascii="Arial" w:hAnsi="Arial" w:cs="Arial"/>
          <w:sz w:val="24"/>
          <w:szCs w:val="24"/>
        </w:rPr>
        <w:t>3D Spheroids</w:t>
      </w:r>
      <w:r w:rsidR="006A6FE4">
        <w:rPr>
          <w:rFonts w:ascii="Arial" w:hAnsi="Arial" w:cs="Arial"/>
          <w:sz w:val="24"/>
          <w:szCs w:val="24"/>
        </w:rPr>
        <w:t xml:space="preserve"> of A549 or H1299 wild type cells were treated with </w:t>
      </w:r>
      <w:r w:rsidR="006A6FE4" w:rsidRPr="006B7967">
        <w:rPr>
          <w:rFonts w:ascii="Arial" w:hAnsi="Arial" w:cs="Arial"/>
          <w:sz w:val="24"/>
          <w:szCs w:val="24"/>
        </w:rPr>
        <w:t xml:space="preserve">vehicle </w:t>
      </w:r>
      <w:r w:rsidR="006A6FE4">
        <w:rPr>
          <w:rFonts w:ascii="Arial" w:hAnsi="Arial" w:cs="Arial"/>
          <w:sz w:val="24"/>
          <w:szCs w:val="24"/>
        </w:rPr>
        <w:t>(DMSO, 0.1% v/v concentration) or different concentrations of</w:t>
      </w:r>
      <w:r w:rsidR="006A6FE4" w:rsidRPr="006A6FE4">
        <w:rPr>
          <w:rFonts w:ascii="Arial" w:hAnsi="Arial" w:cs="Arial"/>
          <w:sz w:val="24"/>
          <w:szCs w:val="24"/>
        </w:rPr>
        <w:t xml:space="preserve"> </w:t>
      </w:r>
      <w:r w:rsidR="006A6FE4" w:rsidRPr="006B7967">
        <w:rPr>
          <w:rFonts w:ascii="Arial" w:hAnsi="Arial" w:cs="Arial"/>
          <w:sz w:val="24"/>
          <w:szCs w:val="24"/>
        </w:rPr>
        <w:t>Defactinib</w:t>
      </w:r>
      <w:r w:rsidR="006A6FE4">
        <w:rPr>
          <w:rFonts w:ascii="Arial" w:hAnsi="Arial" w:cs="Arial"/>
          <w:sz w:val="24"/>
          <w:szCs w:val="24"/>
        </w:rPr>
        <w:t xml:space="preserve"> (30 </w:t>
      </w:r>
      <w:r w:rsidR="006A6FE4">
        <w:rPr>
          <w:rFonts w:ascii="Times New Roman" w:hAnsi="Times New Roman" w:cs="Times New Roman"/>
          <w:sz w:val="24"/>
          <w:szCs w:val="24"/>
        </w:rPr>
        <w:t>μ</w:t>
      </w:r>
      <w:r w:rsidR="006A6FE4">
        <w:rPr>
          <w:rFonts w:ascii="Arial" w:hAnsi="Arial" w:cs="Arial"/>
          <w:sz w:val="24"/>
          <w:szCs w:val="24"/>
        </w:rPr>
        <w:t>M to 3 nM/mL). Tumor spheroids were incubated for different times, and s</w:t>
      </w:r>
      <w:r w:rsidR="006A6FE4" w:rsidRPr="006B7967">
        <w:rPr>
          <w:rFonts w:ascii="Arial" w:hAnsi="Arial" w:cs="Arial"/>
          <w:sz w:val="24"/>
          <w:szCs w:val="24"/>
        </w:rPr>
        <w:t>pheroid formation and growth were evaluated using phase-contrast microscopy. The size of the spheroid was assessed using ImageJ Software (National Institutes of Health, Bethesda, MD, USA)</w:t>
      </w:r>
      <w:r w:rsidR="006A6FE4">
        <w:rPr>
          <w:rFonts w:ascii="Arial" w:hAnsi="Arial" w:cs="Arial"/>
          <w:sz w:val="24"/>
          <w:szCs w:val="24"/>
        </w:rPr>
        <w:t>. IC50 value was calculated by</w:t>
      </w:r>
      <w:r w:rsidR="00DE546F" w:rsidRPr="00DE546F">
        <w:rPr>
          <w:rFonts w:ascii="Arial" w:hAnsi="Arial" w:cs="Arial"/>
          <w:sz w:val="24"/>
          <w:szCs w:val="24"/>
        </w:rPr>
        <w:t xml:space="preserve"> Prism</w:t>
      </w:r>
      <w:r w:rsidR="00DE546F">
        <w:rPr>
          <w:rFonts w:ascii="Arial" w:hAnsi="Arial" w:cs="Arial"/>
          <w:sz w:val="24"/>
          <w:szCs w:val="24"/>
        </w:rPr>
        <w:t xml:space="preserve"> (</w:t>
      </w:r>
      <w:r w:rsidR="00DE546F" w:rsidRPr="00DE546F">
        <w:rPr>
          <w:rFonts w:ascii="Arial" w:hAnsi="Arial" w:cs="Arial"/>
          <w:sz w:val="24"/>
          <w:szCs w:val="24"/>
        </w:rPr>
        <w:t>GraphPad Software</w:t>
      </w:r>
      <w:r w:rsidR="00DE546F">
        <w:rPr>
          <w:rFonts w:ascii="Arial" w:hAnsi="Arial" w:cs="Arial"/>
          <w:sz w:val="24"/>
          <w:szCs w:val="24"/>
        </w:rPr>
        <w:t>, Inc.).</w:t>
      </w:r>
      <w:r w:rsidR="006A6FE4">
        <w:rPr>
          <w:rFonts w:ascii="Arial" w:hAnsi="Arial" w:cs="Arial"/>
          <w:sz w:val="24"/>
          <w:szCs w:val="24"/>
        </w:rPr>
        <w:t xml:space="preserve"> </w:t>
      </w:r>
      <w:r w:rsidR="00E0380D">
        <w:rPr>
          <w:rFonts w:ascii="Arial" w:hAnsi="Arial" w:cs="Arial"/>
          <w:sz w:val="24"/>
          <w:szCs w:val="24"/>
        </w:rPr>
        <w:t xml:space="preserve">To evaluate therapeutic effects of </w:t>
      </w:r>
      <w:r w:rsidR="00E0380D" w:rsidRPr="006B7967">
        <w:rPr>
          <w:rFonts w:ascii="Arial" w:hAnsi="Arial" w:cs="Arial"/>
          <w:sz w:val="24"/>
          <w:szCs w:val="24"/>
        </w:rPr>
        <w:t>Defactinib</w:t>
      </w:r>
      <w:r w:rsidR="00E0380D">
        <w:rPr>
          <w:rFonts w:ascii="Arial" w:hAnsi="Arial" w:cs="Arial"/>
          <w:sz w:val="24"/>
          <w:szCs w:val="24"/>
        </w:rPr>
        <w:t>,</w:t>
      </w:r>
      <w:r w:rsidR="00E0380D" w:rsidRPr="00E0380D">
        <w:rPr>
          <w:rFonts w:ascii="Arial" w:hAnsi="Arial" w:cs="Arial"/>
          <w:sz w:val="24"/>
          <w:szCs w:val="24"/>
        </w:rPr>
        <w:t xml:space="preserve"> </w:t>
      </w:r>
      <w:r w:rsidR="00E0380D" w:rsidRPr="006B7967">
        <w:rPr>
          <w:rFonts w:ascii="Arial" w:hAnsi="Arial" w:cs="Arial"/>
          <w:sz w:val="24"/>
          <w:szCs w:val="24"/>
        </w:rPr>
        <w:t>3D Spheroids</w:t>
      </w:r>
      <w:r w:rsidR="00E0380D">
        <w:rPr>
          <w:rFonts w:ascii="Arial" w:hAnsi="Arial" w:cs="Arial"/>
          <w:sz w:val="24"/>
          <w:szCs w:val="24"/>
        </w:rPr>
        <w:t xml:space="preserve"> of A549 or H1299 wild type cells were treated with </w:t>
      </w:r>
      <w:r w:rsidR="00E0380D" w:rsidRPr="006B7967">
        <w:rPr>
          <w:rFonts w:ascii="Arial" w:hAnsi="Arial" w:cs="Arial"/>
          <w:sz w:val="24"/>
          <w:szCs w:val="24"/>
        </w:rPr>
        <w:t>vehicle (DMSO, 0.1% v</w:t>
      </w:r>
      <w:r w:rsidR="003042C5">
        <w:rPr>
          <w:rFonts w:ascii="Arial" w:hAnsi="Arial" w:cs="Arial"/>
          <w:sz w:val="24"/>
          <w:szCs w:val="24"/>
        </w:rPr>
        <w:t>/v concentration), Pam3csk4 (3 μg/mL), FSL-1 (3</w:t>
      </w:r>
      <w:r w:rsidR="00E0380D" w:rsidRPr="006B7967">
        <w:rPr>
          <w:rFonts w:ascii="Arial" w:hAnsi="Arial" w:cs="Arial"/>
          <w:sz w:val="24"/>
          <w:szCs w:val="24"/>
        </w:rPr>
        <w:t>00 ng/mL),</w:t>
      </w:r>
      <w:r w:rsidR="003042C5">
        <w:rPr>
          <w:rFonts w:ascii="Arial" w:hAnsi="Arial" w:cs="Arial"/>
          <w:sz w:val="24"/>
          <w:szCs w:val="24"/>
        </w:rPr>
        <w:t xml:space="preserve"> </w:t>
      </w:r>
      <w:r w:rsidR="00E0380D">
        <w:rPr>
          <w:rFonts w:ascii="Arial" w:hAnsi="Arial" w:cs="Arial"/>
          <w:sz w:val="24"/>
          <w:szCs w:val="24"/>
        </w:rPr>
        <w:t>LPS (10</w:t>
      </w:r>
      <w:r w:rsidR="006A6FE4">
        <w:rPr>
          <w:rFonts w:ascii="Arial" w:hAnsi="Arial" w:cs="Arial"/>
          <w:sz w:val="24"/>
          <w:szCs w:val="24"/>
        </w:rPr>
        <w:t xml:space="preserve"> </w:t>
      </w:r>
      <w:r w:rsidR="006A6FE4" w:rsidRPr="006B7967">
        <w:rPr>
          <w:rFonts w:ascii="Arial" w:hAnsi="Arial" w:cs="Arial"/>
          <w:sz w:val="24"/>
          <w:szCs w:val="24"/>
        </w:rPr>
        <w:t>μg/mL</w:t>
      </w:r>
      <w:r w:rsidR="006A6FE4">
        <w:rPr>
          <w:rFonts w:ascii="Arial" w:hAnsi="Arial" w:cs="Arial"/>
          <w:sz w:val="24"/>
          <w:szCs w:val="24"/>
        </w:rPr>
        <w:t>),</w:t>
      </w:r>
      <w:r w:rsidR="00E0380D">
        <w:rPr>
          <w:rFonts w:ascii="Arial" w:hAnsi="Arial" w:cs="Arial"/>
          <w:sz w:val="24"/>
          <w:szCs w:val="24"/>
        </w:rPr>
        <w:t xml:space="preserve"> </w:t>
      </w:r>
      <w:r w:rsidR="003042C5">
        <w:rPr>
          <w:rFonts w:ascii="Arial" w:hAnsi="Arial" w:cs="Arial"/>
          <w:sz w:val="24"/>
          <w:szCs w:val="24"/>
        </w:rPr>
        <w:t>EGF (10 ng/mL), Pam3csk4 (3</w:t>
      </w:r>
      <w:r w:rsidR="00E0380D" w:rsidRPr="006B7967">
        <w:rPr>
          <w:rFonts w:ascii="Arial" w:hAnsi="Arial" w:cs="Arial"/>
          <w:sz w:val="24"/>
          <w:szCs w:val="24"/>
        </w:rPr>
        <w:t xml:space="preserve"> μg/mL) plus EGF </w:t>
      </w:r>
      <w:r w:rsidR="003042C5">
        <w:rPr>
          <w:rFonts w:ascii="Arial" w:hAnsi="Arial" w:cs="Arial"/>
          <w:sz w:val="24"/>
          <w:szCs w:val="24"/>
        </w:rPr>
        <w:t>(1</w:t>
      </w:r>
      <w:r w:rsidR="006A6FE4">
        <w:rPr>
          <w:rFonts w:ascii="Arial" w:hAnsi="Arial" w:cs="Arial"/>
          <w:sz w:val="24"/>
          <w:szCs w:val="24"/>
        </w:rPr>
        <w:t>0 ng/mL),</w:t>
      </w:r>
      <w:r w:rsidR="003042C5">
        <w:rPr>
          <w:rFonts w:ascii="Arial" w:hAnsi="Arial" w:cs="Arial"/>
          <w:sz w:val="24"/>
          <w:szCs w:val="24"/>
        </w:rPr>
        <w:t xml:space="preserve"> FSL-1 (300 ng/mL) plus EGF (1</w:t>
      </w:r>
      <w:r w:rsidR="00E0380D" w:rsidRPr="006B7967">
        <w:rPr>
          <w:rFonts w:ascii="Arial" w:hAnsi="Arial" w:cs="Arial"/>
          <w:sz w:val="24"/>
          <w:szCs w:val="24"/>
        </w:rPr>
        <w:t>0 ng/mL)</w:t>
      </w:r>
      <w:r w:rsidR="006A6FE4">
        <w:rPr>
          <w:rFonts w:ascii="Arial" w:hAnsi="Arial" w:cs="Arial"/>
          <w:sz w:val="24"/>
          <w:szCs w:val="24"/>
        </w:rPr>
        <w:t>, or LPS</w:t>
      </w:r>
      <w:r w:rsidR="006A6FE4" w:rsidRPr="006B7967">
        <w:rPr>
          <w:rFonts w:ascii="Arial" w:hAnsi="Arial" w:cs="Arial"/>
          <w:sz w:val="24"/>
          <w:szCs w:val="24"/>
        </w:rPr>
        <w:t xml:space="preserve"> (</w:t>
      </w:r>
      <w:r w:rsidR="006A6FE4">
        <w:rPr>
          <w:rFonts w:ascii="Arial" w:hAnsi="Arial" w:cs="Arial"/>
          <w:sz w:val="24"/>
          <w:szCs w:val="24"/>
        </w:rPr>
        <w:t xml:space="preserve">10 </w:t>
      </w:r>
      <w:r w:rsidR="003042C5">
        <w:rPr>
          <w:rFonts w:ascii="Arial" w:hAnsi="Arial" w:cs="Arial"/>
          <w:sz w:val="24"/>
          <w:szCs w:val="24"/>
        </w:rPr>
        <w:t>μg/mL) plus EGF (1</w:t>
      </w:r>
      <w:r w:rsidR="006A6FE4" w:rsidRPr="006B7967">
        <w:rPr>
          <w:rFonts w:ascii="Arial" w:hAnsi="Arial" w:cs="Arial"/>
          <w:sz w:val="24"/>
          <w:szCs w:val="24"/>
        </w:rPr>
        <w:t>0 ng/mL)</w:t>
      </w:r>
      <w:r w:rsidR="006A6FE4">
        <w:rPr>
          <w:rFonts w:ascii="Arial" w:hAnsi="Arial" w:cs="Arial"/>
          <w:sz w:val="24"/>
          <w:szCs w:val="24"/>
        </w:rPr>
        <w:t xml:space="preserve"> in the presence or absence of </w:t>
      </w:r>
      <w:r w:rsidR="006A6FE4" w:rsidRPr="006B7967">
        <w:rPr>
          <w:rFonts w:ascii="Arial" w:hAnsi="Arial" w:cs="Arial"/>
          <w:sz w:val="24"/>
          <w:szCs w:val="24"/>
        </w:rPr>
        <w:t>Defactinib</w:t>
      </w:r>
      <w:r w:rsidR="006A6FE4">
        <w:rPr>
          <w:rFonts w:ascii="Arial" w:hAnsi="Arial" w:cs="Arial"/>
          <w:sz w:val="24"/>
          <w:szCs w:val="24"/>
        </w:rPr>
        <w:t xml:space="preserve"> (9.7 </w:t>
      </w:r>
      <w:r w:rsidR="006A6FE4">
        <w:rPr>
          <w:rFonts w:ascii="Times New Roman" w:hAnsi="Times New Roman" w:cs="Times New Roman"/>
          <w:sz w:val="24"/>
          <w:szCs w:val="24"/>
        </w:rPr>
        <w:t>μ</w:t>
      </w:r>
      <w:r w:rsidR="006A6FE4">
        <w:rPr>
          <w:rFonts w:ascii="Arial" w:hAnsi="Arial" w:cs="Arial"/>
          <w:sz w:val="24"/>
          <w:szCs w:val="24"/>
        </w:rPr>
        <w:t xml:space="preserve">M, </w:t>
      </w:r>
      <w:r w:rsidR="003042C5">
        <w:rPr>
          <w:rFonts w:ascii="Arial" w:hAnsi="Arial" w:cs="Arial"/>
          <w:sz w:val="24"/>
          <w:szCs w:val="24"/>
        </w:rPr>
        <w:t>A549 cells; 1.5</w:t>
      </w:r>
      <w:r w:rsidR="006A6FE4">
        <w:rPr>
          <w:rFonts w:ascii="Arial" w:hAnsi="Arial" w:cs="Arial"/>
          <w:sz w:val="24"/>
          <w:szCs w:val="24"/>
        </w:rPr>
        <w:t xml:space="preserve"> </w:t>
      </w:r>
      <w:r w:rsidR="006A6FE4">
        <w:rPr>
          <w:rFonts w:ascii="Times New Roman" w:hAnsi="Times New Roman" w:cs="Times New Roman"/>
          <w:sz w:val="24"/>
          <w:szCs w:val="24"/>
        </w:rPr>
        <w:t>μ</w:t>
      </w:r>
      <w:r w:rsidR="006A6FE4">
        <w:rPr>
          <w:rFonts w:ascii="Arial" w:hAnsi="Arial" w:cs="Arial"/>
          <w:sz w:val="24"/>
          <w:szCs w:val="24"/>
        </w:rPr>
        <w:t>M, H1299</w:t>
      </w:r>
      <w:r w:rsidR="001A3622">
        <w:rPr>
          <w:rFonts w:ascii="Arial" w:hAnsi="Arial" w:cs="Arial"/>
          <w:sz w:val="24"/>
          <w:szCs w:val="24"/>
        </w:rPr>
        <w:t xml:space="preserve"> cells</w:t>
      </w:r>
      <w:r w:rsidR="006A6FE4">
        <w:rPr>
          <w:rFonts w:ascii="Arial" w:hAnsi="Arial" w:cs="Arial"/>
          <w:sz w:val="24"/>
          <w:szCs w:val="24"/>
        </w:rPr>
        <w:t xml:space="preserve">), </w:t>
      </w:r>
      <w:r w:rsidR="006A6FE4" w:rsidRPr="006B7967">
        <w:rPr>
          <w:rFonts w:ascii="Arial" w:hAnsi="Arial" w:cs="Arial"/>
          <w:sz w:val="24"/>
          <w:szCs w:val="24"/>
        </w:rPr>
        <w:t>and incubated for additional time periods. Spheroid formation and growth were evaluated using phase-contrast microscopy. The size of the spheroid was assessed using ImageJ Software (National Institutes of Health, Bethesda, MD, USA)</w:t>
      </w:r>
      <w:r w:rsidR="006A6FE4">
        <w:rPr>
          <w:rFonts w:ascii="Arial" w:hAnsi="Arial" w:cs="Arial"/>
          <w:sz w:val="24"/>
          <w:szCs w:val="24"/>
        </w:rPr>
        <w:t xml:space="preserve">.      </w:t>
      </w:r>
      <w:r w:rsidR="00E0380D">
        <w:rPr>
          <w:rFonts w:ascii="Arial" w:hAnsi="Arial" w:cs="Arial"/>
          <w:sz w:val="24"/>
          <w:szCs w:val="24"/>
        </w:rPr>
        <w:t xml:space="preserve">  </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MTT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 xml:space="preserve">Ctrl A549, </w:t>
      </w:r>
      <w:r w:rsidRPr="003042C5">
        <w:rPr>
          <w:rFonts w:ascii="Arial" w:hAnsi="Arial" w:cs="Arial"/>
          <w:i/>
          <w:sz w:val="24"/>
          <w:szCs w:val="24"/>
        </w:rPr>
        <w:t>PTK2</w:t>
      </w:r>
      <w:r w:rsidRPr="006B7967">
        <w:rPr>
          <w:rFonts w:ascii="Arial" w:hAnsi="Arial" w:cs="Arial"/>
          <w:sz w:val="24"/>
          <w:szCs w:val="24"/>
        </w:rPr>
        <w:t xml:space="preserve">-KO A549, Ctrl H1299, and </w:t>
      </w:r>
      <w:r w:rsidRPr="003042C5">
        <w:rPr>
          <w:rFonts w:ascii="Arial" w:hAnsi="Arial" w:cs="Arial"/>
          <w:i/>
          <w:sz w:val="24"/>
          <w:szCs w:val="24"/>
        </w:rPr>
        <w:t>PTK2</w:t>
      </w:r>
      <w:r w:rsidRPr="006B7967">
        <w:rPr>
          <w:rFonts w:ascii="Arial" w:hAnsi="Arial" w:cs="Arial"/>
          <w:sz w:val="24"/>
          <w:szCs w:val="24"/>
        </w:rPr>
        <w:t xml:space="preserve">-KO H1299 cells were seeded into 96-well culture plates at a density of 500 or 700 cells/well, treated with vehicle (DMSO, 0.1% v/v concentration), Pam3csk4 (1.5 μg/mL), FSL-1 (150 ng/mL), EGF (15 ng/mL), Pam3csk4 (1.5 μg/mL) plus EGF (15 ng/mL), or FSL-1 (150 ng/mL) plus EGF (15 ng/mL) and grown in a culture medium supplemented with 10% FBS for different time periods. Cell viability was measured using an MTT reagent (Sigma-Aldrich, M5655) dissolved in PBS (1 mg/mL). On the day when measurements were taken, the medium </w:t>
      </w:r>
      <w:r w:rsidRPr="006B7967">
        <w:rPr>
          <w:rFonts w:ascii="Arial" w:hAnsi="Arial" w:cs="Arial"/>
          <w:sz w:val="24"/>
          <w:szCs w:val="24"/>
        </w:rPr>
        <w:lastRenderedPageBreak/>
        <w:t>was carefully replaced on fresh RPMI + 10% FBS with diluted MTT (1:10, 10% MTT) and incubated for 3 h at 37 °C. After removing the incubation medium, formazan crystals were dissolved in a 100 μl solution of DMSO. MTT reduction was quantified by measuring the absorbance at 595 nm using a Bio-Rad Model 680 microplate reader (Bio-Rad, CA, USA). Each test was repeated at least four times in quadruplicate.</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NF-κB Luciferase Reporter Assay</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Luciferase reporter assay was performed as previously described [</w:t>
      </w:r>
      <w:r w:rsidR="00962485">
        <w:rPr>
          <w:rFonts w:ascii="Arial" w:hAnsi="Arial" w:cs="Arial"/>
          <w:sz w:val="24"/>
          <w:szCs w:val="24"/>
        </w:rPr>
        <w:t>3</w:t>
      </w:r>
      <w:r w:rsidRPr="006B7967">
        <w:rPr>
          <w:rFonts w:ascii="Arial" w:hAnsi="Arial" w:cs="Arial"/>
          <w:sz w:val="24"/>
          <w:szCs w:val="24"/>
        </w:rPr>
        <w:t xml:space="preserve">]. Briefly, Ctrl A549, </w:t>
      </w:r>
      <w:r w:rsidRPr="003042C5">
        <w:rPr>
          <w:rFonts w:ascii="Arial" w:hAnsi="Arial" w:cs="Arial"/>
          <w:i/>
          <w:sz w:val="24"/>
          <w:szCs w:val="24"/>
        </w:rPr>
        <w:t>PTK2</w:t>
      </w:r>
      <w:r w:rsidRPr="006B7967">
        <w:rPr>
          <w:rFonts w:ascii="Arial" w:hAnsi="Arial" w:cs="Arial"/>
          <w:sz w:val="24"/>
          <w:szCs w:val="24"/>
        </w:rPr>
        <w:t xml:space="preserve">-KO A549, Ctrl H1299, and </w:t>
      </w:r>
      <w:r w:rsidRPr="003042C5">
        <w:rPr>
          <w:rFonts w:ascii="Arial" w:hAnsi="Arial" w:cs="Arial"/>
          <w:i/>
          <w:sz w:val="24"/>
          <w:szCs w:val="24"/>
        </w:rPr>
        <w:t>PTK2</w:t>
      </w:r>
      <w:r w:rsidRPr="006B7967">
        <w:rPr>
          <w:rFonts w:ascii="Arial" w:hAnsi="Arial" w:cs="Arial"/>
          <w:sz w:val="24"/>
          <w:szCs w:val="24"/>
        </w:rPr>
        <w:t>-KO H1299 cells were transfected with mock, pBIIx-luc NF-κB-dependent reporter constructs, or Renilla luciferase vector (Promega, Madison, WI, USA). At 24 h post-transfection, cells were treated with vehicle (DMSO, 0.1% v/v concentration), Pam3csk4 (4 μg/mL), or FSL-1 (400 ng/mL) for 24 h and lysed. Luciferase activity was measured using a dual luciferase assay kit (Promega, 72050).</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Microarray Analysis</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Microarray analysis was performed as previously described [</w:t>
      </w:r>
      <w:r w:rsidR="00962485">
        <w:rPr>
          <w:rFonts w:ascii="Arial" w:hAnsi="Arial" w:cs="Arial"/>
          <w:sz w:val="24"/>
          <w:szCs w:val="24"/>
        </w:rPr>
        <w:t>10-12</w:t>
      </w:r>
      <w:r w:rsidRPr="006B7967">
        <w:rPr>
          <w:rFonts w:ascii="Arial" w:hAnsi="Arial" w:cs="Arial"/>
          <w:sz w:val="24"/>
          <w:szCs w:val="24"/>
        </w:rPr>
        <w:t>]. Total RNAs were extracted from tumor and matched normal tissues of 42 patients with NSCLC with Trizol (Thermo Fisher Scientific, 15596026) and purified using RNeasy columns (Qiagen, 74106) according to each manufacturer’s protocol.</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Gene Set Enrichment Analysis (GSEA)</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Different magnitudes (∆ Mags) of PTK2 and EGFR expression were obtained from pre-processed microarray data between lung tumor tissues and matched lung normal tissues. Patients (</w:t>
      </w:r>
      <w:r w:rsidRPr="00962485">
        <w:rPr>
          <w:rFonts w:ascii="Arial" w:hAnsi="Arial" w:cs="Arial"/>
          <w:i/>
          <w:sz w:val="24"/>
          <w:szCs w:val="24"/>
        </w:rPr>
        <w:t>n</w:t>
      </w:r>
      <w:r w:rsidRPr="006B7967">
        <w:rPr>
          <w:rFonts w:ascii="Arial" w:hAnsi="Arial" w:cs="Arial"/>
          <w:sz w:val="24"/>
          <w:szCs w:val="24"/>
        </w:rPr>
        <w:t xml:space="preserve"> = 19) with up-regulated PTK2, patients (</w:t>
      </w:r>
      <w:r w:rsidRPr="00962485">
        <w:rPr>
          <w:rFonts w:ascii="Arial" w:hAnsi="Arial" w:cs="Arial"/>
          <w:i/>
          <w:sz w:val="24"/>
          <w:szCs w:val="24"/>
        </w:rPr>
        <w:t>n</w:t>
      </w:r>
      <w:r w:rsidRPr="006B7967">
        <w:rPr>
          <w:rFonts w:ascii="Arial" w:hAnsi="Arial" w:cs="Arial"/>
          <w:sz w:val="24"/>
          <w:szCs w:val="24"/>
        </w:rPr>
        <w:t xml:space="preserve"> = 11) with down-regulated PTK2, patients (</w:t>
      </w:r>
      <w:r w:rsidRPr="00DE546F">
        <w:rPr>
          <w:rFonts w:ascii="Arial" w:hAnsi="Arial" w:cs="Arial"/>
          <w:i/>
          <w:sz w:val="24"/>
          <w:szCs w:val="24"/>
        </w:rPr>
        <w:t>n</w:t>
      </w:r>
      <w:r w:rsidRPr="006B7967">
        <w:rPr>
          <w:rFonts w:ascii="Arial" w:hAnsi="Arial" w:cs="Arial"/>
          <w:sz w:val="24"/>
          <w:szCs w:val="24"/>
        </w:rPr>
        <w:t xml:space="preserve"> = 7) with up-regulated PTK2 and EGFR, and patients (</w:t>
      </w:r>
      <w:r w:rsidRPr="00962485">
        <w:rPr>
          <w:rFonts w:ascii="Arial" w:hAnsi="Arial" w:cs="Arial"/>
          <w:i/>
          <w:sz w:val="24"/>
          <w:szCs w:val="24"/>
        </w:rPr>
        <w:t>n</w:t>
      </w:r>
      <w:r w:rsidRPr="006B7967">
        <w:rPr>
          <w:rFonts w:ascii="Arial" w:hAnsi="Arial" w:cs="Arial"/>
          <w:sz w:val="24"/>
          <w:szCs w:val="24"/>
        </w:rPr>
        <w:t xml:space="preserve"> = 7) with down-regulated PTK2 and EGFR</w:t>
      </w:r>
      <w:r w:rsidR="00962485">
        <w:rPr>
          <w:rFonts w:ascii="Arial" w:hAnsi="Arial" w:cs="Arial"/>
          <w:sz w:val="24"/>
          <w:szCs w:val="24"/>
        </w:rPr>
        <w:t>, patients (</w:t>
      </w:r>
      <w:r w:rsidR="00962485" w:rsidRPr="00962485">
        <w:rPr>
          <w:rFonts w:ascii="Arial" w:hAnsi="Arial" w:cs="Arial"/>
          <w:i/>
          <w:sz w:val="24"/>
          <w:szCs w:val="24"/>
        </w:rPr>
        <w:t>n</w:t>
      </w:r>
      <w:r w:rsidR="00962485">
        <w:rPr>
          <w:rFonts w:ascii="Arial" w:hAnsi="Arial" w:cs="Arial"/>
          <w:sz w:val="24"/>
          <w:szCs w:val="24"/>
        </w:rPr>
        <w:t>=5) with up-regulated TLR1, TLR6, TLR2, EGFR, and PTK2, patients (</w:t>
      </w:r>
      <w:r w:rsidR="00962485" w:rsidRPr="00962485">
        <w:rPr>
          <w:rFonts w:ascii="Arial" w:hAnsi="Arial" w:cs="Arial"/>
          <w:i/>
          <w:sz w:val="24"/>
          <w:szCs w:val="24"/>
        </w:rPr>
        <w:t>n</w:t>
      </w:r>
      <w:r w:rsidR="00962485">
        <w:rPr>
          <w:rFonts w:ascii="Arial" w:hAnsi="Arial" w:cs="Arial"/>
          <w:sz w:val="24"/>
          <w:szCs w:val="24"/>
        </w:rPr>
        <w:t>=4) with down-regulated</w:t>
      </w:r>
      <w:r w:rsidR="00962485" w:rsidRPr="00962485">
        <w:rPr>
          <w:rFonts w:ascii="Arial" w:hAnsi="Arial" w:cs="Arial"/>
          <w:sz w:val="24"/>
          <w:szCs w:val="24"/>
        </w:rPr>
        <w:t xml:space="preserve"> </w:t>
      </w:r>
      <w:r w:rsidR="00962485">
        <w:rPr>
          <w:rFonts w:ascii="Arial" w:hAnsi="Arial" w:cs="Arial"/>
          <w:sz w:val="24"/>
          <w:szCs w:val="24"/>
        </w:rPr>
        <w:t xml:space="preserve">TLR1, TLR6, </w:t>
      </w:r>
      <w:r w:rsidR="00962485">
        <w:rPr>
          <w:rFonts w:ascii="Arial" w:hAnsi="Arial" w:cs="Arial"/>
          <w:sz w:val="24"/>
          <w:szCs w:val="24"/>
        </w:rPr>
        <w:lastRenderedPageBreak/>
        <w:t>TLR2, EGFR, and PTK2</w:t>
      </w:r>
      <w:r w:rsidRPr="006B7967">
        <w:rPr>
          <w:rFonts w:ascii="Arial" w:hAnsi="Arial" w:cs="Arial"/>
          <w:sz w:val="24"/>
          <w:szCs w:val="24"/>
        </w:rPr>
        <w:t xml:space="preserve"> were selected based on different magnitudes of PTK2 and EGFR. To identify genes showing significant differences, normalized enrichment score (NES), nominal P-value, false discovery rate (FDR), and q-values were analyzed by GSEA (http://www.gsea-msigdb.org/gsea/index.jsp).</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Human Protein Atlas (HPA) Analysis</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Expression level of PTK2 in normal and lung cancer types, lung adenocarcinoma, and lung squamous cell carcinoma were analyzed using The Human Protein Atlas (HPA) (https://www.proteinatlas.org/).</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TCGA Data Analysis</w:t>
      </w:r>
    </w:p>
    <w:p w:rsidR="006B7967" w:rsidRPr="006B7967" w:rsidRDefault="006B7967" w:rsidP="006B7967">
      <w:pPr>
        <w:spacing w:line="360" w:lineRule="auto"/>
        <w:rPr>
          <w:rFonts w:ascii="Arial" w:hAnsi="Arial" w:cs="Arial"/>
          <w:sz w:val="24"/>
          <w:szCs w:val="24"/>
        </w:rPr>
      </w:pPr>
      <w:r w:rsidRPr="006B7967">
        <w:rPr>
          <w:rFonts w:ascii="Arial" w:hAnsi="Arial" w:cs="Arial"/>
          <w:sz w:val="24"/>
          <w:szCs w:val="24"/>
        </w:rPr>
        <w:t>Overall survival of LUAD and LUSC according to the expression of PTK2 was analyzed using TCGA data (GEPIA, gene expression profiling interactive analysis; http://gepia.cancer-pku.cn/detail.php?gene=PTK2).</w:t>
      </w:r>
    </w:p>
    <w:p w:rsidR="006B7967" w:rsidRPr="006B7967" w:rsidRDefault="006B7967" w:rsidP="006B7967">
      <w:pPr>
        <w:spacing w:line="360" w:lineRule="auto"/>
        <w:rPr>
          <w:rFonts w:ascii="Arial" w:hAnsi="Arial" w:cs="Arial"/>
          <w:sz w:val="24"/>
          <w:szCs w:val="24"/>
        </w:rPr>
      </w:pPr>
    </w:p>
    <w:p w:rsidR="006B7967" w:rsidRPr="006B7967" w:rsidRDefault="006B7967" w:rsidP="006B7967">
      <w:pPr>
        <w:spacing w:line="360" w:lineRule="auto"/>
        <w:rPr>
          <w:rFonts w:ascii="Arial" w:hAnsi="Arial" w:cs="Arial"/>
          <w:b/>
          <w:sz w:val="24"/>
          <w:szCs w:val="24"/>
        </w:rPr>
      </w:pPr>
      <w:r w:rsidRPr="006B7967">
        <w:rPr>
          <w:rFonts w:ascii="Arial" w:hAnsi="Arial" w:cs="Arial"/>
          <w:b/>
          <w:sz w:val="24"/>
          <w:szCs w:val="24"/>
        </w:rPr>
        <w:t>Statistical Analysis</w:t>
      </w:r>
    </w:p>
    <w:p w:rsidR="006B7967" w:rsidRDefault="006B7967" w:rsidP="006B7967">
      <w:pPr>
        <w:spacing w:line="360" w:lineRule="auto"/>
        <w:rPr>
          <w:rFonts w:ascii="Arial" w:hAnsi="Arial" w:cs="Arial"/>
          <w:sz w:val="24"/>
          <w:szCs w:val="24"/>
        </w:rPr>
      </w:pPr>
      <w:r w:rsidRPr="006B7967">
        <w:rPr>
          <w:rFonts w:ascii="Arial" w:hAnsi="Arial" w:cs="Arial"/>
          <w:sz w:val="24"/>
          <w:szCs w:val="24"/>
        </w:rPr>
        <w:t>All data are expressed as mean ± SD (standard deviation). Statistical significance was determined by Student’s t-test using GraphPad Prism 5.0 (GraphPad Software, San Diego, CA, USA). P-values are marked by asterisks (*, P &lt; 0.05; **, P &lt; 0.01; and ***, P &lt; 0.001).</w:t>
      </w:r>
    </w:p>
    <w:p w:rsidR="006B7967" w:rsidRDefault="006B7967">
      <w:pPr>
        <w:widowControl/>
        <w:wordWrap/>
        <w:autoSpaceDE/>
        <w:autoSpaceDN/>
        <w:rPr>
          <w:rFonts w:ascii="Arial" w:hAnsi="Arial" w:cs="Arial"/>
          <w:sz w:val="24"/>
          <w:szCs w:val="24"/>
        </w:rPr>
      </w:pPr>
      <w:r>
        <w:rPr>
          <w:rFonts w:ascii="Arial" w:hAnsi="Arial" w:cs="Arial"/>
          <w:sz w:val="24"/>
          <w:szCs w:val="24"/>
        </w:rPr>
        <w:br w:type="page"/>
      </w:r>
    </w:p>
    <w:p w:rsidR="006B7967" w:rsidRDefault="006B7967" w:rsidP="006B7967">
      <w:pPr>
        <w:spacing w:line="360" w:lineRule="auto"/>
        <w:rPr>
          <w:rFonts w:ascii="Arial" w:hAnsi="Arial" w:cs="Arial"/>
          <w:b/>
          <w:sz w:val="24"/>
          <w:szCs w:val="24"/>
        </w:rPr>
      </w:pPr>
      <w:r w:rsidRPr="006B7967">
        <w:rPr>
          <w:rFonts w:ascii="Arial" w:hAnsi="Arial" w:cs="Arial"/>
          <w:b/>
          <w:sz w:val="24"/>
          <w:szCs w:val="24"/>
        </w:rPr>
        <w:lastRenderedPageBreak/>
        <w:t>References</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1</w:t>
      </w:r>
      <w:r w:rsidRPr="00962485">
        <w:rPr>
          <w:rFonts w:ascii="Arial" w:hAnsi="Arial" w:cs="Arial"/>
          <w:sz w:val="26"/>
          <w:szCs w:val="26"/>
          <w:shd w:val="clear" w:color="auto" w:fill="FFFFFF"/>
        </w:rPr>
        <w:tab/>
        <w:t>Kim MJ, Choi B, Kim JY, et al. USP8 regulates liver cancer progression via the inhibition of TRAF6-mediated signal for NF-κB activation and autophagy induction by TLR4. Transl Oncol. 2022;15(1):101250.</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2</w:t>
      </w:r>
      <w:r w:rsidRPr="00962485">
        <w:rPr>
          <w:rFonts w:ascii="Arial" w:hAnsi="Arial" w:cs="Arial"/>
          <w:sz w:val="26"/>
          <w:szCs w:val="26"/>
          <w:shd w:val="clear" w:color="auto" w:fill="FFFFFF"/>
        </w:rPr>
        <w:tab/>
        <w:t>Kim JY, Shin JH, Kim MJ, et al. β-arrestin 2 negatively regulates lung cancer progression by inhibiting the TRAF6 signaling axis for NF-κB activation and autophagy induced by TLR3 and TLR4. Cell Death Dis. 2023;14(7):422.</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 xml:space="preserve">3 </w:t>
      </w:r>
      <w:r w:rsidRPr="00962485">
        <w:rPr>
          <w:rFonts w:ascii="Arial" w:hAnsi="Arial" w:cs="Arial"/>
          <w:sz w:val="26"/>
          <w:szCs w:val="26"/>
          <w:shd w:val="clear" w:color="auto" w:fill="FFFFFF"/>
        </w:rPr>
        <w:tab/>
        <w:t>Kim MJ, Kim JY, Shin JH, et al. FFAR2 antagonizes TLR2- and TLR3-induced lung cancer progression via the inhibition of AMPK-TAK1 signaling axis for the activation of NF-κB. Cell Biosci. 2023;13(1):102.</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 xml:space="preserve">4 </w:t>
      </w:r>
      <w:r w:rsidRPr="00962485">
        <w:rPr>
          <w:rFonts w:ascii="Arial" w:hAnsi="Arial" w:cs="Arial"/>
          <w:sz w:val="26"/>
          <w:szCs w:val="26"/>
          <w:shd w:val="clear" w:color="auto" w:fill="FFFFFF"/>
        </w:rPr>
        <w:tab/>
        <w:t>Kim MJ, Kim JY, Shin JH, et al. The SARS-CoV-2 spike protein induces lung cancer migration and invasion in a TLR2-dependent manner. Cancer Commun (Lond). 2023 Sep 13.</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5</w:t>
      </w:r>
      <w:r w:rsidRPr="00962485">
        <w:rPr>
          <w:rFonts w:ascii="Arial" w:hAnsi="Arial" w:cs="Arial"/>
          <w:sz w:val="26"/>
          <w:szCs w:val="26"/>
          <w:shd w:val="clear" w:color="auto" w:fill="FFFFFF"/>
        </w:rPr>
        <w:tab/>
        <w:t>Kim JY, Kim MJ, Lee JS, et al. Stratifin (SFN) regulates lung cancer progression via nucleating the Vps34-BECN1-TRAF6 complex for autophagy induction. Clin Transl Med. 2022;12(6):e896.</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6</w:t>
      </w:r>
      <w:r w:rsidRPr="00962485">
        <w:rPr>
          <w:rFonts w:ascii="Arial" w:hAnsi="Arial" w:cs="Arial"/>
          <w:sz w:val="26"/>
          <w:szCs w:val="26"/>
          <w:shd w:val="clear" w:color="auto" w:fill="FFFFFF"/>
        </w:rPr>
        <w:tab/>
        <w:t>Kim MJ, Lee JS, Kim JY, et al. CRBN is downregulated in lung cancer and negatively regulates TLR2, 4 and 7 stimulation in lung cancer cells. Clin Transl Med. 2022;12(9):e1050.</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7</w:t>
      </w:r>
      <w:r w:rsidRPr="00962485">
        <w:rPr>
          <w:rFonts w:ascii="Arial" w:hAnsi="Arial" w:cs="Arial"/>
          <w:sz w:val="26"/>
          <w:szCs w:val="26"/>
          <w:shd w:val="clear" w:color="auto" w:fill="FFFFFF"/>
        </w:rPr>
        <w:tab/>
        <w:t>Cong L, Ran FA, Cox D, et al. Multiplex genome engineering using CRISPR/Cas systems. Science. 2013;339(6121):819-23.</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8</w:t>
      </w:r>
      <w:r w:rsidRPr="00962485">
        <w:rPr>
          <w:rFonts w:ascii="Arial" w:hAnsi="Arial" w:cs="Arial"/>
          <w:sz w:val="26"/>
          <w:szCs w:val="26"/>
          <w:shd w:val="clear" w:color="auto" w:fill="FFFFFF"/>
        </w:rPr>
        <w:tab/>
        <w:t>Shin JH, Kim MJ, Kim JY, et al. CXCR5 and TLR4 signals synergistically enhance non-small cell lung cancer progression. Clin Transl Med. 2024;14(1):e1547.</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9</w:t>
      </w:r>
      <w:r w:rsidRPr="00962485">
        <w:rPr>
          <w:rFonts w:ascii="Arial" w:hAnsi="Arial" w:cs="Arial"/>
          <w:sz w:val="26"/>
          <w:szCs w:val="26"/>
          <w:shd w:val="clear" w:color="auto" w:fill="FFFFFF"/>
        </w:rPr>
        <w:tab/>
        <w:t xml:space="preserve">Zanoni M, Piccinini F, Arienti C, et al. 3D tumor spheroid models for in vitro therapeutic screening: a systematic approach to enhance the biological </w:t>
      </w:r>
      <w:r w:rsidRPr="00962485">
        <w:rPr>
          <w:rFonts w:ascii="Arial" w:hAnsi="Arial" w:cs="Arial"/>
          <w:sz w:val="26"/>
          <w:szCs w:val="26"/>
          <w:shd w:val="clear" w:color="auto" w:fill="FFFFFF"/>
        </w:rPr>
        <w:lastRenderedPageBreak/>
        <w:t>relevance of data obtained. Sci Rep. 2016;6:19103.</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10</w:t>
      </w:r>
      <w:r w:rsidRPr="00962485">
        <w:rPr>
          <w:rFonts w:ascii="Arial" w:hAnsi="Arial" w:cs="Arial"/>
          <w:sz w:val="26"/>
          <w:szCs w:val="26"/>
          <w:shd w:val="clear" w:color="auto" w:fill="FFFFFF"/>
        </w:rPr>
        <w:tab/>
        <w:t>Kim MJ, Min Y, Son J, et al. AMPKα1 Regulates Lung and Breast Cancer Progression by Regulating TLR4-Mediated TRAF6-BECN1 Signaling Axis. Cancers (Basel). 2020;12(11):3289.</w:t>
      </w:r>
    </w:p>
    <w:p w:rsidR="00962485" w:rsidRPr="00962485" w:rsidRDefault="00962485" w:rsidP="00962485">
      <w:pPr>
        <w:spacing w:line="360" w:lineRule="auto"/>
        <w:ind w:left="424" w:hangingChars="163" w:hanging="424"/>
        <w:rPr>
          <w:rFonts w:ascii="Arial" w:hAnsi="Arial" w:cs="Arial"/>
          <w:sz w:val="26"/>
          <w:szCs w:val="26"/>
          <w:shd w:val="clear" w:color="auto" w:fill="FFFFFF"/>
        </w:rPr>
      </w:pPr>
      <w:r w:rsidRPr="00962485">
        <w:rPr>
          <w:rFonts w:ascii="Arial" w:hAnsi="Arial" w:cs="Arial"/>
          <w:sz w:val="26"/>
          <w:szCs w:val="26"/>
          <w:shd w:val="clear" w:color="auto" w:fill="FFFFFF"/>
        </w:rPr>
        <w:t>11</w:t>
      </w:r>
      <w:r w:rsidRPr="00962485">
        <w:rPr>
          <w:rFonts w:ascii="Arial" w:hAnsi="Arial" w:cs="Arial"/>
          <w:sz w:val="26"/>
          <w:szCs w:val="26"/>
          <w:shd w:val="clear" w:color="auto" w:fill="FFFFFF"/>
        </w:rPr>
        <w:tab/>
        <w:t>Min Y, Wi SM, Kang JA, et al. Cereblon negatively regulates TLR4 signaling through the attenuation of ubiquitination of TRAF6. Cell Death Dis. 2016 Jul 28;7(7):e2313.</w:t>
      </w:r>
    </w:p>
    <w:p w:rsidR="006B7967" w:rsidRPr="00962485" w:rsidRDefault="00962485" w:rsidP="00962485">
      <w:pPr>
        <w:spacing w:line="360" w:lineRule="auto"/>
        <w:ind w:left="424" w:hanging="424"/>
        <w:rPr>
          <w:rFonts w:ascii="Arial" w:hAnsi="Arial" w:cs="Arial"/>
          <w:color w:val="FF0000"/>
          <w:sz w:val="26"/>
          <w:szCs w:val="26"/>
          <w:shd w:val="clear" w:color="auto" w:fill="FFFFFF"/>
        </w:rPr>
      </w:pPr>
      <w:r w:rsidRPr="00962485">
        <w:rPr>
          <w:rFonts w:ascii="Arial" w:hAnsi="Arial" w:cs="Arial"/>
          <w:sz w:val="26"/>
          <w:szCs w:val="26"/>
          <w:shd w:val="clear" w:color="auto" w:fill="FFFFFF"/>
        </w:rPr>
        <w:t>12</w:t>
      </w:r>
      <w:r w:rsidRPr="00962485">
        <w:rPr>
          <w:rFonts w:ascii="Arial" w:hAnsi="Arial" w:cs="Arial"/>
          <w:sz w:val="26"/>
          <w:szCs w:val="26"/>
          <w:shd w:val="clear" w:color="auto" w:fill="FFFFFF"/>
        </w:rPr>
        <w:tab/>
        <w:t>Kim Y, Lee BB, Kim D, et al. Clinicopathological Significance of RUNX1 in Non-Small Cell Lung Cancer. J Clin Med. 2020;9(6):1694.</w:t>
      </w:r>
    </w:p>
    <w:p w:rsidR="006B7967" w:rsidRDefault="006B7967">
      <w:pPr>
        <w:widowControl/>
        <w:wordWrap/>
        <w:autoSpaceDE/>
        <w:autoSpaceDN/>
        <w:rPr>
          <w:rFonts w:ascii="Arial" w:hAnsi="Arial" w:cs="Arial"/>
          <w:sz w:val="24"/>
          <w:szCs w:val="24"/>
        </w:rPr>
      </w:pPr>
      <w:r>
        <w:rPr>
          <w:rFonts w:ascii="Arial" w:hAnsi="Arial" w:cs="Arial"/>
          <w:sz w:val="24"/>
          <w:szCs w:val="24"/>
        </w:rPr>
        <w:br w:type="page"/>
      </w:r>
    </w:p>
    <w:p w:rsidR="006B7967" w:rsidRDefault="006B7967" w:rsidP="006B7967">
      <w:pPr>
        <w:rPr>
          <w:rFonts w:ascii="Arial" w:hAnsi="Arial" w:cs="Arial"/>
          <w:b/>
          <w:sz w:val="24"/>
          <w:szCs w:val="24"/>
        </w:rPr>
      </w:pPr>
      <w:r w:rsidRPr="006B7967">
        <w:rPr>
          <w:rFonts w:ascii="Arial" w:hAnsi="Arial" w:cs="Arial"/>
          <w:b/>
          <w:sz w:val="24"/>
          <w:szCs w:val="24"/>
        </w:rPr>
        <w:lastRenderedPageBreak/>
        <w:t>Supplementary figure legends</w:t>
      </w:r>
    </w:p>
    <w:p w:rsidR="00A34560" w:rsidRPr="006B7967" w:rsidRDefault="001A3622" w:rsidP="006B7967">
      <w:pPr>
        <w:rPr>
          <w:rFonts w:ascii="Arial" w:hAnsi="Arial" w:cs="Arial"/>
          <w:b/>
          <w:sz w:val="24"/>
          <w:szCs w:val="24"/>
        </w:rPr>
      </w:pPr>
      <w:r>
        <w:rPr>
          <w:rFonts w:ascii="Arial" w:hAnsi="Arial" w:cs="Arial"/>
          <w:b/>
          <w:noProof/>
          <w:sz w:val="24"/>
          <w:szCs w:val="24"/>
        </w:rPr>
        <w:drawing>
          <wp:inline distT="0" distB="0" distL="0" distR="0" wp14:anchorId="25EB7A6F">
            <wp:extent cx="5727982" cy="5461000"/>
            <wp:effectExtent l="0" t="0" r="6350" b="635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0657" cy="5463550"/>
                    </a:xfrm>
                    <a:prstGeom prst="rect">
                      <a:avLst/>
                    </a:prstGeom>
                    <a:noFill/>
                  </pic:spPr>
                </pic:pic>
              </a:graphicData>
            </a:graphic>
          </wp:inline>
        </w:drawing>
      </w:r>
    </w:p>
    <w:p w:rsidR="006B7967" w:rsidRPr="009F6FB8" w:rsidRDefault="006B7967" w:rsidP="006B7967"/>
    <w:p w:rsidR="006B7967" w:rsidRDefault="006B7967" w:rsidP="006B7967"/>
    <w:p w:rsidR="006B7967" w:rsidRPr="00B72740" w:rsidRDefault="006B7967" w:rsidP="006B7967">
      <w:pPr>
        <w:rPr>
          <w:rFonts w:ascii="Arial" w:hAnsi="Arial" w:cs="Arial"/>
          <w:sz w:val="24"/>
          <w:szCs w:val="24"/>
        </w:rPr>
      </w:pPr>
      <w:r w:rsidRPr="00B72740">
        <w:rPr>
          <w:rFonts w:ascii="Arial" w:hAnsi="Arial" w:cs="Arial"/>
          <w:b/>
          <w:sz w:val="24"/>
          <w:szCs w:val="24"/>
        </w:rPr>
        <w:t>Fig. S1</w:t>
      </w:r>
      <w:r w:rsidRPr="00B72740">
        <w:rPr>
          <w:rFonts w:ascii="Arial" w:hAnsi="Arial" w:cs="Arial"/>
          <w:sz w:val="24"/>
          <w:szCs w:val="24"/>
        </w:rPr>
        <w:tab/>
        <w:t>The experimental design in this study.</w:t>
      </w:r>
    </w:p>
    <w:p w:rsidR="006B7967" w:rsidRDefault="006B7967" w:rsidP="006B7967">
      <w:r>
        <w:br w:type="page"/>
      </w:r>
    </w:p>
    <w:p w:rsidR="006B7967" w:rsidRDefault="006B7967" w:rsidP="006B7967">
      <w:r>
        <w:rPr>
          <w:noProof/>
        </w:rPr>
        <w:lastRenderedPageBreak/>
        <w:drawing>
          <wp:inline distT="0" distB="0" distL="0" distR="0">
            <wp:extent cx="5735955" cy="5070475"/>
            <wp:effectExtent l="0" t="0" r="0" b="0"/>
            <wp:docPr id="39" name="그림 39"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Fi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5955" cy="5070475"/>
                    </a:xfrm>
                    <a:prstGeom prst="rect">
                      <a:avLst/>
                    </a:prstGeom>
                    <a:noFill/>
                    <a:ln>
                      <a:noFill/>
                    </a:ln>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w:t>
      </w:r>
      <w:r w:rsidR="00B72740" w:rsidRPr="00B72740">
        <w:rPr>
          <w:rFonts w:ascii="Arial" w:hAnsi="Arial" w:cs="Arial"/>
          <w:b/>
          <w:sz w:val="24"/>
          <w:szCs w:val="24"/>
        </w:rPr>
        <w:t xml:space="preserve">ig. S2 </w:t>
      </w:r>
      <w:r w:rsidRPr="00B72740">
        <w:rPr>
          <w:rFonts w:ascii="Arial" w:hAnsi="Arial" w:cs="Arial"/>
          <w:b/>
          <w:sz w:val="24"/>
          <w:szCs w:val="24"/>
        </w:rPr>
        <w:t>A-Q</w:t>
      </w:r>
      <w:r w:rsidRPr="00B72740">
        <w:rPr>
          <w:rFonts w:ascii="Arial" w:hAnsi="Arial" w:cs="Arial"/>
          <w:sz w:val="24"/>
          <w:szCs w:val="24"/>
        </w:rPr>
        <w:t xml:space="preserve"> Gene set enrichment analysis (GSEA, https://www.gsea-msigdb.org/gsea/index.jsp) was performed </w:t>
      </w:r>
      <w:r w:rsidR="00B72740">
        <w:rPr>
          <w:rFonts w:ascii="Arial" w:hAnsi="Arial" w:cs="Arial"/>
          <w:sz w:val="24"/>
          <w:szCs w:val="24"/>
        </w:rPr>
        <w:t>for</w:t>
      </w:r>
      <w:r w:rsidRPr="00B72740">
        <w:rPr>
          <w:rFonts w:ascii="Arial" w:hAnsi="Arial" w:cs="Arial"/>
          <w:sz w:val="24"/>
          <w:szCs w:val="24"/>
        </w:rPr>
        <w:t xml:space="preserve"> PTK2</w:t>
      </w:r>
      <w:r w:rsidRPr="00B72740">
        <w:rPr>
          <w:rFonts w:ascii="Arial" w:hAnsi="Arial" w:cs="Arial"/>
          <w:sz w:val="24"/>
          <w:szCs w:val="24"/>
          <w:vertAlign w:val="superscript"/>
        </w:rPr>
        <w:t>up</w:t>
      </w:r>
      <w:r w:rsidRPr="00B72740">
        <w:rPr>
          <w:rFonts w:ascii="Arial" w:hAnsi="Arial" w:cs="Arial"/>
          <w:sz w:val="24"/>
          <w:szCs w:val="24"/>
        </w:rPr>
        <w:t xml:space="preserve"> (Death, </w:t>
      </w:r>
      <w:r w:rsidRPr="00B72740">
        <w:rPr>
          <w:rFonts w:ascii="Arial" w:hAnsi="Arial" w:cs="Arial"/>
          <w:i/>
          <w:sz w:val="24"/>
          <w:szCs w:val="24"/>
        </w:rPr>
        <w:t>n</w:t>
      </w:r>
      <w:r w:rsidRPr="00B72740">
        <w:rPr>
          <w:rFonts w:ascii="Arial" w:hAnsi="Arial" w:cs="Arial"/>
          <w:sz w:val="24"/>
          <w:szCs w:val="24"/>
        </w:rPr>
        <w:t>=19) versus PTK2</w:t>
      </w:r>
      <w:r w:rsidRPr="00B72740">
        <w:rPr>
          <w:rFonts w:ascii="Arial" w:hAnsi="Arial" w:cs="Arial"/>
          <w:sz w:val="24"/>
          <w:szCs w:val="24"/>
          <w:vertAlign w:val="superscript"/>
        </w:rPr>
        <w:t>down</w:t>
      </w:r>
      <w:r w:rsidRPr="00B72740">
        <w:rPr>
          <w:rFonts w:ascii="Arial" w:hAnsi="Arial" w:cs="Arial"/>
          <w:sz w:val="24"/>
          <w:szCs w:val="24"/>
        </w:rPr>
        <w:t xml:space="preserve"> (Live, </w:t>
      </w:r>
      <w:r w:rsidRPr="00B72740">
        <w:rPr>
          <w:rFonts w:ascii="Arial" w:hAnsi="Arial" w:cs="Arial"/>
          <w:i/>
          <w:sz w:val="24"/>
          <w:szCs w:val="24"/>
        </w:rPr>
        <w:t>n</w:t>
      </w:r>
      <w:r w:rsidRPr="00B72740">
        <w:rPr>
          <w:rFonts w:ascii="Arial" w:hAnsi="Arial" w:cs="Arial"/>
          <w:sz w:val="24"/>
          <w:szCs w:val="24"/>
        </w:rPr>
        <w:t>=11), as indicated in Fig. 1A. Gene sets related to cancer modules are presented (</w:t>
      </w:r>
      <w:r w:rsidRPr="00B72740">
        <w:rPr>
          <w:rFonts w:ascii="Arial" w:hAnsi="Arial" w:cs="Arial"/>
          <w:b/>
          <w:sz w:val="24"/>
          <w:szCs w:val="24"/>
        </w:rPr>
        <w:t>A</w:t>
      </w:r>
      <w:r w:rsidRPr="00B72740">
        <w:rPr>
          <w:rFonts w:ascii="Arial" w:hAnsi="Arial" w:cs="Arial"/>
          <w:sz w:val="24"/>
          <w:szCs w:val="24"/>
        </w:rPr>
        <w:t xml:space="preserve">, module 98; </w:t>
      </w:r>
      <w:r w:rsidRPr="00B72740">
        <w:rPr>
          <w:rFonts w:ascii="Arial" w:hAnsi="Arial" w:cs="Arial"/>
          <w:b/>
          <w:sz w:val="24"/>
          <w:szCs w:val="24"/>
        </w:rPr>
        <w:t>B</w:t>
      </w:r>
      <w:r w:rsidRPr="00B72740">
        <w:rPr>
          <w:rFonts w:ascii="Arial" w:hAnsi="Arial" w:cs="Arial"/>
          <w:sz w:val="24"/>
          <w:szCs w:val="24"/>
        </w:rPr>
        <w:t xml:space="preserve">, module 403; </w:t>
      </w:r>
      <w:r w:rsidRPr="00B72740">
        <w:rPr>
          <w:rFonts w:ascii="Arial" w:hAnsi="Arial" w:cs="Arial"/>
          <w:b/>
          <w:sz w:val="24"/>
          <w:szCs w:val="24"/>
        </w:rPr>
        <w:t>C</w:t>
      </w:r>
      <w:r w:rsidRPr="00B72740">
        <w:rPr>
          <w:rFonts w:ascii="Arial" w:hAnsi="Arial" w:cs="Arial"/>
          <w:sz w:val="24"/>
          <w:szCs w:val="24"/>
        </w:rPr>
        <w:t xml:space="preserve">, module 315; </w:t>
      </w:r>
      <w:r w:rsidRPr="00B72740">
        <w:rPr>
          <w:rFonts w:ascii="Arial" w:hAnsi="Arial" w:cs="Arial"/>
          <w:b/>
          <w:sz w:val="24"/>
          <w:szCs w:val="24"/>
        </w:rPr>
        <w:t>D</w:t>
      </w:r>
      <w:r w:rsidRPr="00B72740">
        <w:rPr>
          <w:rFonts w:ascii="Arial" w:hAnsi="Arial" w:cs="Arial"/>
          <w:sz w:val="24"/>
          <w:szCs w:val="24"/>
        </w:rPr>
        <w:t xml:space="preserve">, module 125; </w:t>
      </w:r>
      <w:r w:rsidRPr="00B72740">
        <w:rPr>
          <w:rFonts w:ascii="Arial" w:hAnsi="Arial" w:cs="Arial"/>
          <w:b/>
          <w:sz w:val="24"/>
          <w:szCs w:val="24"/>
        </w:rPr>
        <w:t>E</w:t>
      </w:r>
      <w:r w:rsidRPr="00B72740">
        <w:rPr>
          <w:rFonts w:ascii="Arial" w:hAnsi="Arial" w:cs="Arial"/>
          <w:sz w:val="24"/>
          <w:szCs w:val="24"/>
        </w:rPr>
        <w:t xml:space="preserve">, module 124; </w:t>
      </w:r>
      <w:r w:rsidRPr="00B72740">
        <w:rPr>
          <w:rFonts w:ascii="Arial" w:hAnsi="Arial" w:cs="Arial"/>
          <w:b/>
          <w:sz w:val="24"/>
          <w:szCs w:val="24"/>
        </w:rPr>
        <w:t>F</w:t>
      </w:r>
      <w:r w:rsidRPr="00B72740">
        <w:rPr>
          <w:rFonts w:ascii="Arial" w:hAnsi="Arial" w:cs="Arial"/>
          <w:sz w:val="24"/>
          <w:szCs w:val="24"/>
        </w:rPr>
        <w:t xml:space="preserve">, module 392; </w:t>
      </w:r>
      <w:r w:rsidRPr="00B72740">
        <w:rPr>
          <w:rFonts w:ascii="Arial" w:hAnsi="Arial" w:cs="Arial"/>
          <w:b/>
          <w:sz w:val="24"/>
          <w:szCs w:val="24"/>
        </w:rPr>
        <w:t>G</w:t>
      </w:r>
      <w:r w:rsidRPr="00B72740">
        <w:rPr>
          <w:rFonts w:ascii="Arial" w:hAnsi="Arial" w:cs="Arial"/>
          <w:sz w:val="24"/>
          <w:szCs w:val="24"/>
        </w:rPr>
        <w:t xml:space="preserve">, module 451; </w:t>
      </w:r>
      <w:r w:rsidRPr="00B72740">
        <w:rPr>
          <w:rFonts w:ascii="Arial" w:hAnsi="Arial" w:cs="Arial"/>
          <w:b/>
          <w:sz w:val="24"/>
          <w:szCs w:val="24"/>
        </w:rPr>
        <w:t>H</w:t>
      </w:r>
      <w:r w:rsidRPr="00B72740">
        <w:rPr>
          <w:rFonts w:ascii="Arial" w:hAnsi="Arial" w:cs="Arial"/>
          <w:sz w:val="24"/>
          <w:szCs w:val="24"/>
        </w:rPr>
        <w:t xml:space="preserve">, module 158; </w:t>
      </w:r>
      <w:r w:rsidRPr="00B72740">
        <w:rPr>
          <w:rFonts w:ascii="Arial" w:hAnsi="Arial" w:cs="Arial"/>
          <w:b/>
          <w:sz w:val="24"/>
          <w:szCs w:val="24"/>
        </w:rPr>
        <w:t>I</w:t>
      </w:r>
      <w:r w:rsidRPr="00B72740">
        <w:rPr>
          <w:rFonts w:ascii="Arial" w:hAnsi="Arial" w:cs="Arial"/>
          <w:sz w:val="24"/>
          <w:szCs w:val="24"/>
        </w:rPr>
        <w:t xml:space="preserve">, module 183; </w:t>
      </w:r>
      <w:r w:rsidRPr="00B72740">
        <w:rPr>
          <w:rFonts w:ascii="Arial" w:hAnsi="Arial" w:cs="Arial"/>
          <w:b/>
          <w:sz w:val="24"/>
          <w:szCs w:val="24"/>
        </w:rPr>
        <w:t>J</w:t>
      </w:r>
      <w:r w:rsidRPr="00B72740">
        <w:rPr>
          <w:rFonts w:ascii="Arial" w:hAnsi="Arial" w:cs="Arial"/>
          <w:sz w:val="24"/>
          <w:szCs w:val="24"/>
        </w:rPr>
        <w:t xml:space="preserve">, module 61; </w:t>
      </w:r>
      <w:r w:rsidRPr="00B72740">
        <w:rPr>
          <w:rFonts w:ascii="Arial" w:hAnsi="Arial" w:cs="Arial"/>
          <w:b/>
          <w:sz w:val="24"/>
          <w:szCs w:val="24"/>
        </w:rPr>
        <w:t>K</w:t>
      </w:r>
      <w:r w:rsidRPr="00B72740">
        <w:rPr>
          <w:rFonts w:ascii="Arial" w:hAnsi="Arial" w:cs="Arial"/>
          <w:sz w:val="24"/>
          <w:szCs w:val="24"/>
        </w:rPr>
        <w:t xml:space="preserve">, module 337; </w:t>
      </w:r>
      <w:r w:rsidRPr="00B72740">
        <w:rPr>
          <w:rFonts w:ascii="Arial" w:hAnsi="Arial" w:cs="Arial"/>
          <w:b/>
          <w:sz w:val="24"/>
          <w:szCs w:val="24"/>
        </w:rPr>
        <w:t>L</w:t>
      </w:r>
      <w:r w:rsidRPr="00B72740">
        <w:rPr>
          <w:rFonts w:ascii="Arial" w:hAnsi="Arial" w:cs="Arial"/>
          <w:sz w:val="24"/>
          <w:szCs w:val="24"/>
        </w:rPr>
        <w:t xml:space="preserve">, module 252; </w:t>
      </w:r>
      <w:r w:rsidRPr="00B72740">
        <w:rPr>
          <w:rFonts w:ascii="Arial" w:hAnsi="Arial" w:cs="Arial"/>
          <w:b/>
          <w:sz w:val="24"/>
          <w:szCs w:val="24"/>
        </w:rPr>
        <w:t>M</w:t>
      </w:r>
      <w:r w:rsidRPr="00B72740">
        <w:rPr>
          <w:rFonts w:ascii="Arial" w:hAnsi="Arial" w:cs="Arial"/>
          <w:sz w:val="24"/>
          <w:szCs w:val="24"/>
        </w:rPr>
        <w:t xml:space="preserve">, module 57; </w:t>
      </w:r>
      <w:r w:rsidRPr="00B72740">
        <w:rPr>
          <w:rFonts w:ascii="Arial" w:hAnsi="Arial" w:cs="Arial"/>
          <w:b/>
          <w:sz w:val="24"/>
          <w:szCs w:val="24"/>
        </w:rPr>
        <w:t>N</w:t>
      </w:r>
      <w:r w:rsidRPr="00B72740">
        <w:rPr>
          <w:rFonts w:ascii="Arial" w:hAnsi="Arial" w:cs="Arial"/>
          <w:sz w:val="24"/>
          <w:szCs w:val="24"/>
        </w:rPr>
        <w:t xml:space="preserve">, module 388; </w:t>
      </w:r>
      <w:r w:rsidRPr="00B72740">
        <w:rPr>
          <w:rFonts w:ascii="Arial" w:hAnsi="Arial" w:cs="Arial"/>
          <w:b/>
          <w:sz w:val="24"/>
          <w:szCs w:val="24"/>
        </w:rPr>
        <w:t>O</w:t>
      </w:r>
      <w:r w:rsidRPr="00B72740">
        <w:rPr>
          <w:rFonts w:ascii="Arial" w:hAnsi="Arial" w:cs="Arial"/>
          <w:sz w:val="24"/>
          <w:szCs w:val="24"/>
        </w:rPr>
        <w:t xml:space="preserve">, module 349; </w:t>
      </w:r>
      <w:r w:rsidRPr="00B72740">
        <w:rPr>
          <w:rFonts w:ascii="Arial" w:hAnsi="Arial" w:cs="Arial"/>
          <w:b/>
          <w:sz w:val="24"/>
          <w:szCs w:val="24"/>
        </w:rPr>
        <w:t>P</w:t>
      </w:r>
      <w:r w:rsidRPr="00B72740">
        <w:rPr>
          <w:rFonts w:ascii="Arial" w:hAnsi="Arial" w:cs="Arial"/>
          <w:sz w:val="24"/>
          <w:szCs w:val="24"/>
        </w:rPr>
        <w:t xml:space="preserve">, module 198; </w:t>
      </w:r>
      <w:r w:rsidRPr="00B72740">
        <w:rPr>
          <w:rFonts w:ascii="Arial" w:hAnsi="Arial" w:cs="Arial"/>
          <w:b/>
          <w:sz w:val="24"/>
          <w:szCs w:val="24"/>
        </w:rPr>
        <w:t>Q</w:t>
      </w:r>
      <w:r w:rsidRPr="00B72740">
        <w:rPr>
          <w:rFonts w:ascii="Arial" w:hAnsi="Arial" w:cs="Arial"/>
          <w:sz w:val="24"/>
          <w:szCs w:val="24"/>
        </w:rPr>
        <w:t xml:space="preserve">, module 244). NES, nominal P-value, and FDR q-values are indicated in the inner panel. </w:t>
      </w:r>
    </w:p>
    <w:p w:rsidR="006B7967" w:rsidRPr="00B72740" w:rsidRDefault="006B7967" w:rsidP="00B72740">
      <w:pPr>
        <w:spacing w:line="360" w:lineRule="auto"/>
        <w:rPr>
          <w:rFonts w:ascii="Arial" w:hAnsi="Arial" w:cs="Arial"/>
          <w:sz w:val="24"/>
          <w:szCs w:val="24"/>
        </w:rPr>
      </w:pPr>
    </w:p>
    <w:p w:rsidR="006B7967" w:rsidRDefault="006B7967" w:rsidP="006B7967">
      <w:r>
        <w:lastRenderedPageBreak/>
        <w:br w:type="page"/>
      </w:r>
    </w:p>
    <w:p w:rsidR="006B7967" w:rsidRDefault="006B7967" w:rsidP="006B7967">
      <w:r>
        <w:rPr>
          <w:noProof/>
        </w:rPr>
        <w:lastRenderedPageBreak/>
        <w:drawing>
          <wp:inline distT="0" distB="0" distL="0" distR="0">
            <wp:extent cx="5721985" cy="6428740"/>
            <wp:effectExtent l="0" t="0" r="0" b="0"/>
            <wp:docPr id="38" name="그림 38"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Fi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1985" cy="6428740"/>
                    </a:xfrm>
                    <a:prstGeom prst="rect">
                      <a:avLst/>
                    </a:prstGeom>
                    <a:noFill/>
                    <a:ln>
                      <a:noFill/>
                    </a:ln>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Fig. S3 A-I</w:t>
      </w:r>
      <w:r w:rsidRPr="00B72740">
        <w:rPr>
          <w:rFonts w:ascii="Arial" w:hAnsi="Arial" w:cs="Arial"/>
          <w:sz w:val="24"/>
          <w:szCs w:val="24"/>
        </w:rPr>
        <w:t xml:space="preserve"> Gene set enrichment analysis (GSEA, https://www.gsea-msigdb.org/gsea/index.jsp) was performed </w:t>
      </w:r>
      <w:r w:rsidR="00B72740">
        <w:rPr>
          <w:rFonts w:ascii="Arial" w:hAnsi="Arial" w:cs="Arial"/>
          <w:sz w:val="24"/>
          <w:szCs w:val="24"/>
        </w:rPr>
        <w:t>for</w:t>
      </w:r>
      <w:r w:rsidRPr="00B72740">
        <w:rPr>
          <w:rFonts w:ascii="Arial" w:hAnsi="Arial" w:cs="Arial"/>
          <w:sz w:val="24"/>
          <w:szCs w:val="24"/>
        </w:rPr>
        <w:t xml:space="preserve"> PTK2</w:t>
      </w:r>
      <w:r w:rsidRPr="00B72740">
        <w:rPr>
          <w:rFonts w:ascii="Arial" w:hAnsi="Arial" w:cs="Arial"/>
          <w:sz w:val="24"/>
          <w:szCs w:val="24"/>
          <w:vertAlign w:val="superscript"/>
        </w:rPr>
        <w:t>up</w:t>
      </w:r>
      <w:r w:rsidRPr="00B72740">
        <w:rPr>
          <w:rFonts w:ascii="Arial" w:hAnsi="Arial" w:cs="Arial"/>
          <w:sz w:val="24"/>
          <w:szCs w:val="24"/>
        </w:rPr>
        <w:t xml:space="preserve"> (Death, </w:t>
      </w:r>
      <w:r w:rsidRPr="00B72740">
        <w:rPr>
          <w:rFonts w:ascii="Arial" w:hAnsi="Arial" w:cs="Arial"/>
          <w:i/>
          <w:sz w:val="24"/>
          <w:szCs w:val="24"/>
        </w:rPr>
        <w:t>n</w:t>
      </w:r>
      <w:r w:rsidRPr="00B72740">
        <w:rPr>
          <w:rFonts w:ascii="Arial" w:hAnsi="Arial" w:cs="Arial"/>
          <w:sz w:val="24"/>
          <w:szCs w:val="24"/>
        </w:rPr>
        <w:t>=19) versus PTK2</w:t>
      </w:r>
      <w:r w:rsidRPr="00B72740">
        <w:rPr>
          <w:rFonts w:ascii="Arial" w:hAnsi="Arial" w:cs="Arial"/>
          <w:sz w:val="24"/>
          <w:szCs w:val="24"/>
          <w:vertAlign w:val="superscript"/>
        </w:rPr>
        <w:t>down</w:t>
      </w:r>
      <w:r w:rsidRPr="00B72740">
        <w:rPr>
          <w:rFonts w:ascii="Arial" w:hAnsi="Arial" w:cs="Arial"/>
          <w:sz w:val="24"/>
          <w:szCs w:val="24"/>
        </w:rPr>
        <w:t xml:space="preserve"> (Live, </w:t>
      </w:r>
      <w:r w:rsidRPr="00B72740">
        <w:rPr>
          <w:rFonts w:ascii="Arial" w:hAnsi="Arial" w:cs="Arial"/>
          <w:i/>
          <w:sz w:val="24"/>
          <w:szCs w:val="24"/>
        </w:rPr>
        <w:t>n</w:t>
      </w:r>
      <w:r w:rsidRPr="00B72740">
        <w:rPr>
          <w:rFonts w:ascii="Arial" w:hAnsi="Arial" w:cs="Arial"/>
          <w:sz w:val="24"/>
          <w:szCs w:val="24"/>
        </w:rPr>
        <w:t>=11), as indicated in Fig. 1A. Gene sets related to cancer progression are presented (</w:t>
      </w:r>
      <w:r w:rsidRPr="00B72740">
        <w:rPr>
          <w:rFonts w:ascii="Arial" w:hAnsi="Arial" w:cs="Arial"/>
          <w:b/>
          <w:sz w:val="24"/>
          <w:szCs w:val="24"/>
        </w:rPr>
        <w:t>A</w:t>
      </w:r>
      <w:r w:rsidRPr="00B72740">
        <w:rPr>
          <w:rFonts w:ascii="Arial" w:hAnsi="Arial" w:cs="Arial"/>
          <w:sz w:val="24"/>
          <w:szCs w:val="24"/>
        </w:rPr>
        <w:t xml:space="preserve">, AURORA A PATHWAY; </w:t>
      </w:r>
      <w:r w:rsidRPr="00B72740">
        <w:rPr>
          <w:rFonts w:ascii="Arial" w:hAnsi="Arial" w:cs="Arial"/>
          <w:b/>
          <w:sz w:val="24"/>
          <w:szCs w:val="24"/>
        </w:rPr>
        <w:t>B</w:t>
      </w:r>
      <w:r w:rsidRPr="00B72740">
        <w:rPr>
          <w:rFonts w:ascii="Arial" w:hAnsi="Arial" w:cs="Arial"/>
          <w:sz w:val="24"/>
          <w:szCs w:val="24"/>
        </w:rPr>
        <w:t xml:space="preserve">, RAC1 PATHWAY; </w:t>
      </w:r>
      <w:r w:rsidRPr="00B72740">
        <w:rPr>
          <w:rFonts w:ascii="Arial" w:hAnsi="Arial" w:cs="Arial"/>
          <w:b/>
          <w:sz w:val="24"/>
          <w:szCs w:val="24"/>
        </w:rPr>
        <w:t>C</w:t>
      </w:r>
      <w:r w:rsidRPr="00B72740">
        <w:rPr>
          <w:rFonts w:ascii="Arial" w:hAnsi="Arial" w:cs="Arial"/>
          <w:sz w:val="24"/>
          <w:szCs w:val="24"/>
        </w:rPr>
        <w:t xml:space="preserve">, IGF1 PATHWAY; </w:t>
      </w:r>
      <w:r w:rsidRPr="00B72740">
        <w:rPr>
          <w:rFonts w:ascii="Arial" w:hAnsi="Arial" w:cs="Arial"/>
          <w:b/>
          <w:sz w:val="24"/>
          <w:szCs w:val="24"/>
        </w:rPr>
        <w:t>D</w:t>
      </w:r>
      <w:r w:rsidRPr="00B72740">
        <w:rPr>
          <w:rFonts w:ascii="Arial" w:hAnsi="Arial" w:cs="Arial"/>
          <w:sz w:val="24"/>
          <w:szCs w:val="24"/>
        </w:rPr>
        <w:t xml:space="preserve">, AURORA B PATHWAY; </w:t>
      </w:r>
      <w:r w:rsidRPr="00B72740">
        <w:rPr>
          <w:rFonts w:ascii="Arial" w:hAnsi="Arial" w:cs="Arial"/>
          <w:b/>
          <w:sz w:val="24"/>
          <w:szCs w:val="24"/>
        </w:rPr>
        <w:t>E</w:t>
      </w:r>
      <w:r w:rsidRPr="00B72740">
        <w:rPr>
          <w:rFonts w:ascii="Arial" w:hAnsi="Arial" w:cs="Arial"/>
          <w:sz w:val="24"/>
          <w:szCs w:val="24"/>
        </w:rPr>
        <w:t xml:space="preserve">, MYC ACTIV PATHWAY; </w:t>
      </w:r>
      <w:r w:rsidRPr="00B72740">
        <w:rPr>
          <w:rFonts w:ascii="Arial" w:hAnsi="Arial" w:cs="Arial"/>
          <w:b/>
          <w:sz w:val="24"/>
          <w:szCs w:val="24"/>
        </w:rPr>
        <w:t>F</w:t>
      </w:r>
      <w:r w:rsidRPr="00B72740">
        <w:rPr>
          <w:rFonts w:ascii="Arial" w:hAnsi="Arial" w:cs="Arial"/>
          <w:sz w:val="24"/>
          <w:szCs w:val="24"/>
        </w:rPr>
        <w:t xml:space="preserve">, IGF1R PATHWAY; </w:t>
      </w:r>
      <w:r w:rsidRPr="00B72740">
        <w:rPr>
          <w:rFonts w:ascii="Arial" w:hAnsi="Arial" w:cs="Arial"/>
          <w:b/>
          <w:sz w:val="24"/>
          <w:szCs w:val="24"/>
        </w:rPr>
        <w:t>G</w:t>
      </w:r>
      <w:r w:rsidRPr="00B72740">
        <w:rPr>
          <w:rFonts w:ascii="Arial" w:hAnsi="Arial" w:cs="Arial"/>
          <w:sz w:val="24"/>
          <w:szCs w:val="24"/>
        </w:rPr>
        <w:t xml:space="preserve">, INSULIN </w:t>
      </w:r>
      <w:r w:rsidRPr="00B72740">
        <w:rPr>
          <w:rFonts w:ascii="Arial" w:hAnsi="Arial" w:cs="Arial"/>
          <w:sz w:val="24"/>
          <w:szCs w:val="24"/>
        </w:rPr>
        <w:lastRenderedPageBreak/>
        <w:t xml:space="preserve">PATHWAY; </w:t>
      </w:r>
      <w:r w:rsidRPr="00B72740">
        <w:rPr>
          <w:rFonts w:ascii="Arial" w:hAnsi="Arial" w:cs="Arial"/>
          <w:b/>
          <w:sz w:val="24"/>
          <w:szCs w:val="24"/>
        </w:rPr>
        <w:t>H</w:t>
      </w:r>
      <w:r w:rsidRPr="00B72740">
        <w:rPr>
          <w:rFonts w:ascii="Arial" w:hAnsi="Arial" w:cs="Arial"/>
          <w:sz w:val="24"/>
          <w:szCs w:val="24"/>
        </w:rPr>
        <w:t xml:space="preserve">, HDAC CLASS I PATHWAY; </w:t>
      </w:r>
      <w:r w:rsidRPr="00B72740">
        <w:rPr>
          <w:rFonts w:ascii="Arial" w:hAnsi="Arial" w:cs="Arial"/>
          <w:b/>
          <w:sz w:val="24"/>
          <w:szCs w:val="24"/>
        </w:rPr>
        <w:t>I</w:t>
      </w:r>
      <w:r w:rsidRPr="00B72740">
        <w:rPr>
          <w:rFonts w:ascii="Arial" w:hAnsi="Arial" w:cs="Arial"/>
          <w:sz w:val="24"/>
          <w:szCs w:val="24"/>
        </w:rPr>
        <w:t>, HDAC CLASSII PATHWAY). NES, nominal P-value, and FDR q-values are indicated in the inner panel.</w:t>
      </w:r>
    </w:p>
    <w:p w:rsidR="006B7967" w:rsidRDefault="006B7967" w:rsidP="006B7967"/>
    <w:p w:rsidR="006B7967" w:rsidRDefault="006B7967" w:rsidP="006B7967">
      <w:r>
        <w:rPr>
          <w:noProof/>
        </w:rPr>
        <w:drawing>
          <wp:inline distT="0" distB="0" distL="0" distR="0">
            <wp:extent cx="3865245" cy="3602355"/>
            <wp:effectExtent l="0" t="0" r="1905" b="0"/>
            <wp:docPr id="37" name="그림 37"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Fi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5245" cy="3602355"/>
                    </a:xfrm>
                    <a:prstGeom prst="rect">
                      <a:avLst/>
                    </a:prstGeom>
                    <a:noFill/>
                    <a:ln>
                      <a:noFill/>
                    </a:ln>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Fig. S4</w:t>
      </w:r>
      <w:r w:rsidRPr="00B72740">
        <w:rPr>
          <w:rFonts w:ascii="Arial" w:hAnsi="Arial" w:cs="Arial"/>
          <w:sz w:val="24"/>
          <w:szCs w:val="24"/>
        </w:rPr>
        <w:t xml:space="preserve"> Generation of </w:t>
      </w:r>
      <w:r w:rsidRPr="00B72740">
        <w:rPr>
          <w:rFonts w:ascii="Arial" w:hAnsi="Arial" w:cs="Arial"/>
          <w:i/>
          <w:sz w:val="24"/>
          <w:szCs w:val="24"/>
        </w:rPr>
        <w:t>PTK2</w:t>
      </w:r>
      <w:r w:rsidR="00A34560">
        <w:rPr>
          <w:rFonts w:ascii="Arial" w:hAnsi="Arial" w:cs="Arial"/>
          <w:sz w:val="24"/>
          <w:szCs w:val="24"/>
        </w:rPr>
        <w:t>-knockout</w:t>
      </w:r>
      <w:r w:rsidRPr="00B72740">
        <w:rPr>
          <w:rFonts w:ascii="Arial" w:hAnsi="Arial" w:cs="Arial"/>
          <w:sz w:val="24"/>
          <w:szCs w:val="24"/>
        </w:rPr>
        <w:t xml:space="preserve"> (</w:t>
      </w:r>
      <w:r w:rsidRPr="00B72740">
        <w:rPr>
          <w:rFonts w:ascii="Arial" w:hAnsi="Arial" w:cs="Arial"/>
          <w:i/>
          <w:sz w:val="24"/>
          <w:szCs w:val="24"/>
        </w:rPr>
        <w:t>PTK2</w:t>
      </w:r>
      <w:r w:rsidRPr="00B72740">
        <w:rPr>
          <w:rFonts w:ascii="Arial" w:hAnsi="Arial" w:cs="Arial"/>
          <w:sz w:val="24"/>
          <w:szCs w:val="24"/>
        </w:rPr>
        <w:t xml:space="preserve">-KO) H1299 cells. CRISPR-Cas9 gene editing method Two-vector system was utilized to generate </w:t>
      </w:r>
      <w:r w:rsidRPr="00B72740">
        <w:rPr>
          <w:rFonts w:ascii="Arial" w:hAnsi="Arial" w:cs="Arial"/>
          <w:i/>
          <w:sz w:val="24"/>
          <w:szCs w:val="24"/>
        </w:rPr>
        <w:t>PTK2</w:t>
      </w:r>
      <w:r w:rsidRPr="00B72740">
        <w:rPr>
          <w:rFonts w:ascii="Arial" w:hAnsi="Arial" w:cs="Arial"/>
          <w:sz w:val="24"/>
          <w:szCs w:val="24"/>
        </w:rPr>
        <w:t xml:space="preserve">-KO lung cancer cells. Three gRNAs targeted to PTK2 were designed (Fig. 1F). </w:t>
      </w:r>
      <w:r w:rsidRPr="00B72740">
        <w:rPr>
          <w:rFonts w:ascii="Arial" w:hAnsi="Arial" w:cs="Arial"/>
          <w:i/>
          <w:sz w:val="24"/>
          <w:szCs w:val="24"/>
        </w:rPr>
        <w:t>PTK2</w:t>
      </w:r>
      <w:r w:rsidRPr="00B72740">
        <w:rPr>
          <w:rFonts w:ascii="Arial" w:hAnsi="Arial" w:cs="Arial"/>
          <w:sz w:val="24"/>
          <w:szCs w:val="24"/>
        </w:rPr>
        <w:t>-KO H1299 lung cancer cells were generated using CRISPR-Cas9 gene editing method. Endogenous PTK2 expression was evaluated by western blotting assay with anti-PTK2 and anti-GAPDH antibody (a loading control).</w:t>
      </w:r>
    </w:p>
    <w:p w:rsidR="006B7967" w:rsidRPr="00B72740" w:rsidRDefault="006B7967" w:rsidP="006B7967">
      <w:pPr>
        <w:rPr>
          <w:sz w:val="24"/>
          <w:szCs w:val="24"/>
        </w:rPr>
      </w:pPr>
    </w:p>
    <w:p w:rsidR="006B7967" w:rsidRDefault="006B7967" w:rsidP="006B7967"/>
    <w:p w:rsidR="006B7967" w:rsidRDefault="006B7967" w:rsidP="006B7967">
      <w:r>
        <w:br w:type="page"/>
      </w:r>
    </w:p>
    <w:p w:rsidR="006B7967" w:rsidRDefault="00E1686D" w:rsidP="006B7967">
      <w:r>
        <w:rPr>
          <w:noProof/>
        </w:rPr>
        <w:lastRenderedPageBreak/>
        <w:drawing>
          <wp:inline distT="0" distB="0" distL="0" distR="0" wp14:anchorId="39F013BD">
            <wp:extent cx="5731428" cy="4395267"/>
            <wp:effectExtent l="0" t="0" r="0" b="571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5323" cy="4398254"/>
                    </a:xfrm>
                    <a:prstGeom prst="rect">
                      <a:avLst/>
                    </a:prstGeom>
                    <a:noFill/>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Fig. S5</w:t>
      </w:r>
      <w:r w:rsidRPr="00B72740">
        <w:rPr>
          <w:rFonts w:ascii="Arial" w:hAnsi="Arial" w:cs="Arial"/>
          <w:sz w:val="24"/>
          <w:szCs w:val="24"/>
        </w:rPr>
        <w:t xml:space="preserve"> Cancer progression assay, including cell proliferation, colony formation, and cell migration. </w:t>
      </w:r>
      <w:r w:rsidRPr="00B72740">
        <w:rPr>
          <w:rFonts w:ascii="Arial" w:hAnsi="Arial" w:cs="Arial"/>
          <w:b/>
          <w:sz w:val="24"/>
          <w:szCs w:val="24"/>
        </w:rPr>
        <w:t>A</w:t>
      </w:r>
      <w:r w:rsidRPr="00B72740">
        <w:rPr>
          <w:rFonts w:ascii="Arial" w:hAnsi="Arial" w:cs="Arial"/>
          <w:sz w:val="24"/>
          <w:szCs w:val="24"/>
        </w:rPr>
        <w:t xml:space="preserve"> </w:t>
      </w:r>
      <w:r w:rsidRPr="00A34560">
        <w:rPr>
          <w:rFonts w:ascii="Arial" w:hAnsi="Arial" w:cs="Arial"/>
          <w:b/>
          <w:sz w:val="24"/>
          <w:szCs w:val="24"/>
        </w:rPr>
        <w:t>and B</w:t>
      </w:r>
      <w:r w:rsidRPr="00B72740">
        <w:rPr>
          <w:rFonts w:ascii="Arial" w:hAnsi="Arial" w:cs="Arial"/>
          <w:sz w:val="24"/>
          <w:szCs w:val="24"/>
        </w:rPr>
        <w:t xml:space="preserve"> Cell proliferation assay was performed with control (Ctrl) A549 and </w:t>
      </w:r>
      <w:r w:rsidRPr="00B72740">
        <w:rPr>
          <w:rFonts w:ascii="Arial" w:hAnsi="Arial" w:cs="Arial"/>
          <w:i/>
          <w:sz w:val="24"/>
          <w:szCs w:val="24"/>
        </w:rPr>
        <w:t>PTK2</w:t>
      </w:r>
      <w:r w:rsidRPr="00B72740">
        <w:rPr>
          <w:rFonts w:ascii="Arial" w:hAnsi="Arial" w:cs="Arial"/>
          <w:sz w:val="24"/>
          <w:szCs w:val="24"/>
        </w:rPr>
        <w:t>-KO A549 cells (</w:t>
      </w:r>
      <w:r w:rsidRPr="00B72740">
        <w:rPr>
          <w:rFonts w:ascii="Arial" w:hAnsi="Arial" w:cs="Arial"/>
          <w:b/>
          <w:sz w:val="24"/>
          <w:szCs w:val="24"/>
        </w:rPr>
        <w:t>A</w:t>
      </w:r>
      <w:r w:rsidRPr="00B72740">
        <w:rPr>
          <w:rFonts w:ascii="Arial" w:hAnsi="Arial" w:cs="Arial"/>
          <w:sz w:val="24"/>
          <w:szCs w:val="24"/>
        </w:rPr>
        <w:t xml:space="preserve">) or Ctrl H1299 and </w:t>
      </w:r>
      <w:r w:rsidRPr="00B72740">
        <w:rPr>
          <w:rFonts w:ascii="Arial" w:hAnsi="Arial" w:cs="Arial"/>
          <w:i/>
          <w:sz w:val="24"/>
          <w:szCs w:val="24"/>
        </w:rPr>
        <w:t>PTK2</w:t>
      </w:r>
      <w:r w:rsidRPr="00B72740">
        <w:rPr>
          <w:rFonts w:ascii="Arial" w:hAnsi="Arial" w:cs="Arial"/>
          <w:sz w:val="24"/>
          <w:szCs w:val="24"/>
        </w:rPr>
        <w:t>-KO H1299 cells (</w:t>
      </w:r>
      <w:r w:rsidRPr="00B72740">
        <w:rPr>
          <w:rFonts w:ascii="Arial" w:hAnsi="Arial" w:cs="Arial"/>
          <w:b/>
          <w:sz w:val="24"/>
          <w:szCs w:val="24"/>
        </w:rPr>
        <w:t>B</w:t>
      </w:r>
      <w:r w:rsidRPr="00B72740">
        <w:rPr>
          <w:rFonts w:ascii="Arial" w:hAnsi="Arial" w:cs="Arial"/>
          <w:sz w:val="24"/>
          <w:szCs w:val="24"/>
        </w:rPr>
        <w:t xml:space="preserve">). Results are presented as mean ± SD of three independent experiments. </w:t>
      </w:r>
      <w:r w:rsidRPr="00B72740">
        <w:rPr>
          <w:rFonts w:ascii="Arial" w:hAnsi="Arial" w:cs="Arial"/>
          <w:b/>
          <w:sz w:val="24"/>
          <w:szCs w:val="24"/>
        </w:rPr>
        <w:t>C and D</w:t>
      </w:r>
      <w:r w:rsidRPr="00B72740">
        <w:rPr>
          <w:rFonts w:ascii="Arial" w:hAnsi="Arial" w:cs="Arial"/>
          <w:sz w:val="24"/>
          <w:szCs w:val="24"/>
        </w:rPr>
        <w:t xml:space="preserve"> Anchorage-independent colony formation assay was performed with Ctrl A549 and </w:t>
      </w:r>
      <w:r w:rsidRPr="00B72740">
        <w:rPr>
          <w:rFonts w:ascii="Arial" w:hAnsi="Arial" w:cs="Arial"/>
          <w:i/>
          <w:sz w:val="24"/>
          <w:szCs w:val="24"/>
        </w:rPr>
        <w:t>PTK2</w:t>
      </w:r>
      <w:r w:rsidRPr="00B72740">
        <w:rPr>
          <w:rFonts w:ascii="Arial" w:hAnsi="Arial" w:cs="Arial"/>
          <w:sz w:val="24"/>
          <w:szCs w:val="24"/>
        </w:rPr>
        <w:t>-KO A549 cells (</w:t>
      </w:r>
      <w:r w:rsidRPr="00B72740">
        <w:rPr>
          <w:rFonts w:ascii="Arial" w:hAnsi="Arial" w:cs="Arial"/>
          <w:b/>
          <w:sz w:val="24"/>
          <w:szCs w:val="24"/>
        </w:rPr>
        <w:t>C</w:t>
      </w:r>
      <w:r w:rsidRPr="00B72740">
        <w:rPr>
          <w:rFonts w:ascii="Arial" w:hAnsi="Arial" w:cs="Arial"/>
          <w:sz w:val="24"/>
          <w:szCs w:val="24"/>
        </w:rPr>
        <w:t xml:space="preserve">) or Ctrl H1299 and </w:t>
      </w:r>
      <w:r w:rsidRPr="00B72740">
        <w:rPr>
          <w:rFonts w:ascii="Arial" w:hAnsi="Arial" w:cs="Arial"/>
          <w:i/>
          <w:sz w:val="24"/>
          <w:szCs w:val="24"/>
        </w:rPr>
        <w:t>PTK2</w:t>
      </w:r>
      <w:r w:rsidRPr="00B72740">
        <w:rPr>
          <w:rFonts w:ascii="Arial" w:hAnsi="Arial" w:cs="Arial"/>
          <w:sz w:val="24"/>
          <w:szCs w:val="24"/>
        </w:rPr>
        <w:t>-KO H1299 cells (</w:t>
      </w:r>
      <w:r w:rsidRPr="00B72740">
        <w:rPr>
          <w:rFonts w:ascii="Arial" w:hAnsi="Arial" w:cs="Arial"/>
          <w:b/>
          <w:sz w:val="24"/>
          <w:szCs w:val="24"/>
        </w:rPr>
        <w:t>D</w:t>
      </w:r>
      <w:r w:rsidRPr="00B72740">
        <w:rPr>
          <w:rFonts w:ascii="Arial" w:hAnsi="Arial" w:cs="Arial"/>
          <w:sz w:val="24"/>
          <w:szCs w:val="24"/>
        </w:rPr>
        <w:t xml:space="preserve">). The number of colonies was counted (scale bar, 100 μm). Results are presented as mean ± SD of five independent experiments. </w:t>
      </w:r>
      <w:r w:rsidRPr="00B72740">
        <w:rPr>
          <w:rFonts w:ascii="Arial" w:hAnsi="Arial" w:cs="Arial"/>
          <w:b/>
          <w:sz w:val="24"/>
          <w:szCs w:val="24"/>
        </w:rPr>
        <w:t>E and F</w:t>
      </w:r>
      <w:r w:rsidRPr="00B72740">
        <w:rPr>
          <w:rFonts w:ascii="Arial" w:hAnsi="Arial" w:cs="Arial"/>
          <w:sz w:val="24"/>
          <w:szCs w:val="24"/>
        </w:rPr>
        <w:t xml:space="preserve"> Anchorage-dependent colony formation assay was performed with Ctrl A549 and </w:t>
      </w:r>
      <w:r w:rsidRPr="00B72740">
        <w:rPr>
          <w:rFonts w:ascii="Arial" w:hAnsi="Arial" w:cs="Arial"/>
          <w:i/>
          <w:sz w:val="24"/>
          <w:szCs w:val="24"/>
        </w:rPr>
        <w:t>PTK2</w:t>
      </w:r>
      <w:r w:rsidRPr="00B72740">
        <w:rPr>
          <w:rFonts w:ascii="Arial" w:hAnsi="Arial" w:cs="Arial"/>
          <w:sz w:val="24"/>
          <w:szCs w:val="24"/>
        </w:rPr>
        <w:t>-KO A549 cells (</w:t>
      </w:r>
      <w:r w:rsidRPr="00B72740">
        <w:rPr>
          <w:rFonts w:ascii="Arial" w:hAnsi="Arial" w:cs="Arial"/>
          <w:b/>
          <w:sz w:val="24"/>
          <w:szCs w:val="24"/>
        </w:rPr>
        <w:t>E</w:t>
      </w:r>
      <w:r w:rsidRPr="00B72740">
        <w:rPr>
          <w:rFonts w:ascii="Arial" w:hAnsi="Arial" w:cs="Arial"/>
          <w:sz w:val="24"/>
          <w:szCs w:val="24"/>
        </w:rPr>
        <w:t xml:space="preserve">) or Ctrl H1299 and </w:t>
      </w:r>
      <w:r w:rsidRPr="00B72740">
        <w:rPr>
          <w:rFonts w:ascii="Arial" w:hAnsi="Arial" w:cs="Arial"/>
          <w:i/>
          <w:sz w:val="24"/>
          <w:szCs w:val="24"/>
        </w:rPr>
        <w:t>PTK2</w:t>
      </w:r>
      <w:r w:rsidRPr="00B72740">
        <w:rPr>
          <w:rFonts w:ascii="Arial" w:hAnsi="Arial" w:cs="Arial"/>
          <w:sz w:val="24"/>
          <w:szCs w:val="24"/>
        </w:rPr>
        <w:t>-KO H1299 cells (</w:t>
      </w:r>
      <w:r w:rsidRPr="00B72740">
        <w:rPr>
          <w:rFonts w:ascii="Arial" w:hAnsi="Arial" w:cs="Arial"/>
          <w:b/>
          <w:sz w:val="24"/>
          <w:szCs w:val="24"/>
        </w:rPr>
        <w:t>F</w:t>
      </w:r>
      <w:r w:rsidRPr="00B72740">
        <w:rPr>
          <w:rFonts w:ascii="Arial" w:hAnsi="Arial" w:cs="Arial"/>
          <w:sz w:val="24"/>
          <w:szCs w:val="24"/>
        </w:rPr>
        <w:t xml:space="preserve">). The number of colonies was counted. Results are presented as mean ± SD of five independent experiments. </w:t>
      </w:r>
      <w:r w:rsidRPr="00B72740">
        <w:rPr>
          <w:rFonts w:ascii="Arial" w:hAnsi="Arial" w:cs="Arial"/>
          <w:b/>
          <w:sz w:val="24"/>
          <w:szCs w:val="24"/>
        </w:rPr>
        <w:t>G and H</w:t>
      </w:r>
      <w:r w:rsidRPr="00B72740">
        <w:rPr>
          <w:rFonts w:ascii="Arial" w:hAnsi="Arial" w:cs="Arial"/>
          <w:sz w:val="24"/>
          <w:szCs w:val="24"/>
        </w:rPr>
        <w:t xml:space="preserve"> Transwell migration assay was performed with Ctrl A549 and </w:t>
      </w:r>
      <w:r w:rsidRPr="00B72740">
        <w:rPr>
          <w:rFonts w:ascii="Arial" w:hAnsi="Arial" w:cs="Arial"/>
          <w:i/>
          <w:sz w:val="24"/>
          <w:szCs w:val="24"/>
        </w:rPr>
        <w:t>PTK2</w:t>
      </w:r>
      <w:r w:rsidRPr="00B72740">
        <w:rPr>
          <w:rFonts w:ascii="Arial" w:hAnsi="Arial" w:cs="Arial"/>
          <w:sz w:val="24"/>
          <w:szCs w:val="24"/>
        </w:rPr>
        <w:t>-KO A549 cells (</w:t>
      </w:r>
      <w:r w:rsidRPr="00B72740">
        <w:rPr>
          <w:rFonts w:ascii="Arial" w:hAnsi="Arial" w:cs="Arial"/>
          <w:b/>
          <w:sz w:val="24"/>
          <w:szCs w:val="24"/>
        </w:rPr>
        <w:t>G</w:t>
      </w:r>
      <w:r w:rsidRPr="00B72740">
        <w:rPr>
          <w:rFonts w:ascii="Arial" w:hAnsi="Arial" w:cs="Arial"/>
          <w:sz w:val="24"/>
          <w:szCs w:val="24"/>
        </w:rPr>
        <w:t xml:space="preserve">) or Ctrl H1299 and </w:t>
      </w:r>
      <w:r w:rsidRPr="00B72740">
        <w:rPr>
          <w:rFonts w:ascii="Arial" w:hAnsi="Arial" w:cs="Arial"/>
          <w:i/>
          <w:sz w:val="24"/>
          <w:szCs w:val="24"/>
        </w:rPr>
        <w:t>PTK2</w:t>
      </w:r>
      <w:r w:rsidRPr="00B72740">
        <w:rPr>
          <w:rFonts w:ascii="Arial" w:hAnsi="Arial" w:cs="Arial"/>
          <w:sz w:val="24"/>
          <w:szCs w:val="24"/>
        </w:rPr>
        <w:t>-KO H1299 cells (</w:t>
      </w:r>
      <w:r w:rsidRPr="00B72740">
        <w:rPr>
          <w:rFonts w:ascii="Arial" w:hAnsi="Arial" w:cs="Arial"/>
          <w:b/>
          <w:sz w:val="24"/>
          <w:szCs w:val="24"/>
        </w:rPr>
        <w:t>H</w:t>
      </w:r>
      <w:r w:rsidRPr="00B72740">
        <w:rPr>
          <w:rFonts w:ascii="Arial" w:hAnsi="Arial" w:cs="Arial"/>
          <w:sz w:val="24"/>
          <w:szCs w:val="24"/>
        </w:rPr>
        <w:t xml:space="preserve">). The number of cells was counted. Results are presented as mean ± </w:t>
      </w:r>
      <w:r w:rsidRPr="00B72740">
        <w:rPr>
          <w:rFonts w:ascii="Arial" w:hAnsi="Arial" w:cs="Arial"/>
          <w:sz w:val="24"/>
          <w:szCs w:val="24"/>
        </w:rPr>
        <w:lastRenderedPageBreak/>
        <w:t xml:space="preserve">SD of five independent experiments. </w:t>
      </w:r>
      <w:r w:rsidRPr="00B72740">
        <w:rPr>
          <w:rFonts w:ascii="Arial" w:hAnsi="Arial" w:cs="Arial"/>
          <w:b/>
          <w:sz w:val="24"/>
          <w:szCs w:val="24"/>
        </w:rPr>
        <w:t>I and J</w:t>
      </w:r>
      <w:r w:rsidRPr="00B72740">
        <w:rPr>
          <w:rFonts w:ascii="Arial" w:hAnsi="Arial" w:cs="Arial"/>
          <w:sz w:val="24"/>
          <w:szCs w:val="24"/>
        </w:rPr>
        <w:t xml:space="preserve"> Wound healing assay was performed with Ctrl A549 and </w:t>
      </w:r>
      <w:r w:rsidRPr="00B72740">
        <w:rPr>
          <w:rFonts w:ascii="Arial" w:hAnsi="Arial" w:cs="Arial"/>
          <w:i/>
          <w:sz w:val="24"/>
          <w:szCs w:val="24"/>
        </w:rPr>
        <w:t>PTK2</w:t>
      </w:r>
      <w:r w:rsidRPr="00B72740">
        <w:rPr>
          <w:rFonts w:ascii="Arial" w:hAnsi="Arial" w:cs="Arial"/>
          <w:sz w:val="24"/>
          <w:szCs w:val="24"/>
        </w:rPr>
        <w:t>-KO A549 cells (</w:t>
      </w:r>
      <w:r w:rsidRPr="00B72740">
        <w:rPr>
          <w:rFonts w:ascii="Arial" w:hAnsi="Arial" w:cs="Arial"/>
          <w:b/>
          <w:sz w:val="24"/>
          <w:szCs w:val="24"/>
        </w:rPr>
        <w:t>I</w:t>
      </w:r>
      <w:r w:rsidRPr="00B72740">
        <w:rPr>
          <w:rFonts w:ascii="Arial" w:hAnsi="Arial" w:cs="Arial"/>
          <w:sz w:val="24"/>
          <w:szCs w:val="24"/>
        </w:rPr>
        <w:t xml:space="preserve">) or Ctrl H1299 and </w:t>
      </w:r>
      <w:r w:rsidRPr="00B72740">
        <w:rPr>
          <w:rFonts w:ascii="Arial" w:hAnsi="Arial" w:cs="Arial"/>
          <w:i/>
          <w:sz w:val="24"/>
          <w:szCs w:val="24"/>
        </w:rPr>
        <w:t>PTK2</w:t>
      </w:r>
      <w:r w:rsidRPr="00B72740">
        <w:rPr>
          <w:rFonts w:ascii="Arial" w:hAnsi="Arial" w:cs="Arial"/>
          <w:sz w:val="24"/>
          <w:szCs w:val="24"/>
        </w:rPr>
        <w:t>-KO H1299 cells (</w:t>
      </w:r>
      <w:r w:rsidRPr="00B72740">
        <w:rPr>
          <w:rFonts w:ascii="Arial" w:hAnsi="Arial" w:cs="Arial"/>
          <w:b/>
          <w:sz w:val="24"/>
          <w:szCs w:val="24"/>
        </w:rPr>
        <w:t>J</w:t>
      </w:r>
      <w:r w:rsidRPr="00B72740">
        <w:rPr>
          <w:rFonts w:ascii="Arial" w:hAnsi="Arial" w:cs="Arial"/>
          <w:sz w:val="24"/>
          <w:szCs w:val="24"/>
        </w:rPr>
        <w:t xml:space="preserve">). The residual gap between migrating cells from the opposing wound edge is expressed as a percentage of initially scraped area (± SD, </w:t>
      </w:r>
      <w:r w:rsidRPr="00B72740">
        <w:rPr>
          <w:rFonts w:ascii="Arial" w:hAnsi="Arial" w:cs="Arial"/>
          <w:i/>
          <w:sz w:val="24"/>
          <w:szCs w:val="24"/>
        </w:rPr>
        <w:t>n</w:t>
      </w:r>
      <w:r w:rsidRPr="00B72740">
        <w:rPr>
          <w:rFonts w:ascii="Arial" w:hAnsi="Arial" w:cs="Arial"/>
          <w:sz w:val="24"/>
          <w:szCs w:val="24"/>
        </w:rPr>
        <w:t xml:space="preserve"> = 3 different plates). *, </w:t>
      </w:r>
      <w:r w:rsidRPr="00B72740">
        <w:rPr>
          <w:rFonts w:ascii="Arial" w:hAnsi="Arial" w:cs="Arial"/>
          <w:i/>
          <w:sz w:val="24"/>
          <w:szCs w:val="24"/>
        </w:rPr>
        <w:t>P</w:t>
      </w:r>
      <w:r w:rsidRPr="00B72740">
        <w:rPr>
          <w:rFonts w:ascii="Arial" w:hAnsi="Arial" w:cs="Arial"/>
          <w:sz w:val="24"/>
          <w:szCs w:val="24"/>
        </w:rPr>
        <w:t xml:space="preserve"> &lt; 0.05; **, </w:t>
      </w:r>
      <w:r w:rsidRPr="00B72740">
        <w:rPr>
          <w:rFonts w:ascii="Arial" w:hAnsi="Arial" w:cs="Arial"/>
          <w:i/>
          <w:sz w:val="24"/>
          <w:szCs w:val="24"/>
        </w:rPr>
        <w:t>P</w:t>
      </w:r>
      <w:r w:rsidRPr="00B72740">
        <w:rPr>
          <w:rFonts w:ascii="Arial" w:hAnsi="Arial" w:cs="Arial"/>
          <w:sz w:val="24"/>
          <w:szCs w:val="24"/>
        </w:rPr>
        <w:t xml:space="preserve"> &lt; 0.01; ***, </w:t>
      </w:r>
      <w:r w:rsidRPr="00B72740">
        <w:rPr>
          <w:rFonts w:ascii="Arial" w:hAnsi="Arial" w:cs="Arial"/>
          <w:i/>
          <w:sz w:val="24"/>
          <w:szCs w:val="24"/>
        </w:rPr>
        <w:t xml:space="preserve">P </w:t>
      </w:r>
      <w:r w:rsidRPr="00B72740">
        <w:rPr>
          <w:rFonts w:ascii="Arial" w:hAnsi="Arial" w:cs="Arial"/>
          <w:sz w:val="24"/>
          <w:szCs w:val="24"/>
        </w:rPr>
        <w:t>&lt; 0.001.</w:t>
      </w:r>
    </w:p>
    <w:p w:rsidR="00B72740" w:rsidRDefault="00B72740">
      <w:pPr>
        <w:widowControl/>
        <w:wordWrap/>
        <w:autoSpaceDE/>
        <w:autoSpaceDN/>
        <w:rPr>
          <w:sz w:val="24"/>
          <w:szCs w:val="24"/>
        </w:rPr>
      </w:pPr>
      <w:r>
        <w:rPr>
          <w:sz w:val="24"/>
          <w:szCs w:val="24"/>
        </w:rPr>
        <w:br w:type="page"/>
      </w:r>
    </w:p>
    <w:p w:rsidR="006B7967" w:rsidRPr="00B72740" w:rsidRDefault="00A34560" w:rsidP="006B7967">
      <w:pPr>
        <w:rPr>
          <w:sz w:val="24"/>
          <w:szCs w:val="24"/>
        </w:rPr>
      </w:pPr>
      <w:r>
        <w:rPr>
          <w:noProof/>
          <w:sz w:val="24"/>
          <w:szCs w:val="24"/>
        </w:rPr>
        <w:lastRenderedPageBreak/>
        <w:drawing>
          <wp:inline distT="0" distB="0" distL="0" distR="0" wp14:anchorId="6F0CDFB2">
            <wp:extent cx="5734822" cy="2292096"/>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2127" cy="2295015"/>
                    </a:xfrm>
                    <a:prstGeom prst="rect">
                      <a:avLst/>
                    </a:prstGeom>
                    <a:noFill/>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Fig. S6</w:t>
      </w:r>
      <w:r w:rsidRPr="00B72740">
        <w:rPr>
          <w:rFonts w:ascii="Arial" w:hAnsi="Arial" w:cs="Arial"/>
          <w:sz w:val="24"/>
          <w:szCs w:val="24"/>
        </w:rPr>
        <w:t xml:space="preserve"> 3D tumor spheroid formation assay in Ctrl H1299 and </w:t>
      </w:r>
      <w:r w:rsidRPr="00B72740">
        <w:rPr>
          <w:rFonts w:ascii="Arial" w:hAnsi="Arial" w:cs="Arial"/>
          <w:i/>
          <w:sz w:val="24"/>
          <w:szCs w:val="24"/>
        </w:rPr>
        <w:t>PTK2</w:t>
      </w:r>
      <w:r w:rsidRPr="00B72740">
        <w:rPr>
          <w:rFonts w:ascii="Arial" w:hAnsi="Arial" w:cs="Arial"/>
          <w:sz w:val="24"/>
          <w:szCs w:val="24"/>
        </w:rPr>
        <w:t xml:space="preserve">-KO H1299 cells. </w:t>
      </w:r>
      <w:r w:rsidRPr="00B72740">
        <w:rPr>
          <w:rFonts w:ascii="Arial" w:hAnsi="Arial" w:cs="Arial"/>
          <w:b/>
          <w:sz w:val="24"/>
          <w:szCs w:val="24"/>
        </w:rPr>
        <w:t>A and B</w:t>
      </w:r>
      <w:r w:rsidRPr="00B72740">
        <w:rPr>
          <w:rFonts w:ascii="Arial" w:hAnsi="Arial" w:cs="Arial"/>
          <w:sz w:val="24"/>
          <w:szCs w:val="24"/>
        </w:rPr>
        <w:t xml:space="preserve"> Control (Ctrl) H1299 or </w:t>
      </w:r>
      <w:r w:rsidRPr="00B72740">
        <w:rPr>
          <w:rFonts w:ascii="Arial" w:hAnsi="Arial" w:cs="Arial"/>
          <w:i/>
          <w:sz w:val="24"/>
          <w:szCs w:val="24"/>
        </w:rPr>
        <w:t>PTK2</w:t>
      </w:r>
      <w:r w:rsidRPr="00B72740">
        <w:rPr>
          <w:rFonts w:ascii="Arial" w:hAnsi="Arial" w:cs="Arial"/>
          <w:sz w:val="24"/>
          <w:szCs w:val="24"/>
        </w:rPr>
        <w:t>-KO H1299 cells in 100</w:t>
      </w:r>
      <w:r w:rsidRPr="00B72740">
        <w:rPr>
          <w:rFonts w:ascii="Arial" w:eastAsia="MS Gothic" w:hAnsi="Arial" w:cs="Arial"/>
          <w:sz w:val="24"/>
          <w:szCs w:val="24"/>
        </w:rPr>
        <w:t> </w:t>
      </w:r>
      <w:r w:rsidRPr="00B72740">
        <w:rPr>
          <w:rFonts w:ascii="Arial" w:hAnsi="Arial" w:cs="Arial"/>
          <w:sz w:val="24"/>
          <w:szCs w:val="24"/>
        </w:rPr>
        <w:t>µl growth medium were seeded at a density of 125 cells per well. Plates were incubated at 37</w:t>
      </w:r>
      <w:r w:rsidRPr="00B72740">
        <w:rPr>
          <w:rFonts w:ascii="Arial" w:eastAsia="MS Gothic" w:hAnsi="Arial" w:cs="Arial"/>
          <w:sz w:val="24"/>
          <w:szCs w:val="24"/>
        </w:rPr>
        <w:t> </w:t>
      </w:r>
      <w:r w:rsidRPr="00B72740">
        <w:rPr>
          <w:rFonts w:ascii="Arial" w:eastAsia="맑은 고딕" w:hAnsi="Arial" w:cs="Arial"/>
          <w:sz w:val="24"/>
          <w:szCs w:val="24"/>
        </w:rPr>
        <w:t>°</w:t>
      </w:r>
      <w:r w:rsidRPr="00B72740">
        <w:rPr>
          <w:rFonts w:ascii="Arial" w:hAnsi="Arial" w:cs="Arial"/>
          <w:sz w:val="24"/>
          <w:szCs w:val="24"/>
        </w:rPr>
        <w:t>C for an additional 48</w:t>
      </w:r>
      <w:r w:rsidRPr="00B72740">
        <w:rPr>
          <w:rFonts w:ascii="Arial" w:eastAsia="MS Gothic" w:hAnsi="Arial" w:cs="Arial"/>
          <w:sz w:val="24"/>
          <w:szCs w:val="24"/>
        </w:rPr>
        <w:t> </w:t>
      </w:r>
      <w:r w:rsidRPr="00B72740">
        <w:rPr>
          <w:rFonts w:ascii="Arial" w:hAnsi="Arial" w:cs="Arial"/>
          <w:sz w:val="24"/>
          <w:szCs w:val="24"/>
        </w:rPr>
        <w:t>hours to allow the formation of 3D spheroids in culture. The spheroid was incubated for different time periods as indicated. Spheroid formation and growth were evaluated using phase-contrast microscopy (scale bar, 100 μm) (</w:t>
      </w:r>
      <w:r w:rsidRPr="00B72740">
        <w:rPr>
          <w:rFonts w:ascii="Arial" w:hAnsi="Arial" w:cs="Arial"/>
          <w:b/>
          <w:sz w:val="24"/>
          <w:szCs w:val="24"/>
        </w:rPr>
        <w:t>A</w:t>
      </w:r>
      <w:r w:rsidRPr="00B72740">
        <w:rPr>
          <w:rFonts w:ascii="Arial" w:hAnsi="Arial" w:cs="Arial"/>
          <w:sz w:val="24"/>
          <w:szCs w:val="24"/>
        </w:rPr>
        <w:t>). The size of the spheroid was assessed using ImageJ Software. Error bars represent SD (</w:t>
      </w:r>
      <w:r w:rsidRPr="00A34560">
        <w:rPr>
          <w:rFonts w:ascii="Arial" w:hAnsi="Arial" w:cs="Arial"/>
          <w:i/>
          <w:sz w:val="24"/>
          <w:szCs w:val="24"/>
        </w:rPr>
        <w:t>n</w:t>
      </w:r>
      <w:r w:rsidRPr="00B72740">
        <w:rPr>
          <w:rFonts w:ascii="Arial" w:hAnsi="Arial" w:cs="Arial"/>
          <w:sz w:val="24"/>
          <w:szCs w:val="24"/>
        </w:rPr>
        <w:t xml:space="preserve"> = 5) of three experiments (</w:t>
      </w:r>
      <w:r w:rsidRPr="00B72740">
        <w:rPr>
          <w:rFonts w:ascii="Arial" w:hAnsi="Arial" w:cs="Arial"/>
          <w:b/>
          <w:sz w:val="24"/>
          <w:szCs w:val="24"/>
        </w:rPr>
        <w:t>B</w:t>
      </w:r>
      <w:r w:rsidRPr="00B72740">
        <w:rPr>
          <w:rFonts w:ascii="Arial" w:hAnsi="Arial" w:cs="Arial"/>
          <w:sz w:val="24"/>
          <w:szCs w:val="24"/>
        </w:rPr>
        <w:t xml:space="preserve">). *, </w:t>
      </w:r>
      <w:r w:rsidRPr="00B72740">
        <w:rPr>
          <w:rFonts w:ascii="Arial" w:hAnsi="Arial" w:cs="Arial"/>
          <w:i/>
          <w:sz w:val="24"/>
          <w:szCs w:val="24"/>
        </w:rPr>
        <w:t>P</w:t>
      </w:r>
      <w:r w:rsidRPr="00B72740">
        <w:rPr>
          <w:rFonts w:ascii="Arial" w:hAnsi="Arial" w:cs="Arial"/>
          <w:sz w:val="24"/>
          <w:szCs w:val="24"/>
        </w:rPr>
        <w:t xml:space="preserve"> &lt; 0.05; **, </w:t>
      </w:r>
      <w:r w:rsidRPr="00B72740">
        <w:rPr>
          <w:rFonts w:ascii="Arial" w:hAnsi="Arial" w:cs="Arial"/>
          <w:i/>
          <w:sz w:val="24"/>
          <w:szCs w:val="24"/>
        </w:rPr>
        <w:t>P</w:t>
      </w:r>
      <w:r w:rsidRPr="00B72740">
        <w:rPr>
          <w:rFonts w:ascii="Arial" w:hAnsi="Arial" w:cs="Arial"/>
          <w:sz w:val="24"/>
          <w:szCs w:val="24"/>
        </w:rPr>
        <w:t xml:space="preserve"> &lt; 0.01; ***, </w:t>
      </w:r>
      <w:r w:rsidRPr="00B72740">
        <w:rPr>
          <w:rFonts w:ascii="Arial" w:hAnsi="Arial" w:cs="Arial"/>
          <w:i/>
          <w:sz w:val="24"/>
          <w:szCs w:val="24"/>
        </w:rPr>
        <w:t xml:space="preserve">P </w:t>
      </w:r>
      <w:r w:rsidRPr="00B72740">
        <w:rPr>
          <w:rFonts w:ascii="Arial" w:hAnsi="Arial" w:cs="Arial"/>
          <w:sz w:val="24"/>
          <w:szCs w:val="24"/>
        </w:rPr>
        <w:t>&lt; 0.001.</w:t>
      </w:r>
    </w:p>
    <w:p w:rsidR="006B7967" w:rsidRPr="00B72740" w:rsidRDefault="006B7967" w:rsidP="006B7967">
      <w:pPr>
        <w:rPr>
          <w:sz w:val="24"/>
          <w:szCs w:val="24"/>
        </w:rPr>
      </w:pPr>
    </w:p>
    <w:p w:rsidR="006B7967" w:rsidRPr="00852501" w:rsidRDefault="006B7967" w:rsidP="006B7967"/>
    <w:p w:rsidR="006B7967" w:rsidRDefault="006B7967" w:rsidP="006B7967"/>
    <w:p w:rsidR="006B7967" w:rsidRDefault="006B7967" w:rsidP="006B7967">
      <w:r>
        <w:br w:type="page"/>
      </w:r>
    </w:p>
    <w:p w:rsidR="006B7967" w:rsidRDefault="006B7967" w:rsidP="006B7967">
      <w:r>
        <w:rPr>
          <w:noProof/>
        </w:rPr>
        <w:lastRenderedPageBreak/>
        <w:drawing>
          <wp:inline distT="0" distB="0" distL="0" distR="0">
            <wp:extent cx="5721985" cy="2272030"/>
            <wp:effectExtent l="0" t="0" r="0" b="0"/>
            <wp:docPr id="34" name="그림 34" descr="그림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그림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1985" cy="2272030"/>
                    </a:xfrm>
                    <a:prstGeom prst="rect">
                      <a:avLst/>
                    </a:prstGeom>
                    <a:noFill/>
                    <a:ln>
                      <a:noFill/>
                    </a:ln>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Fig. S7 A-C</w:t>
      </w:r>
      <w:r w:rsidRPr="00B72740">
        <w:rPr>
          <w:rFonts w:ascii="Arial" w:hAnsi="Arial" w:cs="Arial"/>
          <w:sz w:val="24"/>
          <w:szCs w:val="24"/>
        </w:rPr>
        <w:t xml:space="preserve"> Gene set enrichment analysis (GSEA, https://www.gsea-msigdb.org/gsea/index.jsp) was performed </w:t>
      </w:r>
      <w:r w:rsidR="00B72740" w:rsidRPr="00B72740">
        <w:rPr>
          <w:rFonts w:ascii="Arial" w:hAnsi="Arial" w:cs="Arial"/>
          <w:sz w:val="24"/>
          <w:szCs w:val="24"/>
        </w:rPr>
        <w:t>for</w:t>
      </w:r>
      <w:r w:rsidRPr="00B72740">
        <w:rPr>
          <w:rFonts w:ascii="Arial" w:hAnsi="Arial" w:cs="Arial"/>
          <w:sz w:val="24"/>
          <w:szCs w:val="24"/>
        </w:rPr>
        <w:t xml:space="preserve"> PTK2</w:t>
      </w:r>
      <w:r w:rsidRPr="00B72740">
        <w:rPr>
          <w:rFonts w:ascii="Arial" w:hAnsi="Arial" w:cs="Arial"/>
          <w:sz w:val="24"/>
          <w:szCs w:val="24"/>
          <w:vertAlign w:val="superscript"/>
        </w:rPr>
        <w:t>up</w:t>
      </w:r>
      <w:r w:rsidRPr="00B72740">
        <w:rPr>
          <w:rFonts w:ascii="Arial" w:hAnsi="Arial" w:cs="Arial"/>
          <w:sz w:val="24"/>
          <w:szCs w:val="24"/>
        </w:rPr>
        <w:t xml:space="preserve"> (Death, </w:t>
      </w:r>
      <w:r w:rsidRPr="00B72740">
        <w:rPr>
          <w:rFonts w:ascii="Arial" w:hAnsi="Arial" w:cs="Arial"/>
          <w:i/>
          <w:sz w:val="24"/>
          <w:szCs w:val="24"/>
        </w:rPr>
        <w:t>n</w:t>
      </w:r>
      <w:r w:rsidRPr="00B72740">
        <w:rPr>
          <w:rFonts w:ascii="Arial" w:hAnsi="Arial" w:cs="Arial"/>
          <w:sz w:val="24"/>
          <w:szCs w:val="24"/>
        </w:rPr>
        <w:t>=19) versus PTK2</w:t>
      </w:r>
      <w:r w:rsidRPr="00B72740">
        <w:rPr>
          <w:rFonts w:ascii="Arial" w:hAnsi="Arial" w:cs="Arial"/>
          <w:sz w:val="24"/>
          <w:szCs w:val="24"/>
          <w:vertAlign w:val="superscript"/>
        </w:rPr>
        <w:t>down</w:t>
      </w:r>
      <w:r w:rsidRPr="00B72740">
        <w:rPr>
          <w:rFonts w:ascii="Arial" w:hAnsi="Arial" w:cs="Arial"/>
          <w:sz w:val="24"/>
          <w:szCs w:val="24"/>
        </w:rPr>
        <w:t xml:space="preserve"> (Live, </w:t>
      </w:r>
      <w:r w:rsidRPr="00B72740">
        <w:rPr>
          <w:rFonts w:ascii="Arial" w:hAnsi="Arial" w:cs="Arial"/>
          <w:i/>
          <w:sz w:val="24"/>
          <w:szCs w:val="24"/>
        </w:rPr>
        <w:t>n</w:t>
      </w:r>
      <w:r w:rsidRPr="00B72740">
        <w:rPr>
          <w:rFonts w:ascii="Arial" w:hAnsi="Arial" w:cs="Arial"/>
          <w:sz w:val="24"/>
          <w:szCs w:val="24"/>
        </w:rPr>
        <w:t>=11), as indicated in Fig. 1A. Gene sets related to EGFR-mediated signaling are presented (</w:t>
      </w:r>
      <w:r w:rsidRPr="00B72740">
        <w:rPr>
          <w:rFonts w:ascii="Arial" w:hAnsi="Arial" w:cs="Arial"/>
          <w:b/>
          <w:sz w:val="24"/>
          <w:szCs w:val="24"/>
        </w:rPr>
        <w:t>A</w:t>
      </w:r>
      <w:r w:rsidRPr="00B72740">
        <w:rPr>
          <w:rFonts w:ascii="Arial" w:hAnsi="Arial" w:cs="Arial"/>
          <w:sz w:val="24"/>
          <w:szCs w:val="24"/>
        </w:rPr>
        <w:t xml:space="preserve">, MTOR 4 PATHWAY; </w:t>
      </w:r>
      <w:r w:rsidRPr="00B72740">
        <w:rPr>
          <w:rFonts w:ascii="Arial" w:hAnsi="Arial" w:cs="Arial"/>
          <w:b/>
          <w:sz w:val="24"/>
          <w:szCs w:val="24"/>
        </w:rPr>
        <w:t>B</w:t>
      </w:r>
      <w:r w:rsidRPr="00B72740">
        <w:rPr>
          <w:rFonts w:ascii="Arial" w:hAnsi="Arial" w:cs="Arial"/>
          <w:sz w:val="24"/>
          <w:szCs w:val="24"/>
        </w:rPr>
        <w:t xml:space="preserve">, LKB1 PATHWAY; </w:t>
      </w:r>
      <w:r w:rsidRPr="00B72740">
        <w:rPr>
          <w:rFonts w:ascii="Arial" w:hAnsi="Arial" w:cs="Arial"/>
          <w:b/>
          <w:sz w:val="24"/>
          <w:szCs w:val="24"/>
        </w:rPr>
        <w:t>C</w:t>
      </w:r>
      <w:r w:rsidRPr="00B72740">
        <w:rPr>
          <w:rFonts w:ascii="Arial" w:hAnsi="Arial" w:cs="Arial"/>
          <w:sz w:val="24"/>
          <w:szCs w:val="24"/>
        </w:rPr>
        <w:t>, PLK1 PATHWAY). NES, nominal P-value, and FDR q-values are indicated in the inner panel.</w:t>
      </w:r>
    </w:p>
    <w:p w:rsidR="006B7967" w:rsidRPr="00B72740" w:rsidRDefault="006B7967" w:rsidP="006B7967">
      <w:pPr>
        <w:rPr>
          <w:sz w:val="24"/>
          <w:szCs w:val="24"/>
        </w:rPr>
      </w:pPr>
    </w:p>
    <w:p w:rsidR="006B7967" w:rsidRDefault="006B7967" w:rsidP="006B7967"/>
    <w:p w:rsidR="006B7967" w:rsidRDefault="006B7967" w:rsidP="006B7967"/>
    <w:p w:rsidR="006B7967" w:rsidRDefault="006B7967" w:rsidP="006B7967"/>
    <w:p w:rsidR="006B7967" w:rsidRDefault="006B7967" w:rsidP="006B7967">
      <w:r>
        <w:br w:type="page"/>
      </w:r>
    </w:p>
    <w:p w:rsidR="006B7967" w:rsidRDefault="006B7967" w:rsidP="006B7967">
      <w:r>
        <w:rPr>
          <w:noProof/>
        </w:rPr>
        <w:lastRenderedPageBreak/>
        <w:drawing>
          <wp:inline distT="0" distB="0" distL="0" distR="0">
            <wp:extent cx="5721985" cy="5236845"/>
            <wp:effectExtent l="0" t="0" r="0" b="1905"/>
            <wp:docPr id="33" name="그림 33" descr="그림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그림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1985" cy="5236845"/>
                    </a:xfrm>
                    <a:prstGeom prst="rect">
                      <a:avLst/>
                    </a:prstGeom>
                    <a:noFill/>
                    <a:ln>
                      <a:noFill/>
                    </a:ln>
                  </pic:spPr>
                </pic:pic>
              </a:graphicData>
            </a:graphic>
          </wp:inline>
        </w:drawing>
      </w:r>
    </w:p>
    <w:p w:rsidR="006B7967" w:rsidRDefault="006B7967" w:rsidP="006B7967"/>
    <w:p w:rsidR="006B7967" w:rsidRPr="00B72740" w:rsidRDefault="006B7967" w:rsidP="00B72740">
      <w:pPr>
        <w:spacing w:line="360" w:lineRule="auto"/>
        <w:rPr>
          <w:rFonts w:ascii="Arial" w:hAnsi="Arial" w:cs="Arial"/>
          <w:sz w:val="24"/>
          <w:szCs w:val="24"/>
        </w:rPr>
      </w:pPr>
      <w:r w:rsidRPr="00B72740">
        <w:rPr>
          <w:rFonts w:ascii="Arial" w:hAnsi="Arial" w:cs="Arial"/>
          <w:b/>
          <w:sz w:val="24"/>
          <w:szCs w:val="24"/>
        </w:rPr>
        <w:t>Fig. S8 A-T</w:t>
      </w:r>
      <w:r w:rsidRPr="00B72740">
        <w:rPr>
          <w:rFonts w:ascii="Arial" w:hAnsi="Arial" w:cs="Arial"/>
          <w:sz w:val="24"/>
          <w:szCs w:val="24"/>
        </w:rPr>
        <w:t xml:space="preserve"> Gene set enrichment analysis (GSEA, https://www.gsea-msigdb.org/gsea/index.jsp) was performed </w:t>
      </w:r>
      <w:r w:rsidR="00B72740">
        <w:rPr>
          <w:rFonts w:ascii="Arial" w:hAnsi="Arial" w:cs="Arial"/>
          <w:sz w:val="24"/>
          <w:szCs w:val="24"/>
        </w:rPr>
        <w:t>for</w:t>
      </w:r>
      <w:r w:rsidRPr="00B72740">
        <w:rPr>
          <w:rFonts w:ascii="Arial" w:hAnsi="Arial" w:cs="Arial"/>
          <w:sz w:val="24"/>
          <w:szCs w:val="24"/>
        </w:rPr>
        <w:t xml:space="preserve"> EGFR</w:t>
      </w:r>
      <w:r w:rsidRPr="00B72740">
        <w:rPr>
          <w:rFonts w:ascii="Arial" w:hAnsi="Arial" w:cs="Arial"/>
          <w:sz w:val="24"/>
          <w:szCs w:val="24"/>
          <w:vertAlign w:val="superscript"/>
        </w:rPr>
        <w:t>up</w:t>
      </w:r>
      <w:r w:rsidRPr="00B72740">
        <w:rPr>
          <w:rFonts w:ascii="Arial" w:hAnsi="Arial" w:cs="Arial"/>
          <w:sz w:val="24"/>
          <w:szCs w:val="24"/>
        </w:rPr>
        <w:t>PTK2</w:t>
      </w:r>
      <w:r w:rsidRPr="00B72740">
        <w:rPr>
          <w:rFonts w:ascii="Arial" w:hAnsi="Arial" w:cs="Arial"/>
          <w:sz w:val="24"/>
          <w:szCs w:val="24"/>
          <w:vertAlign w:val="superscript"/>
        </w:rPr>
        <w:t>up</w:t>
      </w:r>
      <w:r w:rsidRPr="00B72740">
        <w:rPr>
          <w:rFonts w:ascii="Arial" w:hAnsi="Arial" w:cs="Arial"/>
          <w:sz w:val="24"/>
          <w:szCs w:val="24"/>
        </w:rPr>
        <w:t xml:space="preserve"> (</w:t>
      </w:r>
      <w:r w:rsidRPr="00B72740">
        <w:rPr>
          <w:rFonts w:ascii="Arial" w:hAnsi="Arial" w:cs="Arial"/>
          <w:i/>
          <w:sz w:val="24"/>
          <w:szCs w:val="24"/>
        </w:rPr>
        <w:t>n</w:t>
      </w:r>
      <w:r w:rsidRPr="00B72740">
        <w:rPr>
          <w:rFonts w:ascii="Arial" w:hAnsi="Arial" w:cs="Arial"/>
          <w:sz w:val="24"/>
          <w:szCs w:val="24"/>
        </w:rPr>
        <w:t>=7) versus EGFR</w:t>
      </w:r>
      <w:r w:rsidRPr="00B72740">
        <w:rPr>
          <w:rFonts w:ascii="Arial" w:hAnsi="Arial" w:cs="Arial"/>
          <w:sz w:val="24"/>
          <w:szCs w:val="24"/>
          <w:vertAlign w:val="superscript"/>
        </w:rPr>
        <w:t>down</w:t>
      </w:r>
      <w:r w:rsidRPr="00B72740">
        <w:rPr>
          <w:rFonts w:ascii="Arial" w:hAnsi="Arial" w:cs="Arial"/>
          <w:sz w:val="24"/>
          <w:szCs w:val="24"/>
        </w:rPr>
        <w:t>PTK2</w:t>
      </w:r>
      <w:r w:rsidRPr="00B72740">
        <w:rPr>
          <w:rFonts w:ascii="Arial" w:hAnsi="Arial" w:cs="Arial"/>
          <w:sz w:val="24"/>
          <w:szCs w:val="24"/>
          <w:vertAlign w:val="superscript"/>
        </w:rPr>
        <w:t>down</w:t>
      </w:r>
      <w:r w:rsidRPr="00B72740">
        <w:rPr>
          <w:rFonts w:ascii="Arial" w:hAnsi="Arial" w:cs="Arial"/>
          <w:sz w:val="24"/>
          <w:szCs w:val="24"/>
        </w:rPr>
        <w:t xml:space="preserve"> (</w:t>
      </w:r>
      <w:r w:rsidRPr="00B72740">
        <w:rPr>
          <w:rFonts w:ascii="Arial" w:hAnsi="Arial" w:cs="Arial"/>
          <w:i/>
          <w:sz w:val="24"/>
          <w:szCs w:val="24"/>
        </w:rPr>
        <w:t>n</w:t>
      </w:r>
      <w:r w:rsidR="00A34560">
        <w:rPr>
          <w:rFonts w:ascii="Arial" w:hAnsi="Arial" w:cs="Arial"/>
          <w:sz w:val="24"/>
          <w:szCs w:val="24"/>
        </w:rPr>
        <w:t>=7), as indicated in Fig. 1N</w:t>
      </w:r>
      <w:r w:rsidRPr="00B72740">
        <w:rPr>
          <w:rFonts w:ascii="Arial" w:hAnsi="Arial" w:cs="Arial"/>
          <w:sz w:val="24"/>
          <w:szCs w:val="24"/>
        </w:rPr>
        <w:t>. Gene sets related to cancer modules are presented (</w:t>
      </w:r>
      <w:r w:rsidRPr="00B72740">
        <w:rPr>
          <w:rFonts w:ascii="Arial" w:hAnsi="Arial" w:cs="Arial"/>
          <w:b/>
          <w:sz w:val="24"/>
          <w:szCs w:val="24"/>
        </w:rPr>
        <w:t>A</w:t>
      </w:r>
      <w:r w:rsidRPr="00B72740">
        <w:rPr>
          <w:rFonts w:ascii="Arial" w:hAnsi="Arial" w:cs="Arial"/>
          <w:sz w:val="24"/>
          <w:szCs w:val="24"/>
        </w:rPr>
        <w:t xml:space="preserve">, module 32; </w:t>
      </w:r>
      <w:r w:rsidRPr="00B72740">
        <w:rPr>
          <w:rFonts w:ascii="Arial" w:hAnsi="Arial" w:cs="Arial"/>
          <w:b/>
          <w:sz w:val="24"/>
          <w:szCs w:val="24"/>
        </w:rPr>
        <w:t>B</w:t>
      </w:r>
      <w:r w:rsidRPr="00B72740">
        <w:rPr>
          <w:rFonts w:ascii="Arial" w:hAnsi="Arial" w:cs="Arial"/>
          <w:sz w:val="24"/>
          <w:szCs w:val="24"/>
        </w:rPr>
        <w:t xml:space="preserve">, module 151; </w:t>
      </w:r>
      <w:r w:rsidRPr="00B72740">
        <w:rPr>
          <w:rFonts w:ascii="Arial" w:hAnsi="Arial" w:cs="Arial"/>
          <w:b/>
          <w:sz w:val="24"/>
          <w:szCs w:val="24"/>
        </w:rPr>
        <w:t>C</w:t>
      </w:r>
      <w:r w:rsidRPr="00B72740">
        <w:rPr>
          <w:rFonts w:ascii="Arial" w:hAnsi="Arial" w:cs="Arial"/>
          <w:sz w:val="24"/>
          <w:szCs w:val="24"/>
        </w:rPr>
        <w:t xml:space="preserve">, module 114; </w:t>
      </w:r>
      <w:r w:rsidRPr="00B72740">
        <w:rPr>
          <w:rFonts w:ascii="Arial" w:hAnsi="Arial" w:cs="Arial"/>
          <w:b/>
          <w:sz w:val="24"/>
          <w:szCs w:val="24"/>
        </w:rPr>
        <w:t>D</w:t>
      </w:r>
      <w:r w:rsidRPr="00B72740">
        <w:rPr>
          <w:rFonts w:ascii="Arial" w:hAnsi="Arial" w:cs="Arial"/>
          <w:sz w:val="24"/>
          <w:szCs w:val="24"/>
        </w:rPr>
        <w:t xml:space="preserve">, module 83; </w:t>
      </w:r>
      <w:r w:rsidRPr="00B72740">
        <w:rPr>
          <w:rFonts w:ascii="Arial" w:hAnsi="Arial" w:cs="Arial"/>
          <w:b/>
          <w:sz w:val="24"/>
          <w:szCs w:val="24"/>
        </w:rPr>
        <w:t>E</w:t>
      </w:r>
      <w:r w:rsidRPr="00B72740">
        <w:rPr>
          <w:rFonts w:ascii="Arial" w:hAnsi="Arial" w:cs="Arial"/>
          <w:sz w:val="24"/>
          <w:szCs w:val="24"/>
        </w:rPr>
        <w:t xml:space="preserve">, module 152; </w:t>
      </w:r>
      <w:r w:rsidRPr="00B72740">
        <w:rPr>
          <w:rFonts w:ascii="Arial" w:hAnsi="Arial" w:cs="Arial"/>
          <w:b/>
          <w:sz w:val="24"/>
          <w:szCs w:val="24"/>
        </w:rPr>
        <w:t>F</w:t>
      </w:r>
      <w:r w:rsidRPr="00B72740">
        <w:rPr>
          <w:rFonts w:ascii="Arial" w:hAnsi="Arial" w:cs="Arial"/>
          <w:sz w:val="24"/>
          <w:szCs w:val="24"/>
        </w:rPr>
        <w:t xml:space="preserve">, module 183; </w:t>
      </w:r>
      <w:r w:rsidRPr="00B72740">
        <w:rPr>
          <w:rFonts w:ascii="Arial" w:hAnsi="Arial" w:cs="Arial"/>
          <w:b/>
          <w:sz w:val="24"/>
          <w:szCs w:val="24"/>
        </w:rPr>
        <w:t>G</w:t>
      </w:r>
      <w:r w:rsidRPr="00B72740">
        <w:rPr>
          <w:rFonts w:ascii="Arial" w:hAnsi="Arial" w:cs="Arial"/>
          <w:sz w:val="24"/>
          <w:szCs w:val="24"/>
        </w:rPr>
        <w:t xml:space="preserve">, module 273; </w:t>
      </w:r>
      <w:r w:rsidRPr="00B72740">
        <w:rPr>
          <w:rFonts w:ascii="Arial" w:hAnsi="Arial" w:cs="Arial"/>
          <w:b/>
          <w:sz w:val="24"/>
          <w:szCs w:val="24"/>
        </w:rPr>
        <w:t>H</w:t>
      </w:r>
      <w:r w:rsidRPr="00B72740">
        <w:rPr>
          <w:rFonts w:ascii="Arial" w:hAnsi="Arial" w:cs="Arial"/>
          <w:sz w:val="24"/>
          <w:szCs w:val="24"/>
        </w:rPr>
        <w:t xml:space="preserve">, module 115; </w:t>
      </w:r>
      <w:r w:rsidRPr="00B72740">
        <w:rPr>
          <w:rFonts w:ascii="Arial" w:hAnsi="Arial" w:cs="Arial"/>
          <w:b/>
          <w:sz w:val="24"/>
          <w:szCs w:val="24"/>
        </w:rPr>
        <w:t>I</w:t>
      </w:r>
      <w:r w:rsidRPr="00B72740">
        <w:rPr>
          <w:rFonts w:ascii="Arial" w:hAnsi="Arial" w:cs="Arial"/>
          <w:sz w:val="24"/>
          <w:szCs w:val="24"/>
        </w:rPr>
        <w:t xml:space="preserve">, module 81; </w:t>
      </w:r>
      <w:r w:rsidRPr="00B72740">
        <w:rPr>
          <w:rFonts w:ascii="Arial" w:hAnsi="Arial" w:cs="Arial"/>
          <w:b/>
          <w:sz w:val="24"/>
          <w:szCs w:val="24"/>
        </w:rPr>
        <w:t>J</w:t>
      </w:r>
      <w:r w:rsidRPr="00B72740">
        <w:rPr>
          <w:rFonts w:ascii="Arial" w:hAnsi="Arial" w:cs="Arial"/>
          <w:sz w:val="24"/>
          <w:szCs w:val="24"/>
        </w:rPr>
        <w:t xml:space="preserve">, module 149; </w:t>
      </w:r>
      <w:r w:rsidRPr="00B72740">
        <w:rPr>
          <w:rFonts w:ascii="Arial" w:hAnsi="Arial" w:cs="Arial"/>
          <w:b/>
          <w:sz w:val="24"/>
          <w:szCs w:val="24"/>
        </w:rPr>
        <w:t>K</w:t>
      </w:r>
      <w:r w:rsidRPr="00B72740">
        <w:rPr>
          <w:rFonts w:ascii="Arial" w:hAnsi="Arial" w:cs="Arial"/>
          <w:sz w:val="24"/>
          <w:szCs w:val="24"/>
        </w:rPr>
        <w:t xml:space="preserve">, module 159; </w:t>
      </w:r>
      <w:r w:rsidRPr="00B72740">
        <w:rPr>
          <w:rFonts w:ascii="Arial" w:hAnsi="Arial" w:cs="Arial"/>
          <w:b/>
          <w:sz w:val="24"/>
          <w:szCs w:val="24"/>
        </w:rPr>
        <w:t>L</w:t>
      </w:r>
      <w:r w:rsidRPr="00B72740">
        <w:rPr>
          <w:rFonts w:ascii="Arial" w:hAnsi="Arial" w:cs="Arial"/>
          <w:sz w:val="24"/>
          <w:szCs w:val="24"/>
        </w:rPr>
        <w:t xml:space="preserve">, module 77; </w:t>
      </w:r>
      <w:r w:rsidRPr="00B72740">
        <w:rPr>
          <w:rFonts w:ascii="Arial" w:hAnsi="Arial" w:cs="Arial"/>
          <w:b/>
          <w:sz w:val="24"/>
          <w:szCs w:val="24"/>
        </w:rPr>
        <w:t>M</w:t>
      </w:r>
      <w:r w:rsidRPr="00B72740">
        <w:rPr>
          <w:rFonts w:ascii="Arial" w:hAnsi="Arial" w:cs="Arial"/>
          <w:sz w:val="24"/>
          <w:szCs w:val="24"/>
        </w:rPr>
        <w:t xml:space="preserve">, module 91; </w:t>
      </w:r>
      <w:r w:rsidRPr="00B72740">
        <w:rPr>
          <w:rFonts w:ascii="Arial" w:hAnsi="Arial" w:cs="Arial"/>
          <w:b/>
          <w:sz w:val="24"/>
          <w:szCs w:val="24"/>
        </w:rPr>
        <w:t>N</w:t>
      </w:r>
      <w:r w:rsidRPr="00B72740">
        <w:rPr>
          <w:rFonts w:ascii="Arial" w:hAnsi="Arial" w:cs="Arial"/>
          <w:sz w:val="24"/>
          <w:szCs w:val="24"/>
        </w:rPr>
        <w:t xml:space="preserve">, module 313; </w:t>
      </w:r>
      <w:r w:rsidRPr="00B72740">
        <w:rPr>
          <w:rFonts w:ascii="Arial" w:hAnsi="Arial" w:cs="Arial"/>
          <w:b/>
          <w:sz w:val="24"/>
          <w:szCs w:val="24"/>
        </w:rPr>
        <w:t>O</w:t>
      </w:r>
      <w:r w:rsidRPr="00B72740">
        <w:rPr>
          <w:rFonts w:ascii="Arial" w:hAnsi="Arial" w:cs="Arial"/>
          <w:sz w:val="24"/>
          <w:szCs w:val="24"/>
        </w:rPr>
        <w:t xml:space="preserve">, module 22; </w:t>
      </w:r>
      <w:r w:rsidRPr="00B72740">
        <w:rPr>
          <w:rFonts w:ascii="Arial" w:hAnsi="Arial" w:cs="Arial"/>
          <w:b/>
          <w:sz w:val="24"/>
          <w:szCs w:val="24"/>
        </w:rPr>
        <w:t>P</w:t>
      </w:r>
      <w:r w:rsidRPr="00B72740">
        <w:rPr>
          <w:rFonts w:ascii="Arial" w:hAnsi="Arial" w:cs="Arial"/>
          <w:sz w:val="24"/>
          <w:szCs w:val="24"/>
        </w:rPr>
        <w:t xml:space="preserve">, module 150; </w:t>
      </w:r>
      <w:r w:rsidRPr="00B72740">
        <w:rPr>
          <w:rFonts w:ascii="Arial" w:hAnsi="Arial" w:cs="Arial"/>
          <w:b/>
          <w:sz w:val="24"/>
          <w:szCs w:val="24"/>
        </w:rPr>
        <w:t>Q</w:t>
      </w:r>
      <w:r w:rsidRPr="00B72740">
        <w:rPr>
          <w:rFonts w:ascii="Arial" w:hAnsi="Arial" w:cs="Arial"/>
          <w:sz w:val="24"/>
          <w:szCs w:val="24"/>
        </w:rPr>
        <w:t xml:space="preserve">, module 240; </w:t>
      </w:r>
      <w:r w:rsidRPr="00B72740">
        <w:rPr>
          <w:rFonts w:ascii="Arial" w:hAnsi="Arial" w:cs="Arial"/>
          <w:b/>
          <w:sz w:val="24"/>
          <w:szCs w:val="24"/>
        </w:rPr>
        <w:t>R</w:t>
      </w:r>
      <w:r w:rsidRPr="00B72740">
        <w:rPr>
          <w:rFonts w:ascii="Arial" w:hAnsi="Arial" w:cs="Arial"/>
          <w:sz w:val="24"/>
          <w:szCs w:val="24"/>
        </w:rPr>
        <w:t xml:space="preserve">, module 42; </w:t>
      </w:r>
      <w:r w:rsidRPr="00B72740">
        <w:rPr>
          <w:rFonts w:ascii="Arial" w:hAnsi="Arial" w:cs="Arial"/>
          <w:b/>
          <w:sz w:val="24"/>
          <w:szCs w:val="24"/>
        </w:rPr>
        <w:t>S</w:t>
      </w:r>
      <w:r w:rsidRPr="00B72740">
        <w:rPr>
          <w:rFonts w:ascii="Arial" w:hAnsi="Arial" w:cs="Arial"/>
          <w:sz w:val="24"/>
          <w:szCs w:val="24"/>
        </w:rPr>
        <w:t xml:space="preserve">, module 237; </w:t>
      </w:r>
      <w:r w:rsidRPr="00B72740">
        <w:rPr>
          <w:rFonts w:ascii="Arial" w:hAnsi="Arial" w:cs="Arial"/>
          <w:b/>
          <w:sz w:val="24"/>
          <w:szCs w:val="24"/>
        </w:rPr>
        <w:t>T</w:t>
      </w:r>
      <w:r w:rsidRPr="00B72740">
        <w:rPr>
          <w:rFonts w:ascii="Arial" w:hAnsi="Arial" w:cs="Arial"/>
          <w:sz w:val="24"/>
          <w:szCs w:val="24"/>
        </w:rPr>
        <w:t>, module 28). NES, nominal P-value, and FDR q-values are indicated in the inner panel.</w:t>
      </w:r>
    </w:p>
    <w:p w:rsidR="006B7967" w:rsidRPr="00852501" w:rsidRDefault="006B7967" w:rsidP="006B7967"/>
    <w:p w:rsidR="006B7967" w:rsidRDefault="006B7967" w:rsidP="006B7967"/>
    <w:p w:rsidR="006B7967" w:rsidRDefault="006B7967" w:rsidP="006B7967"/>
    <w:p w:rsidR="006B7967" w:rsidRDefault="006B7967" w:rsidP="006B7967">
      <w:r>
        <w:rPr>
          <w:noProof/>
        </w:rPr>
        <w:drawing>
          <wp:inline distT="0" distB="0" distL="0" distR="0">
            <wp:extent cx="5458460" cy="6622415"/>
            <wp:effectExtent l="0" t="0" r="8890" b="6985"/>
            <wp:docPr id="32" name="그림 32" descr="그림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그림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58460" cy="6622415"/>
                    </a:xfrm>
                    <a:prstGeom prst="rect">
                      <a:avLst/>
                    </a:prstGeom>
                    <a:noFill/>
                    <a:ln>
                      <a:noFill/>
                    </a:ln>
                  </pic:spPr>
                </pic:pic>
              </a:graphicData>
            </a:graphic>
          </wp:inline>
        </w:drawing>
      </w:r>
    </w:p>
    <w:p w:rsidR="006B7967" w:rsidRDefault="006B7967" w:rsidP="006B7967"/>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S9 A-I</w:t>
      </w:r>
      <w:r w:rsidRPr="00D743BE">
        <w:rPr>
          <w:rFonts w:ascii="Arial" w:hAnsi="Arial" w:cs="Arial"/>
          <w:sz w:val="24"/>
          <w:szCs w:val="24"/>
        </w:rPr>
        <w:t xml:space="preserve"> Gene set enrichment analysis (GSEA, https://www.gsea-msigdb.org/gsea/index.jsp) was performed </w:t>
      </w:r>
      <w:r w:rsidR="00D743BE">
        <w:rPr>
          <w:rFonts w:ascii="Arial" w:hAnsi="Arial" w:cs="Arial"/>
          <w:sz w:val="24"/>
          <w:szCs w:val="24"/>
        </w:rPr>
        <w:t>for</w:t>
      </w:r>
      <w:r w:rsidRPr="00D743BE">
        <w:rPr>
          <w:rFonts w:ascii="Arial" w:hAnsi="Arial" w:cs="Arial"/>
          <w:sz w:val="24"/>
          <w:szCs w:val="24"/>
        </w:rPr>
        <w:t xml:space="preserve"> 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 xml:space="preserve">=7) versus </w:t>
      </w:r>
      <w:r w:rsidRPr="00D743BE">
        <w:rPr>
          <w:rFonts w:ascii="Arial" w:hAnsi="Arial" w:cs="Arial"/>
          <w:sz w:val="24"/>
          <w:szCs w:val="24"/>
        </w:rPr>
        <w:lastRenderedPageBreak/>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=7), as indicate</w:t>
      </w:r>
      <w:r w:rsidR="002669D5">
        <w:rPr>
          <w:rFonts w:ascii="Arial" w:hAnsi="Arial" w:cs="Arial"/>
          <w:sz w:val="24"/>
          <w:szCs w:val="24"/>
        </w:rPr>
        <w:t>d in Fig. 1N</w:t>
      </w:r>
      <w:r w:rsidRPr="00D743BE">
        <w:rPr>
          <w:rFonts w:ascii="Arial" w:hAnsi="Arial" w:cs="Arial"/>
          <w:sz w:val="24"/>
          <w:szCs w:val="24"/>
        </w:rPr>
        <w:t>. Gene sets related to cancer progression are presented (</w:t>
      </w:r>
      <w:r w:rsidRPr="00D743BE">
        <w:rPr>
          <w:rFonts w:ascii="Arial" w:hAnsi="Arial" w:cs="Arial"/>
          <w:b/>
          <w:sz w:val="24"/>
          <w:szCs w:val="24"/>
        </w:rPr>
        <w:t>A</w:t>
      </w:r>
      <w:r w:rsidRPr="00D743BE">
        <w:rPr>
          <w:rFonts w:ascii="Arial" w:hAnsi="Arial" w:cs="Arial"/>
          <w:sz w:val="24"/>
          <w:szCs w:val="24"/>
        </w:rPr>
        <w:t xml:space="preserve">, MYC PATHWAY; </w:t>
      </w:r>
      <w:r w:rsidRPr="00D743BE">
        <w:rPr>
          <w:rFonts w:ascii="Arial" w:hAnsi="Arial" w:cs="Arial"/>
          <w:b/>
          <w:sz w:val="24"/>
          <w:szCs w:val="24"/>
        </w:rPr>
        <w:t>B</w:t>
      </w:r>
      <w:r w:rsidRPr="00D743BE">
        <w:rPr>
          <w:rFonts w:ascii="Arial" w:hAnsi="Arial" w:cs="Arial"/>
          <w:sz w:val="24"/>
          <w:szCs w:val="24"/>
        </w:rPr>
        <w:t xml:space="preserve">, OXIDATIVE PHOSPHORYLATION; </w:t>
      </w:r>
      <w:r w:rsidRPr="00D743BE">
        <w:rPr>
          <w:rFonts w:ascii="Arial" w:hAnsi="Arial" w:cs="Arial"/>
          <w:b/>
          <w:sz w:val="24"/>
          <w:szCs w:val="24"/>
        </w:rPr>
        <w:t>C</w:t>
      </w:r>
      <w:r w:rsidRPr="00D743BE">
        <w:rPr>
          <w:rFonts w:ascii="Arial" w:hAnsi="Arial" w:cs="Arial"/>
          <w:sz w:val="24"/>
          <w:szCs w:val="24"/>
        </w:rPr>
        <w:t xml:space="preserve">, IGF1 PATHWAY; </w:t>
      </w:r>
      <w:r w:rsidRPr="00D743BE">
        <w:rPr>
          <w:rFonts w:ascii="Arial" w:hAnsi="Arial" w:cs="Arial"/>
          <w:b/>
          <w:sz w:val="24"/>
          <w:szCs w:val="24"/>
        </w:rPr>
        <w:t>D</w:t>
      </w:r>
      <w:r w:rsidRPr="00D743BE">
        <w:rPr>
          <w:rFonts w:ascii="Arial" w:hAnsi="Arial" w:cs="Arial"/>
          <w:sz w:val="24"/>
          <w:szCs w:val="24"/>
        </w:rPr>
        <w:t xml:space="preserve">, RAC1 PATHWAY; </w:t>
      </w:r>
      <w:r w:rsidRPr="00D743BE">
        <w:rPr>
          <w:rFonts w:ascii="Arial" w:hAnsi="Arial" w:cs="Arial"/>
          <w:b/>
          <w:sz w:val="24"/>
          <w:szCs w:val="24"/>
        </w:rPr>
        <w:t>E</w:t>
      </w:r>
      <w:r w:rsidRPr="00D743BE">
        <w:rPr>
          <w:rFonts w:ascii="Arial" w:hAnsi="Arial" w:cs="Arial"/>
          <w:sz w:val="24"/>
          <w:szCs w:val="24"/>
        </w:rPr>
        <w:t xml:space="preserve">, NOTCH PATHWAY; </w:t>
      </w:r>
      <w:r w:rsidRPr="00D743BE">
        <w:rPr>
          <w:rFonts w:ascii="Arial" w:hAnsi="Arial" w:cs="Arial"/>
          <w:b/>
          <w:sz w:val="24"/>
          <w:szCs w:val="24"/>
        </w:rPr>
        <w:t>F</w:t>
      </w:r>
      <w:r w:rsidRPr="00D743BE">
        <w:rPr>
          <w:rFonts w:ascii="Arial" w:hAnsi="Arial" w:cs="Arial"/>
          <w:sz w:val="24"/>
          <w:szCs w:val="24"/>
        </w:rPr>
        <w:t xml:space="preserve">, AURORA A PATHWAY; </w:t>
      </w:r>
      <w:r w:rsidRPr="00D743BE">
        <w:rPr>
          <w:rFonts w:ascii="Arial" w:hAnsi="Arial" w:cs="Arial"/>
          <w:b/>
          <w:sz w:val="24"/>
          <w:szCs w:val="24"/>
        </w:rPr>
        <w:t>G</w:t>
      </w:r>
      <w:r w:rsidRPr="00D743BE">
        <w:rPr>
          <w:rFonts w:ascii="Arial" w:hAnsi="Arial" w:cs="Arial"/>
          <w:sz w:val="24"/>
          <w:szCs w:val="24"/>
        </w:rPr>
        <w:t xml:space="preserve">, INSULIN PATHWAY; </w:t>
      </w:r>
      <w:r w:rsidRPr="00D743BE">
        <w:rPr>
          <w:rFonts w:ascii="Arial" w:hAnsi="Arial" w:cs="Arial"/>
          <w:b/>
          <w:sz w:val="24"/>
          <w:szCs w:val="24"/>
        </w:rPr>
        <w:t>H</w:t>
      </w:r>
      <w:r w:rsidRPr="00D743BE">
        <w:rPr>
          <w:rFonts w:ascii="Arial" w:hAnsi="Arial" w:cs="Arial"/>
          <w:sz w:val="24"/>
          <w:szCs w:val="24"/>
        </w:rPr>
        <w:t xml:space="preserve">, METASTASIS AND RNA PROCESSING UP; </w:t>
      </w:r>
      <w:r w:rsidRPr="00D743BE">
        <w:rPr>
          <w:rFonts w:ascii="Arial" w:hAnsi="Arial" w:cs="Arial"/>
          <w:b/>
          <w:sz w:val="24"/>
          <w:szCs w:val="24"/>
        </w:rPr>
        <w:t>I</w:t>
      </w:r>
      <w:r w:rsidRPr="00D743BE">
        <w:rPr>
          <w:rFonts w:ascii="Arial" w:hAnsi="Arial" w:cs="Arial"/>
          <w:sz w:val="24"/>
          <w:szCs w:val="24"/>
        </w:rPr>
        <w:t>, MYC ACTIV PATHWAY). NES, nominal P-value, and FDR q-values are indicated in the inner panel.</w:t>
      </w:r>
    </w:p>
    <w:p w:rsidR="00D743BE" w:rsidRDefault="00D743BE">
      <w:pPr>
        <w:widowControl/>
        <w:wordWrap/>
        <w:autoSpaceDE/>
        <w:autoSpaceDN/>
      </w:pPr>
      <w:r>
        <w:br w:type="page"/>
      </w:r>
    </w:p>
    <w:p w:rsidR="006B7967" w:rsidRDefault="006B7967" w:rsidP="006B7967"/>
    <w:p w:rsidR="006B7967" w:rsidRDefault="006B7967" w:rsidP="006B7967">
      <w:r>
        <w:rPr>
          <w:noProof/>
        </w:rPr>
        <w:drawing>
          <wp:inline distT="0" distB="0" distL="0" distR="0" wp14:anchorId="15123D64" wp14:editId="77C9DB33">
            <wp:extent cx="5665304" cy="6445169"/>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66413" cy="6446431"/>
                    </a:xfrm>
                    <a:prstGeom prst="rect">
                      <a:avLst/>
                    </a:prstGeom>
                    <a:noFill/>
                  </pic:spPr>
                </pic:pic>
              </a:graphicData>
            </a:graphic>
          </wp:inline>
        </w:drawing>
      </w:r>
    </w:p>
    <w:p w:rsidR="006B7967" w:rsidRDefault="006B7967" w:rsidP="006B7967"/>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S10 A-H</w:t>
      </w:r>
      <w:r w:rsidRPr="00D743BE">
        <w:rPr>
          <w:rFonts w:ascii="Arial" w:hAnsi="Arial" w:cs="Arial"/>
          <w:sz w:val="24"/>
          <w:szCs w:val="24"/>
        </w:rPr>
        <w:t xml:space="preserve"> Gene set enrichment analysis (GSEA, https://www.gsea-msigdb.org/gsea/index.jsp) was performed </w:t>
      </w:r>
      <w:r w:rsidR="00D743BE">
        <w:rPr>
          <w:rFonts w:ascii="Arial" w:hAnsi="Arial" w:cs="Arial"/>
          <w:sz w:val="24"/>
          <w:szCs w:val="24"/>
        </w:rPr>
        <w:t>for</w:t>
      </w:r>
      <w:r w:rsidRPr="00D743BE">
        <w:rPr>
          <w:rFonts w:ascii="Arial" w:hAnsi="Arial" w:cs="Arial"/>
          <w:sz w:val="24"/>
          <w:szCs w:val="24"/>
        </w:rPr>
        <w:t xml:space="preserve"> 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=7) versus 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 xml:space="preserve">=7), </w:t>
      </w:r>
      <w:r w:rsidR="002669D5">
        <w:rPr>
          <w:rFonts w:ascii="Arial" w:hAnsi="Arial" w:cs="Arial"/>
          <w:sz w:val="24"/>
          <w:szCs w:val="24"/>
        </w:rPr>
        <w:t>as indicated in Fig. 1N</w:t>
      </w:r>
      <w:r w:rsidRPr="00D743BE">
        <w:rPr>
          <w:rFonts w:ascii="Arial" w:hAnsi="Arial" w:cs="Arial"/>
          <w:sz w:val="24"/>
          <w:szCs w:val="24"/>
        </w:rPr>
        <w:t>. Gene sets related to EGFR-related signaling pathway are presented (</w:t>
      </w:r>
      <w:r w:rsidRPr="002669D5">
        <w:rPr>
          <w:rFonts w:ascii="Arial" w:hAnsi="Arial" w:cs="Arial"/>
          <w:b/>
          <w:sz w:val="24"/>
          <w:szCs w:val="24"/>
        </w:rPr>
        <w:t>A</w:t>
      </w:r>
      <w:r w:rsidRPr="00D743BE">
        <w:rPr>
          <w:rFonts w:ascii="Arial" w:hAnsi="Arial" w:cs="Arial"/>
          <w:sz w:val="24"/>
          <w:szCs w:val="24"/>
        </w:rPr>
        <w:t xml:space="preserve">, FAK pathway; </w:t>
      </w:r>
      <w:r w:rsidRPr="002669D5">
        <w:rPr>
          <w:rFonts w:ascii="Arial" w:hAnsi="Arial" w:cs="Arial"/>
          <w:b/>
          <w:sz w:val="24"/>
          <w:szCs w:val="24"/>
        </w:rPr>
        <w:t>B</w:t>
      </w:r>
      <w:r w:rsidRPr="00D743BE">
        <w:rPr>
          <w:rFonts w:ascii="Arial" w:hAnsi="Arial" w:cs="Arial"/>
          <w:sz w:val="24"/>
          <w:szCs w:val="24"/>
        </w:rPr>
        <w:t xml:space="preserve">, EGF pathway; </w:t>
      </w:r>
      <w:r w:rsidRPr="002669D5">
        <w:rPr>
          <w:rFonts w:ascii="Arial" w:hAnsi="Arial" w:cs="Arial"/>
          <w:b/>
          <w:sz w:val="24"/>
          <w:szCs w:val="24"/>
        </w:rPr>
        <w:t>C</w:t>
      </w:r>
      <w:r w:rsidRPr="00D743BE">
        <w:rPr>
          <w:rFonts w:ascii="Arial" w:hAnsi="Arial" w:cs="Arial"/>
          <w:sz w:val="24"/>
          <w:szCs w:val="24"/>
        </w:rPr>
        <w:t xml:space="preserve">, ERBB1 </w:t>
      </w:r>
      <w:r w:rsidRPr="00D743BE">
        <w:rPr>
          <w:rFonts w:ascii="Arial" w:hAnsi="Arial" w:cs="Arial"/>
          <w:sz w:val="24"/>
          <w:szCs w:val="24"/>
        </w:rPr>
        <w:lastRenderedPageBreak/>
        <w:t xml:space="preserve">downstream pathway; </w:t>
      </w:r>
      <w:r w:rsidRPr="002669D5">
        <w:rPr>
          <w:rFonts w:ascii="Arial" w:hAnsi="Arial" w:cs="Arial"/>
          <w:b/>
          <w:sz w:val="24"/>
          <w:szCs w:val="24"/>
        </w:rPr>
        <w:t>D</w:t>
      </w:r>
      <w:r w:rsidRPr="00D743BE">
        <w:rPr>
          <w:rFonts w:ascii="Arial" w:hAnsi="Arial" w:cs="Arial"/>
          <w:sz w:val="24"/>
          <w:szCs w:val="24"/>
        </w:rPr>
        <w:t xml:space="preserve">, ERBB1 receptor proximal pathway; </w:t>
      </w:r>
      <w:r w:rsidRPr="002669D5">
        <w:rPr>
          <w:rFonts w:ascii="Arial" w:hAnsi="Arial" w:cs="Arial"/>
          <w:b/>
          <w:sz w:val="24"/>
          <w:szCs w:val="24"/>
        </w:rPr>
        <w:t>E</w:t>
      </w:r>
      <w:r w:rsidRPr="00D743BE">
        <w:rPr>
          <w:rFonts w:ascii="Arial" w:hAnsi="Arial" w:cs="Arial"/>
          <w:sz w:val="24"/>
          <w:szCs w:val="24"/>
        </w:rPr>
        <w:t xml:space="preserve">, ERK pathway; </w:t>
      </w:r>
      <w:r w:rsidRPr="002669D5">
        <w:rPr>
          <w:rFonts w:ascii="Arial" w:hAnsi="Arial" w:cs="Arial"/>
          <w:b/>
          <w:sz w:val="24"/>
          <w:szCs w:val="24"/>
        </w:rPr>
        <w:t>F</w:t>
      </w:r>
      <w:r w:rsidRPr="00D743BE">
        <w:rPr>
          <w:rFonts w:ascii="Arial" w:hAnsi="Arial" w:cs="Arial"/>
          <w:sz w:val="24"/>
          <w:szCs w:val="24"/>
        </w:rPr>
        <w:t xml:space="preserve">, mTOR pathway; </w:t>
      </w:r>
      <w:r w:rsidRPr="002669D5">
        <w:rPr>
          <w:rFonts w:ascii="Arial" w:hAnsi="Arial" w:cs="Arial"/>
          <w:b/>
          <w:sz w:val="24"/>
          <w:szCs w:val="24"/>
        </w:rPr>
        <w:t>G</w:t>
      </w:r>
      <w:r w:rsidRPr="00D743BE">
        <w:rPr>
          <w:rFonts w:ascii="Arial" w:hAnsi="Arial" w:cs="Arial"/>
          <w:sz w:val="24"/>
          <w:szCs w:val="24"/>
        </w:rPr>
        <w:t xml:space="preserve">, PI3KCI AKT pathway; </w:t>
      </w:r>
      <w:r w:rsidRPr="002669D5">
        <w:rPr>
          <w:rFonts w:ascii="Arial" w:hAnsi="Arial" w:cs="Arial"/>
          <w:b/>
          <w:sz w:val="24"/>
          <w:szCs w:val="24"/>
        </w:rPr>
        <w:t>H</w:t>
      </w:r>
      <w:r w:rsidRPr="00D743BE">
        <w:rPr>
          <w:rFonts w:ascii="Arial" w:hAnsi="Arial" w:cs="Arial"/>
          <w:sz w:val="24"/>
          <w:szCs w:val="24"/>
        </w:rPr>
        <w:t xml:space="preserve">, p38 MK2 pathway). Gene expression associated with FAK pathway, EGF pathway, ERBB1 downstream pathway, and ERBB1 receptor proximal pathway are presented in the bottom of each panel. NES, nominal P-value, and FDR q-values are indicated in the inner panel. </w:t>
      </w:r>
      <w:r w:rsidRPr="002669D5">
        <w:rPr>
          <w:rFonts w:ascii="Arial" w:hAnsi="Arial" w:cs="Arial"/>
          <w:b/>
          <w:sz w:val="24"/>
          <w:szCs w:val="24"/>
        </w:rPr>
        <w:t>I-L</w:t>
      </w:r>
      <w:r w:rsidRPr="00D743BE">
        <w:rPr>
          <w:rFonts w:ascii="Arial" w:hAnsi="Arial" w:cs="Arial"/>
          <w:sz w:val="24"/>
          <w:szCs w:val="24"/>
        </w:rPr>
        <w:t xml:space="preserve"> GSEA was performed for 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=7) versus 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=7). Gene sets related to Toll-related signaling pathway are presented (</w:t>
      </w:r>
      <w:r w:rsidRPr="002669D5">
        <w:rPr>
          <w:rFonts w:ascii="Arial" w:hAnsi="Arial" w:cs="Arial"/>
          <w:b/>
          <w:sz w:val="24"/>
          <w:szCs w:val="24"/>
        </w:rPr>
        <w:t>I</w:t>
      </w:r>
      <w:r w:rsidRPr="00D743BE">
        <w:rPr>
          <w:rFonts w:ascii="Arial" w:hAnsi="Arial" w:cs="Arial"/>
          <w:sz w:val="24"/>
          <w:szCs w:val="24"/>
        </w:rPr>
        <w:t xml:space="preserve">, Toll pathway; </w:t>
      </w:r>
      <w:r w:rsidRPr="002669D5">
        <w:rPr>
          <w:rFonts w:ascii="Arial" w:hAnsi="Arial" w:cs="Arial"/>
          <w:b/>
          <w:sz w:val="24"/>
          <w:szCs w:val="24"/>
        </w:rPr>
        <w:t>J</w:t>
      </w:r>
      <w:r w:rsidRPr="00D743BE">
        <w:rPr>
          <w:rFonts w:ascii="Arial" w:hAnsi="Arial" w:cs="Arial"/>
          <w:sz w:val="24"/>
          <w:szCs w:val="24"/>
        </w:rPr>
        <w:t xml:space="preserve">, cytosolic DNA sensing pathway; </w:t>
      </w:r>
      <w:r w:rsidRPr="002669D5">
        <w:rPr>
          <w:rFonts w:ascii="Arial" w:hAnsi="Arial" w:cs="Arial"/>
          <w:b/>
          <w:sz w:val="24"/>
          <w:szCs w:val="24"/>
        </w:rPr>
        <w:t>K</w:t>
      </w:r>
      <w:r w:rsidRPr="00D743BE">
        <w:rPr>
          <w:rFonts w:ascii="Arial" w:hAnsi="Arial" w:cs="Arial"/>
          <w:sz w:val="24"/>
          <w:szCs w:val="24"/>
        </w:rPr>
        <w:t xml:space="preserve">, TNF-alpha signaling pathway; </w:t>
      </w:r>
      <w:r w:rsidRPr="002669D5">
        <w:rPr>
          <w:rFonts w:ascii="Arial" w:hAnsi="Arial" w:cs="Arial"/>
          <w:b/>
          <w:sz w:val="24"/>
          <w:szCs w:val="24"/>
        </w:rPr>
        <w:t>L</w:t>
      </w:r>
      <w:r w:rsidRPr="00D743BE">
        <w:rPr>
          <w:rFonts w:ascii="Arial" w:hAnsi="Arial" w:cs="Arial"/>
          <w:sz w:val="24"/>
          <w:szCs w:val="24"/>
        </w:rPr>
        <w:t>, RELA pathway). Gene expression associated with Toll the pathway is presented in the bottom of the panel. NES, nominal P-value, and FDR q-values are indicated in the inner panel.</w:t>
      </w:r>
    </w:p>
    <w:p w:rsidR="006B7967" w:rsidRDefault="006B7967" w:rsidP="006B7967"/>
    <w:p w:rsidR="006B7967" w:rsidRDefault="006B7967" w:rsidP="006B7967"/>
    <w:p w:rsidR="006B7967" w:rsidRDefault="006B7967" w:rsidP="006B7967"/>
    <w:p w:rsidR="006B7967" w:rsidRDefault="006B7967" w:rsidP="006B7967">
      <w:r>
        <w:br w:type="page"/>
      </w:r>
    </w:p>
    <w:p w:rsidR="006B7967" w:rsidRDefault="002669D5" w:rsidP="006B7967">
      <w:r>
        <w:rPr>
          <w:noProof/>
        </w:rPr>
        <w:lastRenderedPageBreak/>
        <w:drawing>
          <wp:inline distT="0" distB="0" distL="0" distR="0" wp14:anchorId="412B8688">
            <wp:extent cx="5706015" cy="5864352"/>
            <wp:effectExtent l="0" t="0" r="9525" b="317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08671" cy="5867082"/>
                    </a:xfrm>
                    <a:prstGeom prst="rect">
                      <a:avLst/>
                    </a:prstGeom>
                    <a:noFill/>
                  </pic:spPr>
                </pic:pic>
              </a:graphicData>
            </a:graphic>
          </wp:inline>
        </w:drawing>
      </w:r>
    </w:p>
    <w:p w:rsidR="006B7967" w:rsidRDefault="006B7967" w:rsidP="006B7967"/>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S11</w:t>
      </w:r>
      <w:r w:rsidRPr="00D743BE">
        <w:rPr>
          <w:rFonts w:ascii="Arial" w:hAnsi="Arial" w:cs="Arial"/>
          <w:sz w:val="24"/>
          <w:szCs w:val="24"/>
        </w:rPr>
        <w:t xml:space="preserve"> Biochemical mechanism study between PTK2 and TLR-mediated signaling. </w:t>
      </w:r>
      <w:r w:rsidRPr="00D743BE">
        <w:rPr>
          <w:rFonts w:ascii="Arial" w:hAnsi="Arial" w:cs="Arial"/>
          <w:b/>
          <w:sz w:val="24"/>
          <w:szCs w:val="24"/>
        </w:rPr>
        <w:t>A</w:t>
      </w:r>
      <w:r w:rsidRPr="00D743BE">
        <w:rPr>
          <w:rFonts w:ascii="Arial" w:hAnsi="Arial" w:cs="Arial"/>
          <w:sz w:val="24"/>
          <w:szCs w:val="24"/>
        </w:rPr>
        <w:t xml:space="preserve"> HEK-293T cells were transiently transfected with mock as a control vector, Flag-TRAF6, or Myc-PTK2, as indicated. An immunoprecipitation (IP) assay was performed with anti-Myc antibody. An immunoblotting assay was then performed with anti-Flag or anti-Myc antibody. </w:t>
      </w:r>
      <w:r w:rsidRPr="00D743BE">
        <w:rPr>
          <w:rFonts w:ascii="Arial" w:hAnsi="Arial" w:cs="Arial"/>
          <w:b/>
          <w:sz w:val="24"/>
          <w:szCs w:val="24"/>
        </w:rPr>
        <w:t>B</w:t>
      </w:r>
      <w:r w:rsidRPr="00D743BE">
        <w:rPr>
          <w:rFonts w:ascii="Arial" w:hAnsi="Arial" w:cs="Arial"/>
          <w:sz w:val="24"/>
          <w:szCs w:val="24"/>
        </w:rPr>
        <w:t xml:space="preserve"> Truncated mutants of TRAF6 were generated and presented. </w:t>
      </w:r>
      <w:r w:rsidRPr="00D743BE">
        <w:rPr>
          <w:rFonts w:ascii="Arial" w:hAnsi="Arial" w:cs="Arial"/>
          <w:b/>
          <w:sz w:val="24"/>
          <w:szCs w:val="24"/>
        </w:rPr>
        <w:t>C</w:t>
      </w:r>
      <w:r w:rsidRPr="00D743BE">
        <w:rPr>
          <w:rFonts w:ascii="Arial" w:hAnsi="Arial" w:cs="Arial"/>
          <w:sz w:val="24"/>
          <w:szCs w:val="24"/>
        </w:rPr>
        <w:t xml:space="preserve"> HEK-293T cells were transiently transfected with mock, Myc-PTK2, or Flag-TRAF6 wild type (WT) and truncated mutants of Flag-TRAF6, as indicated. IP assay was </w:t>
      </w:r>
      <w:r w:rsidRPr="00D743BE">
        <w:rPr>
          <w:rFonts w:ascii="Arial" w:hAnsi="Arial" w:cs="Arial"/>
          <w:sz w:val="24"/>
          <w:szCs w:val="24"/>
        </w:rPr>
        <w:lastRenderedPageBreak/>
        <w:t xml:space="preserve">performed with anti-Flag antibody. </w:t>
      </w:r>
      <w:r w:rsidRPr="00D743BE">
        <w:rPr>
          <w:rFonts w:ascii="Arial" w:hAnsi="Arial" w:cs="Arial"/>
          <w:b/>
          <w:sz w:val="24"/>
          <w:szCs w:val="24"/>
        </w:rPr>
        <w:t>D</w:t>
      </w:r>
      <w:r w:rsidRPr="00D743BE">
        <w:rPr>
          <w:rFonts w:ascii="Arial" w:hAnsi="Arial" w:cs="Arial"/>
          <w:sz w:val="24"/>
          <w:szCs w:val="24"/>
        </w:rPr>
        <w:t xml:space="preserve"> HEK-293T cells were transiently transfected with mock, Flag-PTK2, or Myc-IRAK1, as indicated. IP assay was performed with anti-Flag antibody. </w:t>
      </w:r>
      <w:r w:rsidRPr="002669D5">
        <w:rPr>
          <w:rFonts w:ascii="Arial" w:hAnsi="Arial" w:cs="Arial"/>
          <w:b/>
          <w:sz w:val="24"/>
          <w:szCs w:val="24"/>
        </w:rPr>
        <w:t>E</w:t>
      </w:r>
      <w:r w:rsidRPr="00D743BE">
        <w:rPr>
          <w:rFonts w:ascii="Arial" w:hAnsi="Arial" w:cs="Arial"/>
          <w:sz w:val="24"/>
          <w:szCs w:val="24"/>
        </w:rPr>
        <w:t xml:space="preserve"> HEK-293T cells were transiently transfected with mock, Myc-IRAK1, or Flag-TRAF6 wild type (WT) and truncated mutants of Flag-TRAF6, as indicated. IP assay was performed with anti-Flag antibody. </w:t>
      </w:r>
      <w:r w:rsidR="002669D5">
        <w:rPr>
          <w:rFonts w:ascii="Arial" w:hAnsi="Arial" w:cs="Arial"/>
          <w:b/>
          <w:sz w:val="24"/>
          <w:szCs w:val="24"/>
        </w:rPr>
        <w:t>F</w:t>
      </w:r>
      <w:r w:rsidRPr="00D743BE">
        <w:rPr>
          <w:rFonts w:ascii="Arial" w:hAnsi="Arial" w:cs="Arial"/>
          <w:sz w:val="24"/>
          <w:szCs w:val="24"/>
        </w:rPr>
        <w:t xml:space="preserve"> HEK-293T cells were transiently transfected with mock, Flag-TRAF6, or different concentrations of Myc-PTK2, as indicated. IP assay was performed with anti-Flag antibody and immunoblotting assay was performed with anti-Flag, anti-Myc, and anti-IRAK1 antibodies. </w:t>
      </w:r>
      <w:r w:rsidR="002669D5">
        <w:rPr>
          <w:rFonts w:ascii="Arial" w:hAnsi="Arial" w:cs="Arial"/>
          <w:b/>
          <w:sz w:val="24"/>
          <w:szCs w:val="24"/>
        </w:rPr>
        <w:t>G</w:t>
      </w:r>
      <w:r w:rsidRPr="00D743BE">
        <w:rPr>
          <w:rFonts w:ascii="Arial" w:hAnsi="Arial" w:cs="Arial"/>
          <w:sz w:val="24"/>
          <w:szCs w:val="24"/>
        </w:rPr>
        <w:t xml:space="preserve"> A schematic model of how PTK2 enhances the association of TRAF6-IRAK1 complex. </w:t>
      </w:r>
      <w:r w:rsidR="002669D5">
        <w:rPr>
          <w:rFonts w:ascii="Arial" w:hAnsi="Arial" w:cs="Arial"/>
          <w:b/>
          <w:sz w:val="24"/>
          <w:szCs w:val="24"/>
        </w:rPr>
        <w:t>H</w:t>
      </w:r>
      <w:r w:rsidRPr="00D743BE">
        <w:rPr>
          <w:rFonts w:ascii="Arial" w:hAnsi="Arial" w:cs="Arial"/>
          <w:sz w:val="24"/>
          <w:szCs w:val="24"/>
        </w:rPr>
        <w:t xml:space="preserve"> H1299 wild type (WT) cells were transiently transfected with mock, Flag-TRAF6, or different concentrations of Myc-PTK2, as indicated. IP assay was performed with anti-Flag antibody and immunoblotting assay was performed with anti-Flag, anti-Myc, and anti-Ub antibodies. </w:t>
      </w:r>
      <w:r w:rsidR="002669D5">
        <w:rPr>
          <w:rFonts w:ascii="Arial" w:hAnsi="Arial" w:cs="Arial"/>
          <w:b/>
          <w:sz w:val="24"/>
          <w:szCs w:val="24"/>
        </w:rPr>
        <w:t>I</w:t>
      </w:r>
      <w:r w:rsidRPr="00D743BE">
        <w:rPr>
          <w:rFonts w:ascii="Arial" w:hAnsi="Arial" w:cs="Arial"/>
          <w:sz w:val="24"/>
          <w:szCs w:val="24"/>
        </w:rPr>
        <w:t xml:space="preserve"> H1299 WT cells were transiently transfected with mock, Flag-TAK1, or different concentrations of Myc-PTK2, as indicated. IP assay was performed with anti-Flag antibody and immunoblotting assay was performed with anti-Flag, anti-Myc, and anti-Ub antibodies. </w:t>
      </w:r>
      <w:r w:rsidR="002669D5">
        <w:rPr>
          <w:rFonts w:ascii="Arial" w:hAnsi="Arial" w:cs="Arial"/>
          <w:b/>
          <w:sz w:val="24"/>
          <w:szCs w:val="24"/>
        </w:rPr>
        <w:t>J</w:t>
      </w:r>
      <w:r w:rsidRPr="00D743BE">
        <w:rPr>
          <w:rFonts w:ascii="Arial" w:hAnsi="Arial" w:cs="Arial"/>
          <w:sz w:val="24"/>
          <w:szCs w:val="24"/>
        </w:rPr>
        <w:t xml:space="preserve"> A549 WT cells were transiently transfected with mock, Flag-TAK1, or different concentrations of Myc-PTK2, as indicated. Immunoblotting assay was performed with anti-Flag, anti-Myc, anti-pho-TAK1, and anti-GAPDH antibodies. </w:t>
      </w:r>
      <w:r w:rsidR="002669D5">
        <w:rPr>
          <w:rFonts w:ascii="Arial" w:hAnsi="Arial" w:cs="Arial"/>
          <w:b/>
          <w:sz w:val="24"/>
          <w:szCs w:val="24"/>
        </w:rPr>
        <w:t>K</w:t>
      </w:r>
      <w:r w:rsidRPr="00D743BE">
        <w:rPr>
          <w:rFonts w:ascii="Arial" w:hAnsi="Arial" w:cs="Arial"/>
          <w:sz w:val="24"/>
          <w:szCs w:val="24"/>
        </w:rPr>
        <w:t xml:space="preserve"> A schematic model of how PTK2 regulates TLR- and EGFR-mediated signaling for NF-</w:t>
      </w:r>
      <w:r w:rsidRPr="00D743BE">
        <w:rPr>
          <w:rFonts w:ascii="Arial" w:hAnsi="Arial" w:cs="Arial"/>
          <w:sz w:val="24"/>
          <w:szCs w:val="24"/>
        </w:rPr>
        <w:sym w:font="Symbol" w:char="F06B"/>
      </w:r>
      <w:r w:rsidRPr="00D743BE">
        <w:rPr>
          <w:rFonts w:ascii="Arial" w:hAnsi="Arial" w:cs="Arial"/>
          <w:sz w:val="24"/>
          <w:szCs w:val="24"/>
        </w:rPr>
        <w:t>B activation.</w:t>
      </w:r>
    </w:p>
    <w:p w:rsidR="006B7967" w:rsidRPr="00D743BE" w:rsidRDefault="006B7967" w:rsidP="00D743BE">
      <w:pPr>
        <w:spacing w:line="360" w:lineRule="auto"/>
        <w:rPr>
          <w:rFonts w:ascii="Arial" w:hAnsi="Arial" w:cs="Arial"/>
          <w:sz w:val="24"/>
          <w:szCs w:val="24"/>
        </w:rPr>
      </w:pPr>
    </w:p>
    <w:p w:rsidR="006B7967" w:rsidRPr="005802C8" w:rsidRDefault="006B7967" w:rsidP="006B7967"/>
    <w:p w:rsidR="006B7967" w:rsidRDefault="006B7967" w:rsidP="006B7967">
      <w:r>
        <w:br w:type="page"/>
      </w:r>
    </w:p>
    <w:p w:rsidR="006B7967" w:rsidRDefault="00CE6DAD" w:rsidP="006B7967">
      <w:r>
        <w:rPr>
          <w:noProof/>
        </w:rPr>
        <w:lastRenderedPageBreak/>
        <w:drawing>
          <wp:inline distT="0" distB="0" distL="0" distR="0" wp14:anchorId="47E9065C">
            <wp:extent cx="5718412" cy="6215665"/>
            <wp:effectExtent l="0" t="0" r="0" b="0"/>
            <wp:docPr id="43" name="그림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9626" cy="6216984"/>
                    </a:xfrm>
                    <a:prstGeom prst="rect">
                      <a:avLst/>
                    </a:prstGeom>
                    <a:noFill/>
                  </pic:spPr>
                </pic:pic>
              </a:graphicData>
            </a:graphic>
          </wp:inline>
        </w:drawing>
      </w:r>
    </w:p>
    <w:p w:rsidR="006B7967" w:rsidRDefault="006B7967" w:rsidP="006B7967"/>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S12</w:t>
      </w:r>
      <w:r w:rsidRPr="00D743BE">
        <w:rPr>
          <w:rFonts w:ascii="Arial" w:hAnsi="Arial" w:cs="Arial"/>
          <w:sz w:val="24"/>
          <w:szCs w:val="24"/>
        </w:rPr>
        <w:t xml:space="preserve"> Gene set enrichment analysis (GSEA, https://www.gsea-msigdb.org/gsea/index.jsp) was performed </w:t>
      </w:r>
      <w:r w:rsidR="00D743BE">
        <w:rPr>
          <w:rFonts w:ascii="Arial" w:hAnsi="Arial" w:cs="Arial"/>
          <w:sz w:val="24"/>
          <w:szCs w:val="24"/>
        </w:rPr>
        <w:t>for</w:t>
      </w:r>
      <w:r w:rsidRPr="00D743BE">
        <w:rPr>
          <w:rFonts w:ascii="Arial" w:hAnsi="Arial" w:cs="Arial"/>
          <w:sz w:val="24"/>
          <w:szCs w:val="24"/>
        </w:rPr>
        <w:t xml:space="preserve"> TLR1</w:t>
      </w:r>
      <w:r w:rsidRPr="00D743BE">
        <w:rPr>
          <w:rFonts w:ascii="Arial" w:hAnsi="Arial" w:cs="Arial"/>
          <w:sz w:val="24"/>
          <w:szCs w:val="24"/>
          <w:vertAlign w:val="superscript"/>
        </w:rPr>
        <w:t>up</w:t>
      </w:r>
      <w:r w:rsidRPr="00D743BE">
        <w:rPr>
          <w:rFonts w:ascii="Arial" w:hAnsi="Arial" w:cs="Arial"/>
          <w:sz w:val="24"/>
          <w:szCs w:val="24"/>
        </w:rPr>
        <w:t>TLR6</w:t>
      </w:r>
      <w:r w:rsidRPr="00D743BE">
        <w:rPr>
          <w:rFonts w:ascii="Arial" w:hAnsi="Arial" w:cs="Arial"/>
          <w:sz w:val="24"/>
          <w:szCs w:val="24"/>
          <w:vertAlign w:val="superscript"/>
        </w:rPr>
        <w:t>up</w:t>
      </w:r>
      <w:r w:rsidRPr="00D743BE">
        <w:rPr>
          <w:rFonts w:ascii="Arial" w:hAnsi="Arial" w:cs="Arial"/>
          <w:sz w:val="24"/>
          <w:szCs w:val="24"/>
        </w:rPr>
        <w:t>TLR2</w:t>
      </w:r>
      <w:r w:rsidRPr="00D743BE">
        <w:rPr>
          <w:rFonts w:ascii="Arial" w:hAnsi="Arial" w:cs="Arial"/>
          <w:sz w:val="24"/>
          <w:szCs w:val="24"/>
          <w:vertAlign w:val="superscript"/>
        </w:rPr>
        <w:t>up</w:t>
      </w:r>
      <w:r w:rsidRPr="00D743BE">
        <w:rPr>
          <w:rFonts w:ascii="Arial" w:hAnsi="Arial" w:cs="Arial"/>
          <w:sz w:val="24"/>
          <w:szCs w:val="24"/>
        </w:rPr>
        <w:t>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=5) versus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 xml:space="preserve">=4). </w:t>
      </w:r>
      <w:r w:rsidRPr="00D743BE">
        <w:rPr>
          <w:rFonts w:ascii="Arial" w:hAnsi="Arial" w:cs="Arial"/>
          <w:b/>
          <w:sz w:val="24"/>
          <w:szCs w:val="24"/>
        </w:rPr>
        <w:t>A</w:t>
      </w:r>
      <w:r w:rsidRPr="00D743BE">
        <w:rPr>
          <w:rFonts w:ascii="Arial" w:hAnsi="Arial" w:cs="Arial"/>
          <w:sz w:val="24"/>
          <w:szCs w:val="24"/>
        </w:rPr>
        <w:t xml:space="preserve"> Based on the </w:t>
      </w:r>
      <w:r w:rsidRPr="00D743BE">
        <w:rPr>
          <w:rFonts w:ascii="Cambria Math" w:hAnsi="Cambria Math" w:cs="Cambria Math"/>
          <w:sz w:val="24"/>
          <w:szCs w:val="24"/>
        </w:rPr>
        <w:t>△</w:t>
      </w:r>
      <w:r w:rsidRPr="00D743BE">
        <w:rPr>
          <w:rFonts w:ascii="Arial" w:hAnsi="Arial" w:cs="Arial"/>
          <w:sz w:val="24"/>
          <w:szCs w:val="24"/>
        </w:rPr>
        <w:t>Mag of TLR1, TLR6, TLR2, PTK2, and EGFR, 42 NSCLC patients were divided into patients with TLR1</w:t>
      </w:r>
      <w:r w:rsidR="003F3B01">
        <w:rPr>
          <w:rFonts w:ascii="Arial" w:hAnsi="Arial" w:cs="Arial"/>
          <w:sz w:val="24"/>
          <w:szCs w:val="24"/>
          <w:vertAlign w:val="superscript"/>
        </w:rPr>
        <w:t>up</w:t>
      </w:r>
      <w:r w:rsidRPr="00D743BE">
        <w:rPr>
          <w:rFonts w:ascii="Arial" w:hAnsi="Arial" w:cs="Arial"/>
          <w:sz w:val="24"/>
          <w:szCs w:val="24"/>
        </w:rPr>
        <w:t>TLR6</w:t>
      </w:r>
      <w:r w:rsidR="003F3B01">
        <w:rPr>
          <w:rFonts w:ascii="Arial" w:hAnsi="Arial" w:cs="Arial"/>
          <w:sz w:val="24"/>
          <w:szCs w:val="24"/>
          <w:vertAlign w:val="superscript"/>
        </w:rPr>
        <w:t>up</w:t>
      </w:r>
      <w:r w:rsidRPr="00D743BE">
        <w:rPr>
          <w:rFonts w:ascii="Arial" w:hAnsi="Arial" w:cs="Arial"/>
          <w:sz w:val="24"/>
          <w:szCs w:val="24"/>
        </w:rPr>
        <w:t>TLR2</w:t>
      </w:r>
      <w:r w:rsidR="003F3B01">
        <w:rPr>
          <w:rFonts w:ascii="Arial" w:hAnsi="Arial" w:cs="Arial"/>
          <w:sz w:val="24"/>
          <w:szCs w:val="24"/>
          <w:vertAlign w:val="superscript"/>
        </w:rPr>
        <w:t>up</w:t>
      </w:r>
      <w:r w:rsidRPr="00D743BE">
        <w:rPr>
          <w:rFonts w:ascii="Arial" w:hAnsi="Arial" w:cs="Arial"/>
          <w:sz w:val="24"/>
          <w:szCs w:val="24"/>
        </w:rPr>
        <w:t>EGFR</w:t>
      </w:r>
      <w:r w:rsidR="003F3B01">
        <w:rPr>
          <w:rFonts w:ascii="Arial" w:hAnsi="Arial" w:cs="Arial"/>
          <w:sz w:val="24"/>
          <w:szCs w:val="24"/>
          <w:vertAlign w:val="superscript"/>
        </w:rPr>
        <w:t>up</w:t>
      </w:r>
      <w:r w:rsidRPr="00D743BE">
        <w:rPr>
          <w:rFonts w:ascii="Arial" w:hAnsi="Arial" w:cs="Arial"/>
          <w:sz w:val="24"/>
          <w:szCs w:val="24"/>
        </w:rPr>
        <w:t>PTK2</w:t>
      </w:r>
      <w:r w:rsidR="003F3B01">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003F3B01">
        <w:rPr>
          <w:rFonts w:ascii="Arial" w:hAnsi="Arial" w:cs="Arial"/>
          <w:sz w:val="24"/>
          <w:szCs w:val="24"/>
        </w:rPr>
        <w:t>=5</w:t>
      </w:r>
      <w:r w:rsidRPr="00D743BE">
        <w:rPr>
          <w:rFonts w:ascii="Arial" w:hAnsi="Arial" w:cs="Arial"/>
          <w:sz w:val="24"/>
          <w:szCs w:val="24"/>
        </w:rPr>
        <w:t>, red bar) and patients with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 xml:space="preserve">=4, green bar). </w:t>
      </w:r>
      <w:r w:rsidRPr="00D743BE">
        <w:rPr>
          <w:rFonts w:ascii="Arial" w:hAnsi="Arial" w:cs="Arial"/>
          <w:b/>
          <w:sz w:val="24"/>
          <w:szCs w:val="24"/>
        </w:rPr>
        <w:t>B-N</w:t>
      </w:r>
      <w:r w:rsidRPr="00D743BE">
        <w:rPr>
          <w:rFonts w:ascii="Arial" w:hAnsi="Arial" w:cs="Arial"/>
          <w:sz w:val="24"/>
          <w:szCs w:val="24"/>
        </w:rPr>
        <w:t xml:space="preserve"> GSEA was </w:t>
      </w:r>
      <w:r w:rsidRPr="00D743BE">
        <w:rPr>
          <w:rFonts w:ascii="Arial" w:hAnsi="Arial" w:cs="Arial"/>
          <w:sz w:val="24"/>
          <w:szCs w:val="24"/>
        </w:rPr>
        <w:lastRenderedPageBreak/>
        <w:t>performed in TLR1</w:t>
      </w:r>
      <w:r w:rsidRPr="00D743BE">
        <w:rPr>
          <w:rFonts w:ascii="Arial" w:hAnsi="Arial" w:cs="Arial"/>
          <w:sz w:val="24"/>
          <w:szCs w:val="24"/>
          <w:vertAlign w:val="superscript"/>
        </w:rPr>
        <w:t>up</w:t>
      </w:r>
      <w:r w:rsidRPr="00D743BE">
        <w:rPr>
          <w:rFonts w:ascii="Arial" w:hAnsi="Arial" w:cs="Arial"/>
          <w:sz w:val="24"/>
          <w:szCs w:val="24"/>
        </w:rPr>
        <w:t>TLR6</w:t>
      </w:r>
      <w:r w:rsidRPr="00D743BE">
        <w:rPr>
          <w:rFonts w:ascii="Arial" w:hAnsi="Arial" w:cs="Arial"/>
          <w:sz w:val="24"/>
          <w:szCs w:val="24"/>
          <w:vertAlign w:val="superscript"/>
        </w:rPr>
        <w:t>up</w:t>
      </w:r>
      <w:r w:rsidRPr="00D743BE">
        <w:rPr>
          <w:rFonts w:ascii="Arial" w:hAnsi="Arial" w:cs="Arial"/>
          <w:sz w:val="24"/>
          <w:szCs w:val="24"/>
        </w:rPr>
        <w:t>TLR2</w:t>
      </w:r>
      <w:r w:rsidRPr="00D743BE">
        <w:rPr>
          <w:rFonts w:ascii="Arial" w:hAnsi="Arial" w:cs="Arial"/>
          <w:sz w:val="24"/>
          <w:szCs w:val="24"/>
          <w:vertAlign w:val="superscript"/>
        </w:rPr>
        <w:t>up</w:t>
      </w:r>
      <w:r w:rsidRPr="00D743BE">
        <w:rPr>
          <w:rFonts w:ascii="Arial" w:hAnsi="Arial" w:cs="Arial"/>
          <w:sz w:val="24"/>
          <w:szCs w:val="24"/>
        </w:rPr>
        <w:t>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=5) versus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=4). Gene sets related to cancer modules are presented (</w:t>
      </w:r>
      <w:r w:rsidRPr="00D743BE">
        <w:rPr>
          <w:rFonts w:ascii="Arial" w:hAnsi="Arial" w:cs="Arial"/>
          <w:b/>
          <w:sz w:val="24"/>
          <w:szCs w:val="24"/>
        </w:rPr>
        <w:t>B</w:t>
      </w:r>
      <w:r w:rsidRPr="00D743BE">
        <w:rPr>
          <w:rFonts w:ascii="Arial" w:hAnsi="Arial" w:cs="Arial"/>
          <w:sz w:val="24"/>
          <w:szCs w:val="24"/>
        </w:rPr>
        <w:t xml:space="preserve">, module 17; </w:t>
      </w:r>
      <w:r w:rsidRPr="00D743BE">
        <w:rPr>
          <w:rFonts w:ascii="Arial" w:hAnsi="Arial" w:cs="Arial"/>
          <w:b/>
          <w:sz w:val="24"/>
          <w:szCs w:val="24"/>
        </w:rPr>
        <w:t>C</w:t>
      </w:r>
      <w:r w:rsidRPr="00D743BE">
        <w:rPr>
          <w:rFonts w:ascii="Arial" w:hAnsi="Arial" w:cs="Arial"/>
          <w:sz w:val="24"/>
          <w:szCs w:val="24"/>
        </w:rPr>
        <w:t xml:space="preserve">, module 98; </w:t>
      </w:r>
      <w:r w:rsidRPr="00D743BE">
        <w:rPr>
          <w:rFonts w:ascii="Arial" w:hAnsi="Arial" w:cs="Arial"/>
          <w:b/>
          <w:sz w:val="24"/>
          <w:szCs w:val="24"/>
        </w:rPr>
        <w:t>D</w:t>
      </w:r>
      <w:r w:rsidRPr="00D743BE">
        <w:rPr>
          <w:rFonts w:ascii="Arial" w:hAnsi="Arial" w:cs="Arial"/>
          <w:sz w:val="24"/>
          <w:szCs w:val="24"/>
        </w:rPr>
        <w:t xml:space="preserve">, module 8; </w:t>
      </w:r>
      <w:r w:rsidRPr="00D743BE">
        <w:rPr>
          <w:rFonts w:ascii="Arial" w:hAnsi="Arial" w:cs="Arial"/>
          <w:b/>
          <w:sz w:val="24"/>
          <w:szCs w:val="24"/>
        </w:rPr>
        <w:t>E</w:t>
      </w:r>
      <w:r w:rsidRPr="00D743BE">
        <w:rPr>
          <w:rFonts w:ascii="Arial" w:hAnsi="Arial" w:cs="Arial"/>
          <w:sz w:val="24"/>
          <w:szCs w:val="24"/>
        </w:rPr>
        <w:t xml:space="preserve">, module 54; </w:t>
      </w:r>
      <w:r w:rsidRPr="00D743BE">
        <w:rPr>
          <w:rFonts w:ascii="Arial" w:hAnsi="Arial" w:cs="Arial"/>
          <w:b/>
          <w:sz w:val="24"/>
          <w:szCs w:val="24"/>
        </w:rPr>
        <w:t>F</w:t>
      </w:r>
      <w:r w:rsidRPr="00D743BE">
        <w:rPr>
          <w:rFonts w:ascii="Arial" w:hAnsi="Arial" w:cs="Arial"/>
          <w:sz w:val="24"/>
          <w:szCs w:val="24"/>
        </w:rPr>
        <w:t xml:space="preserve">, module 183; </w:t>
      </w:r>
      <w:r w:rsidRPr="00D743BE">
        <w:rPr>
          <w:rFonts w:ascii="Arial" w:hAnsi="Arial" w:cs="Arial"/>
          <w:b/>
          <w:sz w:val="24"/>
          <w:szCs w:val="24"/>
        </w:rPr>
        <w:t>G</w:t>
      </w:r>
      <w:r w:rsidRPr="00D743BE">
        <w:rPr>
          <w:rFonts w:ascii="Arial" w:hAnsi="Arial" w:cs="Arial"/>
          <w:sz w:val="24"/>
          <w:szCs w:val="24"/>
        </w:rPr>
        <w:t xml:space="preserve">, module 125; </w:t>
      </w:r>
      <w:r w:rsidRPr="00D743BE">
        <w:rPr>
          <w:rFonts w:ascii="Arial" w:hAnsi="Arial" w:cs="Arial"/>
          <w:b/>
          <w:sz w:val="24"/>
          <w:szCs w:val="24"/>
        </w:rPr>
        <w:t>H</w:t>
      </w:r>
      <w:r w:rsidRPr="00D743BE">
        <w:rPr>
          <w:rFonts w:ascii="Arial" w:hAnsi="Arial" w:cs="Arial"/>
          <w:sz w:val="24"/>
          <w:szCs w:val="24"/>
        </w:rPr>
        <w:t xml:space="preserve">, module 403; </w:t>
      </w:r>
      <w:r w:rsidRPr="00D743BE">
        <w:rPr>
          <w:rFonts w:ascii="Arial" w:hAnsi="Arial" w:cs="Arial"/>
          <w:b/>
          <w:sz w:val="24"/>
          <w:szCs w:val="24"/>
        </w:rPr>
        <w:t>I</w:t>
      </w:r>
      <w:r w:rsidRPr="00D743BE">
        <w:rPr>
          <w:rFonts w:ascii="Arial" w:hAnsi="Arial" w:cs="Arial"/>
          <w:sz w:val="24"/>
          <w:szCs w:val="24"/>
        </w:rPr>
        <w:t xml:space="preserve">, module 57; </w:t>
      </w:r>
      <w:r w:rsidRPr="00D743BE">
        <w:rPr>
          <w:rFonts w:ascii="Arial" w:hAnsi="Arial" w:cs="Arial"/>
          <w:b/>
          <w:sz w:val="24"/>
          <w:szCs w:val="24"/>
        </w:rPr>
        <w:t>J</w:t>
      </w:r>
      <w:r w:rsidRPr="00D743BE">
        <w:rPr>
          <w:rFonts w:ascii="Arial" w:hAnsi="Arial" w:cs="Arial"/>
          <w:sz w:val="24"/>
          <w:szCs w:val="24"/>
        </w:rPr>
        <w:t xml:space="preserve">, module 61; </w:t>
      </w:r>
      <w:r w:rsidRPr="00D743BE">
        <w:rPr>
          <w:rFonts w:ascii="Arial" w:hAnsi="Arial" w:cs="Arial"/>
          <w:b/>
          <w:sz w:val="24"/>
          <w:szCs w:val="24"/>
        </w:rPr>
        <w:t>K</w:t>
      </w:r>
      <w:r w:rsidRPr="00D743BE">
        <w:rPr>
          <w:rFonts w:ascii="Arial" w:hAnsi="Arial" w:cs="Arial"/>
          <w:sz w:val="24"/>
          <w:szCs w:val="24"/>
        </w:rPr>
        <w:t xml:space="preserve">, module 158; </w:t>
      </w:r>
      <w:r w:rsidRPr="00D743BE">
        <w:rPr>
          <w:rFonts w:ascii="Arial" w:hAnsi="Arial" w:cs="Arial"/>
          <w:b/>
          <w:sz w:val="24"/>
          <w:szCs w:val="24"/>
        </w:rPr>
        <w:t>L</w:t>
      </w:r>
      <w:r w:rsidRPr="00D743BE">
        <w:rPr>
          <w:rFonts w:ascii="Arial" w:hAnsi="Arial" w:cs="Arial"/>
          <w:sz w:val="24"/>
          <w:szCs w:val="24"/>
        </w:rPr>
        <w:t xml:space="preserve">, module 278; </w:t>
      </w:r>
      <w:r w:rsidRPr="00D743BE">
        <w:rPr>
          <w:rFonts w:ascii="Arial" w:hAnsi="Arial" w:cs="Arial"/>
          <w:b/>
          <w:sz w:val="24"/>
          <w:szCs w:val="24"/>
        </w:rPr>
        <w:t>M</w:t>
      </w:r>
      <w:r w:rsidRPr="00D743BE">
        <w:rPr>
          <w:rFonts w:ascii="Arial" w:hAnsi="Arial" w:cs="Arial"/>
          <w:sz w:val="24"/>
          <w:szCs w:val="24"/>
        </w:rPr>
        <w:t xml:space="preserve">, module 91; </w:t>
      </w:r>
      <w:r w:rsidRPr="00D743BE">
        <w:rPr>
          <w:rFonts w:ascii="Arial" w:hAnsi="Arial" w:cs="Arial"/>
          <w:b/>
          <w:sz w:val="24"/>
          <w:szCs w:val="24"/>
        </w:rPr>
        <w:t>N</w:t>
      </w:r>
      <w:r w:rsidRPr="00D743BE">
        <w:rPr>
          <w:rFonts w:ascii="Arial" w:hAnsi="Arial" w:cs="Arial"/>
          <w:sz w:val="24"/>
          <w:szCs w:val="24"/>
        </w:rPr>
        <w:t>, module 451). NES, nominal P-value, and FDR q-values are indicated in the inner panel.</w:t>
      </w:r>
    </w:p>
    <w:p w:rsidR="006B7967" w:rsidRPr="00D743BE" w:rsidRDefault="006B7967" w:rsidP="00D743BE">
      <w:pPr>
        <w:spacing w:line="360" w:lineRule="auto"/>
        <w:rPr>
          <w:rFonts w:ascii="Arial" w:hAnsi="Arial" w:cs="Arial"/>
          <w:sz w:val="24"/>
          <w:szCs w:val="24"/>
        </w:rPr>
      </w:pPr>
    </w:p>
    <w:p w:rsidR="006B7967" w:rsidRPr="00D743BE" w:rsidRDefault="006B7967" w:rsidP="00D743BE">
      <w:pPr>
        <w:spacing w:line="360" w:lineRule="auto"/>
        <w:rPr>
          <w:rFonts w:ascii="Arial" w:hAnsi="Arial" w:cs="Arial"/>
          <w:sz w:val="24"/>
          <w:szCs w:val="24"/>
        </w:rPr>
      </w:pPr>
    </w:p>
    <w:p w:rsidR="006B7967" w:rsidRDefault="006B7967" w:rsidP="006B7967">
      <w:r>
        <w:br w:type="page"/>
      </w:r>
    </w:p>
    <w:p w:rsidR="006B7967" w:rsidRDefault="006B7967" w:rsidP="006B7967">
      <w:r>
        <w:rPr>
          <w:noProof/>
        </w:rPr>
        <w:lastRenderedPageBreak/>
        <w:drawing>
          <wp:inline distT="0" distB="0" distL="0" distR="0">
            <wp:extent cx="5359400" cy="4697430"/>
            <wp:effectExtent l="0" t="0" r="0" b="8255"/>
            <wp:docPr id="30" name="그림 30" descr="그림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그림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62739" cy="4700356"/>
                    </a:xfrm>
                    <a:prstGeom prst="rect">
                      <a:avLst/>
                    </a:prstGeom>
                    <a:noFill/>
                    <a:ln>
                      <a:noFill/>
                    </a:ln>
                  </pic:spPr>
                </pic:pic>
              </a:graphicData>
            </a:graphic>
          </wp:inline>
        </w:drawing>
      </w:r>
    </w:p>
    <w:p w:rsidR="006B7967" w:rsidRDefault="006B7967" w:rsidP="006B7967"/>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S13</w:t>
      </w:r>
      <w:r w:rsidRPr="00D743BE">
        <w:rPr>
          <w:rFonts w:ascii="Arial" w:hAnsi="Arial" w:cs="Arial"/>
          <w:sz w:val="24"/>
          <w:szCs w:val="24"/>
        </w:rPr>
        <w:t xml:space="preserve"> Gene set enrichment analysis (GSEA, https://www.gsea-msigdb.org/gsea/index.jsp) was performed in TLR1</w:t>
      </w:r>
      <w:r w:rsidRPr="00D743BE">
        <w:rPr>
          <w:rFonts w:ascii="Arial" w:hAnsi="Arial" w:cs="Arial"/>
          <w:sz w:val="24"/>
          <w:szCs w:val="24"/>
          <w:vertAlign w:val="superscript"/>
        </w:rPr>
        <w:t>up</w:t>
      </w:r>
      <w:r w:rsidRPr="00D743BE">
        <w:rPr>
          <w:rFonts w:ascii="Arial" w:hAnsi="Arial" w:cs="Arial"/>
          <w:sz w:val="24"/>
          <w:szCs w:val="24"/>
        </w:rPr>
        <w:t>TLR6</w:t>
      </w:r>
      <w:r w:rsidRPr="00D743BE">
        <w:rPr>
          <w:rFonts w:ascii="Arial" w:hAnsi="Arial" w:cs="Arial"/>
          <w:sz w:val="24"/>
          <w:szCs w:val="24"/>
          <w:vertAlign w:val="superscript"/>
        </w:rPr>
        <w:t>up</w:t>
      </w:r>
      <w:r w:rsidRPr="00D743BE">
        <w:rPr>
          <w:rFonts w:ascii="Arial" w:hAnsi="Arial" w:cs="Arial"/>
          <w:sz w:val="24"/>
          <w:szCs w:val="24"/>
        </w:rPr>
        <w:t>TLR2</w:t>
      </w:r>
      <w:r w:rsidRPr="00D743BE">
        <w:rPr>
          <w:rFonts w:ascii="Arial" w:hAnsi="Arial" w:cs="Arial"/>
          <w:sz w:val="24"/>
          <w:szCs w:val="24"/>
          <w:vertAlign w:val="superscript"/>
        </w:rPr>
        <w:t>up</w:t>
      </w:r>
      <w:r w:rsidRPr="00D743BE">
        <w:rPr>
          <w:rFonts w:ascii="Arial" w:hAnsi="Arial" w:cs="Arial"/>
          <w:sz w:val="24"/>
          <w:szCs w:val="24"/>
        </w:rPr>
        <w:t>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=5) versus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 xml:space="preserve">=4). </w:t>
      </w:r>
      <w:r w:rsidRPr="00D743BE">
        <w:rPr>
          <w:rFonts w:ascii="Arial" w:hAnsi="Arial" w:cs="Arial"/>
          <w:b/>
          <w:sz w:val="24"/>
          <w:szCs w:val="24"/>
        </w:rPr>
        <w:t>A-L</w:t>
      </w:r>
      <w:r w:rsidRPr="00D743BE">
        <w:rPr>
          <w:rFonts w:ascii="Arial" w:hAnsi="Arial" w:cs="Arial"/>
          <w:sz w:val="24"/>
          <w:szCs w:val="24"/>
        </w:rPr>
        <w:t xml:space="preserve"> GSEA was performed in TLR1</w:t>
      </w:r>
      <w:r w:rsidRPr="00D743BE">
        <w:rPr>
          <w:rFonts w:ascii="Arial" w:hAnsi="Arial" w:cs="Arial"/>
          <w:sz w:val="24"/>
          <w:szCs w:val="24"/>
          <w:vertAlign w:val="superscript"/>
        </w:rPr>
        <w:t>up</w:t>
      </w:r>
      <w:r w:rsidRPr="00D743BE">
        <w:rPr>
          <w:rFonts w:ascii="Arial" w:hAnsi="Arial" w:cs="Arial"/>
          <w:sz w:val="24"/>
          <w:szCs w:val="24"/>
        </w:rPr>
        <w:t>TLR6</w:t>
      </w:r>
      <w:r w:rsidRPr="00D743BE">
        <w:rPr>
          <w:rFonts w:ascii="Arial" w:hAnsi="Arial" w:cs="Arial"/>
          <w:sz w:val="24"/>
          <w:szCs w:val="24"/>
          <w:vertAlign w:val="superscript"/>
        </w:rPr>
        <w:t>up</w:t>
      </w:r>
      <w:r w:rsidRPr="00D743BE">
        <w:rPr>
          <w:rFonts w:ascii="Arial" w:hAnsi="Arial" w:cs="Arial"/>
          <w:sz w:val="24"/>
          <w:szCs w:val="24"/>
        </w:rPr>
        <w:t>TLR2</w:t>
      </w:r>
      <w:r w:rsidRPr="00D743BE">
        <w:rPr>
          <w:rFonts w:ascii="Arial" w:hAnsi="Arial" w:cs="Arial"/>
          <w:sz w:val="24"/>
          <w:szCs w:val="24"/>
          <w:vertAlign w:val="superscript"/>
        </w:rPr>
        <w:t>up</w:t>
      </w:r>
      <w:r w:rsidRPr="00D743BE">
        <w:rPr>
          <w:rFonts w:ascii="Arial" w:hAnsi="Arial" w:cs="Arial"/>
          <w:sz w:val="24"/>
          <w:szCs w:val="24"/>
        </w:rPr>
        <w:t>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=5) versus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=4). Gene sets related to cancer progression are presented (</w:t>
      </w:r>
      <w:r w:rsidRPr="00D743BE">
        <w:rPr>
          <w:rFonts w:ascii="Arial" w:hAnsi="Arial" w:cs="Arial"/>
          <w:b/>
          <w:sz w:val="24"/>
          <w:szCs w:val="24"/>
        </w:rPr>
        <w:t>A</w:t>
      </w:r>
      <w:r w:rsidRPr="00D743BE">
        <w:rPr>
          <w:rFonts w:ascii="Arial" w:hAnsi="Arial" w:cs="Arial"/>
          <w:sz w:val="24"/>
          <w:szCs w:val="24"/>
        </w:rPr>
        <w:t xml:space="preserve">, AURORA B PATHWAY; </w:t>
      </w:r>
      <w:r w:rsidRPr="00D743BE">
        <w:rPr>
          <w:rFonts w:ascii="Arial" w:hAnsi="Arial" w:cs="Arial"/>
          <w:b/>
          <w:sz w:val="24"/>
          <w:szCs w:val="24"/>
        </w:rPr>
        <w:t>B</w:t>
      </w:r>
      <w:r w:rsidRPr="00D743BE">
        <w:rPr>
          <w:rFonts w:ascii="Arial" w:hAnsi="Arial" w:cs="Arial"/>
          <w:sz w:val="24"/>
          <w:szCs w:val="24"/>
        </w:rPr>
        <w:t xml:space="preserve">, GLYCOLYSIS GLUCONEOGENESIS; </w:t>
      </w:r>
      <w:r w:rsidRPr="00D743BE">
        <w:rPr>
          <w:rFonts w:ascii="Arial" w:hAnsi="Arial" w:cs="Arial"/>
          <w:b/>
          <w:sz w:val="24"/>
          <w:szCs w:val="24"/>
        </w:rPr>
        <w:t>C</w:t>
      </w:r>
      <w:r w:rsidRPr="00D743BE">
        <w:rPr>
          <w:rFonts w:ascii="Arial" w:hAnsi="Arial" w:cs="Arial"/>
          <w:sz w:val="24"/>
          <w:szCs w:val="24"/>
        </w:rPr>
        <w:t xml:space="preserve">, CELL CYCLE; </w:t>
      </w:r>
      <w:r w:rsidRPr="00D743BE">
        <w:rPr>
          <w:rFonts w:ascii="Arial" w:hAnsi="Arial" w:cs="Arial"/>
          <w:b/>
          <w:sz w:val="24"/>
          <w:szCs w:val="24"/>
        </w:rPr>
        <w:t>D</w:t>
      </w:r>
      <w:r w:rsidRPr="00D743BE">
        <w:rPr>
          <w:rFonts w:ascii="Arial" w:hAnsi="Arial" w:cs="Arial"/>
          <w:sz w:val="24"/>
          <w:szCs w:val="24"/>
        </w:rPr>
        <w:t xml:space="preserve">, AURORA A PATHWAY; </w:t>
      </w:r>
      <w:r w:rsidRPr="00D743BE">
        <w:rPr>
          <w:rFonts w:ascii="Arial" w:hAnsi="Arial" w:cs="Arial"/>
          <w:b/>
          <w:sz w:val="24"/>
          <w:szCs w:val="24"/>
        </w:rPr>
        <w:t>E</w:t>
      </w:r>
      <w:r w:rsidRPr="00D743BE">
        <w:rPr>
          <w:rFonts w:ascii="Arial" w:hAnsi="Arial" w:cs="Arial"/>
          <w:sz w:val="24"/>
          <w:szCs w:val="24"/>
        </w:rPr>
        <w:t xml:space="preserve">, DNA REPLICATION; </w:t>
      </w:r>
      <w:r w:rsidRPr="00D743BE">
        <w:rPr>
          <w:rFonts w:ascii="Arial" w:hAnsi="Arial" w:cs="Arial"/>
          <w:b/>
          <w:sz w:val="24"/>
          <w:szCs w:val="24"/>
        </w:rPr>
        <w:t>F</w:t>
      </w:r>
      <w:r w:rsidRPr="00D743BE">
        <w:rPr>
          <w:rFonts w:ascii="Arial" w:hAnsi="Arial" w:cs="Arial"/>
          <w:sz w:val="24"/>
          <w:szCs w:val="24"/>
        </w:rPr>
        <w:t xml:space="preserve">, MYC ACTIV PATHWAY; </w:t>
      </w:r>
      <w:r w:rsidRPr="00D743BE">
        <w:rPr>
          <w:rFonts w:ascii="Arial" w:hAnsi="Arial" w:cs="Arial"/>
          <w:b/>
          <w:sz w:val="24"/>
          <w:szCs w:val="24"/>
        </w:rPr>
        <w:t>G</w:t>
      </w:r>
      <w:r w:rsidRPr="00D743BE">
        <w:rPr>
          <w:rFonts w:ascii="Arial" w:hAnsi="Arial" w:cs="Arial"/>
          <w:sz w:val="24"/>
          <w:szCs w:val="24"/>
        </w:rPr>
        <w:t xml:space="preserve">, IGF1 PATHWAY; </w:t>
      </w:r>
      <w:r w:rsidRPr="00D743BE">
        <w:rPr>
          <w:rFonts w:ascii="Arial" w:hAnsi="Arial" w:cs="Arial"/>
          <w:b/>
          <w:sz w:val="24"/>
          <w:szCs w:val="24"/>
        </w:rPr>
        <w:t>H</w:t>
      </w:r>
      <w:r w:rsidRPr="00D743BE">
        <w:rPr>
          <w:rFonts w:ascii="Arial" w:hAnsi="Arial" w:cs="Arial"/>
          <w:sz w:val="24"/>
          <w:szCs w:val="24"/>
        </w:rPr>
        <w:t xml:space="preserve">, INSULIN GLUCOSE PATHWAY; </w:t>
      </w:r>
      <w:r w:rsidRPr="00D743BE">
        <w:rPr>
          <w:rFonts w:ascii="Arial" w:hAnsi="Arial" w:cs="Arial"/>
          <w:b/>
          <w:sz w:val="24"/>
          <w:szCs w:val="24"/>
        </w:rPr>
        <w:t>I</w:t>
      </w:r>
      <w:r w:rsidRPr="00D743BE">
        <w:rPr>
          <w:rFonts w:ascii="Arial" w:hAnsi="Arial" w:cs="Arial"/>
          <w:sz w:val="24"/>
          <w:szCs w:val="24"/>
        </w:rPr>
        <w:t xml:space="preserve">, GLUCONEOGENESIS; </w:t>
      </w:r>
      <w:r w:rsidRPr="00D743BE">
        <w:rPr>
          <w:rFonts w:ascii="Arial" w:hAnsi="Arial" w:cs="Arial"/>
          <w:b/>
          <w:sz w:val="24"/>
          <w:szCs w:val="24"/>
        </w:rPr>
        <w:t>J</w:t>
      </w:r>
      <w:r w:rsidRPr="00D743BE">
        <w:rPr>
          <w:rFonts w:ascii="Arial" w:hAnsi="Arial" w:cs="Arial"/>
          <w:sz w:val="24"/>
          <w:szCs w:val="24"/>
        </w:rPr>
        <w:t xml:space="preserve">, FACTORS AND PATHWAYS AFFECTING INSULIN LIKE GROWTH FACTOR IGF1 AKT SIGNALING; </w:t>
      </w:r>
      <w:r w:rsidRPr="00D743BE">
        <w:rPr>
          <w:rFonts w:ascii="Arial" w:hAnsi="Arial" w:cs="Arial"/>
          <w:b/>
          <w:sz w:val="24"/>
          <w:szCs w:val="24"/>
        </w:rPr>
        <w:t>K</w:t>
      </w:r>
      <w:r w:rsidRPr="00D743BE">
        <w:rPr>
          <w:rFonts w:ascii="Arial" w:hAnsi="Arial" w:cs="Arial"/>
          <w:sz w:val="24"/>
          <w:szCs w:val="24"/>
        </w:rPr>
        <w:t xml:space="preserve">, DNA REPLICATION PRE INITIATION; </w:t>
      </w:r>
      <w:r w:rsidRPr="003F3B01">
        <w:rPr>
          <w:rFonts w:ascii="Arial" w:hAnsi="Arial" w:cs="Arial"/>
          <w:b/>
          <w:sz w:val="24"/>
          <w:szCs w:val="24"/>
        </w:rPr>
        <w:t>L</w:t>
      </w:r>
      <w:r w:rsidRPr="00D743BE">
        <w:rPr>
          <w:rFonts w:ascii="Arial" w:hAnsi="Arial" w:cs="Arial"/>
          <w:sz w:val="24"/>
          <w:szCs w:val="24"/>
        </w:rPr>
        <w:t xml:space="preserve"> WNT PATHWAY). NES, nominal P-value, and FDR q-values are indicated in the inner panel.</w:t>
      </w:r>
    </w:p>
    <w:p w:rsidR="006B7967" w:rsidRDefault="006B7967" w:rsidP="006B7967">
      <w:r>
        <w:rPr>
          <w:noProof/>
        </w:rPr>
        <w:lastRenderedPageBreak/>
        <w:drawing>
          <wp:inline distT="0" distB="0" distL="0" distR="0">
            <wp:extent cx="5680075" cy="8686800"/>
            <wp:effectExtent l="0" t="0" r="0" b="0"/>
            <wp:docPr id="29" name="그림 29" descr="그림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그림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0075" cy="8686800"/>
                    </a:xfrm>
                    <a:prstGeom prst="rect">
                      <a:avLst/>
                    </a:prstGeom>
                    <a:noFill/>
                    <a:ln>
                      <a:noFill/>
                    </a:ln>
                  </pic:spPr>
                </pic:pic>
              </a:graphicData>
            </a:graphic>
          </wp:inline>
        </w:drawing>
      </w:r>
    </w:p>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lastRenderedPageBreak/>
        <w:t>Fig. S14</w:t>
      </w:r>
      <w:r w:rsidRPr="00D743BE">
        <w:rPr>
          <w:rFonts w:ascii="Arial" w:hAnsi="Arial" w:cs="Arial"/>
          <w:sz w:val="24"/>
          <w:szCs w:val="24"/>
        </w:rPr>
        <w:t xml:space="preserve"> Gene set enrichment analysis (GSEA, https://www.gsea-msigdb.org/gsea/index.jsp) was performed in TLR1</w:t>
      </w:r>
      <w:r w:rsidRPr="00D743BE">
        <w:rPr>
          <w:rFonts w:ascii="Arial" w:hAnsi="Arial" w:cs="Arial"/>
          <w:sz w:val="24"/>
          <w:szCs w:val="24"/>
          <w:vertAlign w:val="superscript"/>
        </w:rPr>
        <w:t>up</w:t>
      </w:r>
      <w:r w:rsidRPr="00D743BE">
        <w:rPr>
          <w:rFonts w:ascii="Arial" w:hAnsi="Arial" w:cs="Arial"/>
          <w:sz w:val="24"/>
          <w:szCs w:val="24"/>
        </w:rPr>
        <w:t>TLR6</w:t>
      </w:r>
      <w:r w:rsidRPr="00D743BE">
        <w:rPr>
          <w:rFonts w:ascii="Arial" w:hAnsi="Arial" w:cs="Arial"/>
          <w:sz w:val="24"/>
          <w:szCs w:val="24"/>
          <w:vertAlign w:val="superscript"/>
        </w:rPr>
        <w:t>up</w:t>
      </w:r>
      <w:r w:rsidRPr="00D743BE">
        <w:rPr>
          <w:rFonts w:ascii="Arial" w:hAnsi="Arial" w:cs="Arial"/>
          <w:sz w:val="24"/>
          <w:szCs w:val="24"/>
        </w:rPr>
        <w:t>TLR2</w:t>
      </w:r>
      <w:r w:rsidRPr="00D743BE">
        <w:rPr>
          <w:rFonts w:ascii="Arial" w:hAnsi="Arial" w:cs="Arial"/>
          <w:sz w:val="24"/>
          <w:szCs w:val="24"/>
          <w:vertAlign w:val="superscript"/>
        </w:rPr>
        <w:t>up</w:t>
      </w:r>
      <w:r w:rsidRPr="00D743BE">
        <w:rPr>
          <w:rFonts w:ascii="Arial" w:hAnsi="Arial" w:cs="Arial"/>
          <w:sz w:val="24"/>
          <w:szCs w:val="24"/>
        </w:rPr>
        <w:t>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=5) versus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 xml:space="preserve">=4). </w:t>
      </w:r>
      <w:r w:rsidRPr="00D743BE">
        <w:rPr>
          <w:rFonts w:ascii="Arial" w:hAnsi="Arial" w:cs="Arial"/>
          <w:b/>
          <w:sz w:val="24"/>
          <w:szCs w:val="24"/>
        </w:rPr>
        <w:t>A-F</w:t>
      </w:r>
      <w:r w:rsidRPr="00D743BE">
        <w:rPr>
          <w:rFonts w:ascii="Arial" w:hAnsi="Arial" w:cs="Arial"/>
          <w:sz w:val="24"/>
          <w:szCs w:val="24"/>
        </w:rPr>
        <w:t xml:space="preserve"> GSEA was performed in TLR1</w:t>
      </w:r>
      <w:r w:rsidRPr="00D743BE">
        <w:rPr>
          <w:rFonts w:ascii="Arial" w:hAnsi="Arial" w:cs="Arial"/>
          <w:sz w:val="24"/>
          <w:szCs w:val="24"/>
          <w:vertAlign w:val="superscript"/>
        </w:rPr>
        <w:t>up</w:t>
      </w:r>
      <w:r w:rsidRPr="00D743BE">
        <w:rPr>
          <w:rFonts w:ascii="Arial" w:hAnsi="Arial" w:cs="Arial"/>
          <w:sz w:val="24"/>
          <w:szCs w:val="24"/>
        </w:rPr>
        <w:t>TLR6</w:t>
      </w:r>
      <w:r w:rsidRPr="00D743BE">
        <w:rPr>
          <w:rFonts w:ascii="Arial" w:hAnsi="Arial" w:cs="Arial"/>
          <w:sz w:val="24"/>
          <w:szCs w:val="24"/>
          <w:vertAlign w:val="superscript"/>
        </w:rPr>
        <w:t>up</w:t>
      </w:r>
      <w:r w:rsidRPr="00D743BE">
        <w:rPr>
          <w:rFonts w:ascii="Arial" w:hAnsi="Arial" w:cs="Arial"/>
          <w:sz w:val="24"/>
          <w:szCs w:val="24"/>
        </w:rPr>
        <w:t>TLR2</w:t>
      </w:r>
      <w:r w:rsidRPr="00D743BE">
        <w:rPr>
          <w:rFonts w:ascii="Arial" w:hAnsi="Arial" w:cs="Arial"/>
          <w:sz w:val="24"/>
          <w:szCs w:val="24"/>
          <w:vertAlign w:val="superscript"/>
        </w:rPr>
        <w:t>up</w:t>
      </w:r>
      <w:r w:rsidRPr="00D743BE">
        <w:rPr>
          <w:rFonts w:ascii="Arial" w:hAnsi="Arial" w:cs="Arial"/>
          <w:sz w:val="24"/>
          <w:szCs w:val="24"/>
        </w:rPr>
        <w:t>EGFR</w:t>
      </w:r>
      <w:r w:rsidRPr="00D743BE">
        <w:rPr>
          <w:rFonts w:ascii="Arial" w:hAnsi="Arial" w:cs="Arial"/>
          <w:sz w:val="24"/>
          <w:szCs w:val="24"/>
          <w:vertAlign w:val="superscript"/>
        </w:rPr>
        <w:t>up</w:t>
      </w:r>
      <w:r w:rsidRPr="00D743BE">
        <w:rPr>
          <w:rFonts w:ascii="Arial" w:hAnsi="Arial" w:cs="Arial"/>
          <w:sz w:val="24"/>
          <w:szCs w:val="24"/>
        </w:rPr>
        <w:t>PTK2</w:t>
      </w:r>
      <w:r w:rsidRPr="00D743BE">
        <w:rPr>
          <w:rFonts w:ascii="Arial" w:hAnsi="Arial" w:cs="Arial"/>
          <w:sz w:val="24"/>
          <w:szCs w:val="24"/>
          <w:vertAlign w:val="superscript"/>
        </w:rPr>
        <w:t>up</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=5) versus TLR1</w:t>
      </w:r>
      <w:r w:rsidRPr="00D743BE">
        <w:rPr>
          <w:rFonts w:ascii="Arial" w:hAnsi="Arial" w:cs="Arial"/>
          <w:sz w:val="24"/>
          <w:szCs w:val="24"/>
          <w:vertAlign w:val="superscript"/>
        </w:rPr>
        <w:t>down</w:t>
      </w:r>
      <w:r w:rsidRPr="00D743BE">
        <w:rPr>
          <w:rFonts w:ascii="Arial" w:hAnsi="Arial" w:cs="Arial"/>
          <w:sz w:val="24"/>
          <w:szCs w:val="24"/>
        </w:rPr>
        <w:t>TLR6</w:t>
      </w:r>
      <w:r w:rsidRPr="00D743BE">
        <w:rPr>
          <w:rFonts w:ascii="Arial" w:hAnsi="Arial" w:cs="Arial"/>
          <w:sz w:val="24"/>
          <w:szCs w:val="24"/>
          <w:vertAlign w:val="superscript"/>
        </w:rPr>
        <w:t>down</w:t>
      </w:r>
      <w:r w:rsidRPr="00D743BE">
        <w:rPr>
          <w:rFonts w:ascii="Arial" w:hAnsi="Arial" w:cs="Arial"/>
          <w:sz w:val="24"/>
          <w:szCs w:val="24"/>
        </w:rPr>
        <w:t>TLR2</w:t>
      </w:r>
      <w:r w:rsidRPr="00D743BE">
        <w:rPr>
          <w:rFonts w:ascii="Arial" w:hAnsi="Arial" w:cs="Arial"/>
          <w:sz w:val="24"/>
          <w:szCs w:val="24"/>
          <w:vertAlign w:val="superscript"/>
        </w:rPr>
        <w:t>down</w:t>
      </w:r>
      <w:r w:rsidRPr="00D743BE">
        <w:rPr>
          <w:rFonts w:ascii="Arial" w:hAnsi="Arial" w:cs="Arial"/>
          <w:sz w:val="24"/>
          <w:szCs w:val="24"/>
        </w:rPr>
        <w:t>EGFR</w:t>
      </w:r>
      <w:r w:rsidRPr="00D743BE">
        <w:rPr>
          <w:rFonts w:ascii="Arial" w:hAnsi="Arial" w:cs="Arial"/>
          <w:sz w:val="24"/>
          <w:szCs w:val="24"/>
          <w:vertAlign w:val="superscript"/>
        </w:rPr>
        <w:t>down</w:t>
      </w:r>
      <w:r w:rsidRPr="00D743BE">
        <w:rPr>
          <w:rFonts w:ascii="Arial" w:hAnsi="Arial" w:cs="Arial"/>
          <w:sz w:val="24"/>
          <w:szCs w:val="24"/>
        </w:rPr>
        <w:t>PTK2</w:t>
      </w:r>
      <w:r w:rsidRPr="00D743BE">
        <w:rPr>
          <w:rFonts w:ascii="Arial" w:hAnsi="Arial" w:cs="Arial"/>
          <w:sz w:val="24"/>
          <w:szCs w:val="24"/>
          <w:vertAlign w:val="superscript"/>
        </w:rPr>
        <w:t>down</w:t>
      </w:r>
      <w:r w:rsidRPr="00D743BE">
        <w:rPr>
          <w:rFonts w:ascii="Arial" w:hAnsi="Arial" w:cs="Arial"/>
          <w:sz w:val="24"/>
          <w:szCs w:val="24"/>
        </w:rPr>
        <w:t xml:space="preserve"> (</w:t>
      </w:r>
      <w:r w:rsidRPr="00D743BE">
        <w:rPr>
          <w:rFonts w:ascii="Arial" w:hAnsi="Arial" w:cs="Arial"/>
          <w:i/>
          <w:sz w:val="24"/>
          <w:szCs w:val="24"/>
        </w:rPr>
        <w:t>n</w:t>
      </w:r>
      <w:r w:rsidRPr="00D743BE">
        <w:rPr>
          <w:rFonts w:ascii="Arial" w:hAnsi="Arial" w:cs="Arial"/>
          <w:sz w:val="24"/>
          <w:szCs w:val="24"/>
        </w:rPr>
        <w:t>=4). Gene sets related to EGFR-related signaling pathway are presented (</w:t>
      </w:r>
      <w:r w:rsidRPr="00D743BE">
        <w:rPr>
          <w:rFonts w:ascii="Arial" w:hAnsi="Arial" w:cs="Arial"/>
          <w:b/>
          <w:sz w:val="24"/>
          <w:szCs w:val="24"/>
        </w:rPr>
        <w:t>A</w:t>
      </w:r>
      <w:r w:rsidRPr="00D743BE">
        <w:rPr>
          <w:rFonts w:ascii="Arial" w:hAnsi="Arial" w:cs="Arial"/>
          <w:sz w:val="24"/>
          <w:szCs w:val="24"/>
        </w:rPr>
        <w:t xml:space="preserve">, ERBB signaling pathway; </w:t>
      </w:r>
      <w:r w:rsidRPr="00D743BE">
        <w:rPr>
          <w:rFonts w:ascii="Arial" w:hAnsi="Arial" w:cs="Arial"/>
          <w:b/>
          <w:sz w:val="24"/>
          <w:szCs w:val="24"/>
        </w:rPr>
        <w:t>B</w:t>
      </w:r>
      <w:r w:rsidRPr="00D743BE">
        <w:rPr>
          <w:rFonts w:ascii="Arial" w:hAnsi="Arial" w:cs="Arial"/>
          <w:sz w:val="24"/>
          <w:szCs w:val="24"/>
        </w:rPr>
        <w:t xml:space="preserve">, EGF PATHWAY; </w:t>
      </w:r>
      <w:r w:rsidRPr="00D743BE">
        <w:rPr>
          <w:rFonts w:ascii="Arial" w:hAnsi="Arial" w:cs="Arial"/>
          <w:b/>
          <w:sz w:val="24"/>
          <w:szCs w:val="24"/>
        </w:rPr>
        <w:t>C</w:t>
      </w:r>
      <w:r w:rsidRPr="00D743BE">
        <w:rPr>
          <w:rFonts w:ascii="Arial" w:hAnsi="Arial" w:cs="Arial"/>
          <w:sz w:val="24"/>
          <w:szCs w:val="24"/>
        </w:rPr>
        <w:t xml:space="preserve">, ERK PATHWAY; </w:t>
      </w:r>
      <w:r w:rsidRPr="00D743BE">
        <w:rPr>
          <w:rFonts w:ascii="Arial" w:hAnsi="Arial" w:cs="Arial"/>
          <w:b/>
          <w:sz w:val="24"/>
          <w:szCs w:val="24"/>
        </w:rPr>
        <w:t>D</w:t>
      </w:r>
      <w:r w:rsidRPr="00D743BE">
        <w:rPr>
          <w:rFonts w:ascii="Arial" w:hAnsi="Arial" w:cs="Arial"/>
          <w:sz w:val="24"/>
          <w:szCs w:val="24"/>
        </w:rPr>
        <w:t xml:space="preserve">, MTOR 4PATHWAY; </w:t>
      </w:r>
      <w:r w:rsidRPr="00D743BE">
        <w:rPr>
          <w:rFonts w:ascii="Arial" w:hAnsi="Arial" w:cs="Arial"/>
          <w:b/>
          <w:sz w:val="24"/>
          <w:szCs w:val="24"/>
        </w:rPr>
        <w:t>E</w:t>
      </w:r>
      <w:r w:rsidRPr="00D743BE">
        <w:rPr>
          <w:rFonts w:ascii="Arial" w:hAnsi="Arial" w:cs="Arial"/>
          <w:sz w:val="24"/>
          <w:szCs w:val="24"/>
        </w:rPr>
        <w:t xml:space="preserve">, P38 MK2 PATHWAY; </w:t>
      </w:r>
      <w:r w:rsidRPr="00D743BE">
        <w:rPr>
          <w:rFonts w:ascii="Arial" w:hAnsi="Arial" w:cs="Arial"/>
          <w:b/>
          <w:sz w:val="24"/>
          <w:szCs w:val="24"/>
        </w:rPr>
        <w:t>F</w:t>
      </w:r>
      <w:r w:rsidRPr="00D743BE">
        <w:rPr>
          <w:rFonts w:ascii="Arial" w:hAnsi="Arial" w:cs="Arial"/>
          <w:sz w:val="24"/>
          <w:szCs w:val="24"/>
        </w:rPr>
        <w:t>, NFKAPPAB ATYPICAL PATHWAY). Gene expression associated with ERBB signaling pathway and EGF pathway are presented in the bottom of each panel. NES, nominal P-value, and FDR q-values are indicated in the inner panel.</w:t>
      </w:r>
    </w:p>
    <w:p w:rsidR="006B7967" w:rsidRPr="00D743BE" w:rsidRDefault="006B7967" w:rsidP="00D743BE">
      <w:pPr>
        <w:spacing w:line="360" w:lineRule="auto"/>
        <w:rPr>
          <w:rFonts w:ascii="Arial" w:hAnsi="Arial" w:cs="Arial"/>
          <w:sz w:val="24"/>
          <w:szCs w:val="24"/>
        </w:rPr>
      </w:pPr>
    </w:p>
    <w:p w:rsidR="006B7967" w:rsidRDefault="006B7967" w:rsidP="006B7967"/>
    <w:p w:rsidR="006B7967" w:rsidRDefault="006B7967" w:rsidP="006B7967"/>
    <w:p w:rsidR="006B7967" w:rsidRDefault="006B7967" w:rsidP="006B7967">
      <w:r>
        <w:br w:type="page"/>
      </w:r>
    </w:p>
    <w:p w:rsidR="006B7967" w:rsidRDefault="00E1686D" w:rsidP="006B7967">
      <w:r>
        <w:rPr>
          <w:noProof/>
        </w:rPr>
        <w:lastRenderedPageBreak/>
        <w:drawing>
          <wp:inline distT="0" distB="0" distL="0" distR="0" wp14:anchorId="557E012D">
            <wp:extent cx="5663131" cy="7684033"/>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67769" cy="7690325"/>
                    </a:xfrm>
                    <a:prstGeom prst="rect">
                      <a:avLst/>
                    </a:prstGeom>
                    <a:noFill/>
                  </pic:spPr>
                </pic:pic>
              </a:graphicData>
            </a:graphic>
          </wp:inline>
        </w:drawing>
      </w:r>
    </w:p>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S15</w:t>
      </w:r>
      <w:r w:rsidRPr="00D743BE">
        <w:rPr>
          <w:rFonts w:ascii="Arial" w:hAnsi="Arial" w:cs="Arial"/>
          <w:sz w:val="24"/>
          <w:szCs w:val="24"/>
        </w:rPr>
        <w:t xml:space="preserve"> </w:t>
      </w:r>
      <w:r w:rsidRPr="00D743BE">
        <w:rPr>
          <w:rFonts w:ascii="Arial" w:hAnsi="Arial" w:cs="Arial"/>
          <w:i/>
          <w:sz w:val="24"/>
          <w:szCs w:val="24"/>
        </w:rPr>
        <w:t>PTK2</w:t>
      </w:r>
      <w:r w:rsidRPr="00D743BE">
        <w:rPr>
          <w:rFonts w:ascii="Arial" w:hAnsi="Arial" w:cs="Arial"/>
          <w:sz w:val="24"/>
          <w:szCs w:val="24"/>
        </w:rPr>
        <w:t xml:space="preserve">-KO lung cancer cells exhibit attenuated cell migration in response to TLR agonists, EGF, or TLR agonist plus EGF stimulation. </w:t>
      </w:r>
      <w:r w:rsidRPr="00D743BE">
        <w:rPr>
          <w:rFonts w:ascii="Arial" w:hAnsi="Arial" w:cs="Arial"/>
          <w:b/>
          <w:sz w:val="24"/>
          <w:szCs w:val="24"/>
        </w:rPr>
        <w:t>A and B</w:t>
      </w:r>
      <w:r w:rsidRPr="00D743BE">
        <w:rPr>
          <w:rFonts w:ascii="Arial" w:hAnsi="Arial" w:cs="Arial"/>
          <w:sz w:val="24"/>
          <w:szCs w:val="24"/>
        </w:rPr>
        <w:t xml:space="preserve"> Ctrl A549 and </w:t>
      </w:r>
      <w:r w:rsidRPr="00D743BE">
        <w:rPr>
          <w:rFonts w:ascii="Arial" w:hAnsi="Arial" w:cs="Arial"/>
          <w:i/>
          <w:sz w:val="24"/>
          <w:szCs w:val="24"/>
        </w:rPr>
        <w:lastRenderedPageBreak/>
        <w:t>PTK2</w:t>
      </w:r>
      <w:r w:rsidRPr="00D743BE">
        <w:rPr>
          <w:rFonts w:ascii="Arial" w:hAnsi="Arial" w:cs="Arial"/>
          <w:sz w:val="24"/>
          <w:szCs w:val="24"/>
        </w:rPr>
        <w:t>-KO A549 cells were treated with vehicle, Pam3csk4, FSL-1, EGF, Pam3csk4 plus EGF, or FSL-1 plus EGF for different time periods, as indicated. Wound healing assay was performed (</w:t>
      </w:r>
      <w:r w:rsidRPr="00D743BE">
        <w:rPr>
          <w:rFonts w:ascii="Arial" w:hAnsi="Arial" w:cs="Arial"/>
          <w:b/>
          <w:sz w:val="24"/>
          <w:szCs w:val="24"/>
        </w:rPr>
        <w:t>A</w:t>
      </w:r>
      <w:r w:rsidRPr="00D743BE">
        <w:rPr>
          <w:rFonts w:ascii="Arial" w:hAnsi="Arial" w:cs="Arial"/>
          <w:sz w:val="24"/>
          <w:szCs w:val="24"/>
        </w:rPr>
        <w:t xml:space="preserve">). The residual gap between migrating cells from the opposing wound edge is expressed as a percentage of the initial scraped area (± SD, </w:t>
      </w:r>
      <w:r w:rsidRPr="00E1686D">
        <w:rPr>
          <w:rFonts w:ascii="Arial" w:hAnsi="Arial" w:cs="Arial"/>
          <w:i/>
          <w:sz w:val="24"/>
          <w:szCs w:val="24"/>
        </w:rPr>
        <w:t>n</w:t>
      </w:r>
      <w:r w:rsidRPr="00D743BE">
        <w:rPr>
          <w:rFonts w:ascii="Arial" w:hAnsi="Arial" w:cs="Arial"/>
          <w:sz w:val="24"/>
          <w:szCs w:val="24"/>
        </w:rPr>
        <w:t xml:space="preserve"> = 3 different plates) (</w:t>
      </w:r>
      <w:r w:rsidRPr="00D743BE">
        <w:rPr>
          <w:rFonts w:ascii="Arial" w:hAnsi="Arial" w:cs="Arial"/>
          <w:b/>
          <w:sz w:val="24"/>
          <w:szCs w:val="24"/>
        </w:rPr>
        <w:t>B</w:t>
      </w:r>
      <w:r w:rsidRPr="00D743BE">
        <w:rPr>
          <w:rFonts w:ascii="Arial" w:hAnsi="Arial" w:cs="Arial"/>
          <w:sz w:val="24"/>
          <w:szCs w:val="24"/>
        </w:rPr>
        <w:t xml:space="preserve">). </w:t>
      </w:r>
      <w:r w:rsidRPr="00D743BE">
        <w:rPr>
          <w:rFonts w:ascii="Arial" w:hAnsi="Arial" w:cs="Arial"/>
          <w:b/>
          <w:sz w:val="24"/>
          <w:szCs w:val="24"/>
        </w:rPr>
        <w:t>C and D</w:t>
      </w:r>
      <w:r w:rsidRPr="00D743BE">
        <w:rPr>
          <w:rFonts w:ascii="Arial" w:hAnsi="Arial" w:cs="Arial"/>
          <w:sz w:val="24"/>
          <w:szCs w:val="24"/>
        </w:rPr>
        <w:t xml:space="preserve"> Ctrl H1299 and </w:t>
      </w:r>
      <w:r w:rsidRPr="00D743BE">
        <w:rPr>
          <w:rFonts w:ascii="Arial" w:hAnsi="Arial" w:cs="Arial"/>
          <w:i/>
          <w:sz w:val="24"/>
          <w:szCs w:val="24"/>
        </w:rPr>
        <w:t>PTK2</w:t>
      </w:r>
      <w:r w:rsidRPr="00D743BE">
        <w:rPr>
          <w:rFonts w:ascii="Arial" w:hAnsi="Arial" w:cs="Arial"/>
          <w:sz w:val="24"/>
          <w:szCs w:val="24"/>
        </w:rPr>
        <w:t>-KO H1299 cells were treated with vehicle, Pam3csk4, FSL-1, EGF, Pam3csk4 plus EGF, or FSL-1 plus EGF for different time periods, as indicated. Wound healing assay was performed (</w:t>
      </w:r>
      <w:r w:rsidRPr="00D743BE">
        <w:rPr>
          <w:rFonts w:ascii="Arial" w:hAnsi="Arial" w:cs="Arial"/>
          <w:b/>
          <w:sz w:val="24"/>
          <w:szCs w:val="24"/>
        </w:rPr>
        <w:t>C</w:t>
      </w:r>
      <w:r w:rsidRPr="00D743BE">
        <w:rPr>
          <w:rFonts w:ascii="Arial" w:hAnsi="Arial" w:cs="Arial"/>
          <w:sz w:val="24"/>
          <w:szCs w:val="24"/>
        </w:rPr>
        <w:t xml:space="preserve">). The residual gap between migrating cells from the opposing wound edge is expressed as a percentage of the initial scraped area (± SD, </w:t>
      </w:r>
      <w:r w:rsidRPr="00E1686D">
        <w:rPr>
          <w:rFonts w:ascii="Arial" w:hAnsi="Arial" w:cs="Arial"/>
          <w:i/>
          <w:sz w:val="24"/>
          <w:szCs w:val="24"/>
        </w:rPr>
        <w:t>n</w:t>
      </w:r>
      <w:r w:rsidRPr="00D743BE">
        <w:rPr>
          <w:rFonts w:ascii="Arial" w:hAnsi="Arial" w:cs="Arial"/>
          <w:sz w:val="24"/>
          <w:szCs w:val="24"/>
        </w:rPr>
        <w:t xml:space="preserve"> = 3 different plates) (</w:t>
      </w:r>
      <w:r w:rsidRPr="00D743BE">
        <w:rPr>
          <w:rFonts w:ascii="Arial" w:hAnsi="Arial" w:cs="Arial"/>
          <w:b/>
          <w:sz w:val="24"/>
          <w:szCs w:val="24"/>
        </w:rPr>
        <w:t>D</w:t>
      </w:r>
      <w:r w:rsidRPr="00D743BE">
        <w:rPr>
          <w:rFonts w:ascii="Arial" w:hAnsi="Arial" w:cs="Arial"/>
          <w:sz w:val="24"/>
          <w:szCs w:val="24"/>
        </w:rPr>
        <w:t xml:space="preserve">). </w:t>
      </w:r>
      <w:r w:rsidRPr="00D743BE">
        <w:rPr>
          <w:rFonts w:ascii="Arial" w:hAnsi="Arial" w:cs="Arial"/>
          <w:b/>
          <w:sz w:val="24"/>
          <w:szCs w:val="24"/>
        </w:rPr>
        <w:t>E and F</w:t>
      </w:r>
      <w:r w:rsidRPr="00D743BE">
        <w:rPr>
          <w:rFonts w:ascii="Arial" w:hAnsi="Arial" w:cs="Arial"/>
          <w:sz w:val="24"/>
          <w:szCs w:val="24"/>
        </w:rPr>
        <w:t xml:space="preserve"> Ctrl A549 and </w:t>
      </w:r>
      <w:r w:rsidRPr="003F3B01">
        <w:rPr>
          <w:rFonts w:ascii="Arial" w:hAnsi="Arial" w:cs="Arial"/>
          <w:i/>
          <w:sz w:val="24"/>
          <w:szCs w:val="24"/>
        </w:rPr>
        <w:t>PTK2</w:t>
      </w:r>
      <w:r w:rsidRPr="00D743BE">
        <w:rPr>
          <w:rFonts w:ascii="Arial" w:hAnsi="Arial" w:cs="Arial"/>
          <w:sz w:val="24"/>
          <w:szCs w:val="24"/>
        </w:rPr>
        <w:t>-KO A549 cells were treated with vehicle, Pam3csk4, FSL-1, EGF, Pam3csk4 plus EGF, or FSL-1 plus EGF for different time periods, as indicated. Transwell migration assay was performed (</w:t>
      </w:r>
      <w:r w:rsidRPr="00D743BE">
        <w:rPr>
          <w:rFonts w:ascii="Arial" w:hAnsi="Arial" w:cs="Arial"/>
          <w:b/>
          <w:sz w:val="24"/>
          <w:szCs w:val="24"/>
        </w:rPr>
        <w:t>E</w:t>
      </w:r>
      <w:r w:rsidRPr="00D743BE">
        <w:rPr>
          <w:rFonts w:ascii="Arial" w:hAnsi="Arial" w:cs="Arial"/>
          <w:sz w:val="24"/>
          <w:szCs w:val="24"/>
        </w:rPr>
        <w:t>). The number of cells was counted. Results are presented as mean ± SD of three independent experiments (</w:t>
      </w:r>
      <w:r w:rsidRPr="00D743BE">
        <w:rPr>
          <w:rFonts w:ascii="Arial" w:hAnsi="Arial" w:cs="Arial"/>
          <w:b/>
          <w:sz w:val="24"/>
          <w:szCs w:val="24"/>
        </w:rPr>
        <w:t>F</w:t>
      </w:r>
      <w:r w:rsidRPr="00D743BE">
        <w:rPr>
          <w:rFonts w:ascii="Arial" w:hAnsi="Arial" w:cs="Arial"/>
          <w:sz w:val="24"/>
          <w:szCs w:val="24"/>
        </w:rPr>
        <w:t xml:space="preserve">). </w:t>
      </w:r>
      <w:r w:rsidRPr="00D743BE">
        <w:rPr>
          <w:rFonts w:ascii="Arial" w:hAnsi="Arial" w:cs="Arial"/>
          <w:b/>
          <w:sz w:val="24"/>
          <w:szCs w:val="24"/>
        </w:rPr>
        <w:t>G and H</w:t>
      </w:r>
      <w:r w:rsidRPr="00D743BE">
        <w:rPr>
          <w:rFonts w:ascii="Arial" w:hAnsi="Arial" w:cs="Arial"/>
          <w:sz w:val="24"/>
          <w:szCs w:val="24"/>
        </w:rPr>
        <w:t xml:space="preserve"> Ctrl H1299 and </w:t>
      </w:r>
      <w:r w:rsidRPr="003F3B01">
        <w:rPr>
          <w:rFonts w:ascii="Arial" w:hAnsi="Arial" w:cs="Arial"/>
          <w:i/>
          <w:sz w:val="24"/>
          <w:szCs w:val="24"/>
        </w:rPr>
        <w:t>PTK2</w:t>
      </w:r>
      <w:r w:rsidRPr="00D743BE">
        <w:rPr>
          <w:rFonts w:ascii="Arial" w:hAnsi="Arial" w:cs="Arial"/>
          <w:sz w:val="24"/>
          <w:szCs w:val="24"/>
        </w:rPr>
        <w:t>-KO H1299 cells were treated with vehicle, Pam3csk4, FSL-1, EGF, Pam3csk4 plus EGF, or FSL-1 plus EGF for different times, as indicated. Transwell migration assay was performed (</w:t>
      </w:r>
      <w:r w:rsidRPr="00D743BE">
        <w:rPr>
          <w:rFonts w:ascii="Arial" w:hAnsi="Arial" w:cs="Arial"/>
          <w:b/>
          <w:sz w:val="24"/>
          <w:szCs w:val="24"/>
        </w:rPr>
        <w:t>G</w:t>
      </w:r>
      <w:r w:rsidRPr="00D743BE">
        <w:rPr>
          <w:rFonts w:ascii="Arial" w:hAnsi="Arial" w:cs="Arial"/>
          <w:sz w:val="24"/>
          <w:szCs w:val="24"/>
        </w:rPr>
        <w:t>). The number of cells was counted. Results are presented as mean ± SD of three independent experiments (</w:t>
      </w:r>
      <w:r w:rsidRPr="00D743BE">
        <w:rPr>
          <w:rFonts w:ascii="Arial" w:hAnsi="Arial" w:cs="Arial"/>
          <w:b/>
          <w:sz w:val="24"/>
          <w:szCs w:val="24"/>
        </w:rPr>
        <w:t>H</w:t>
      </w:r>
      <w:r w:rsidRPr="00D743BE">
        <w:rPr>
          <w:rFonts w:ascii="Arial" w:hAnsi="Arial" w:cs="Arial"/>
          <w:sz w:val="24"/>
          <w:szCs w:val="24"/>
        </w:rPr>
        <w:t>). *, P &lt; 0.05; **, P &lt; 0.01; ***, P &lt; 0.001</w:t>
      </w:r>
    </w:p>
    <w:p w:rsidR="006B7967" w:rsidRPr="00D743BE" w:rsidRDefault="006B7967" w:rsidP="00D743BE">
      <w:pPr>
        <w:spacing w:line="360" w:lineRule="auto"/>
        <w:rPr>
          <w:rFonts w:ascii="Arial" w:hAnsi="Arial" w:cs="Arial"/>
          <w:sz w:val="24"/>
          <w:szCs w:val="24"/>
        </w:rPr>
      </w:pPr>
    </w:p>
    <w:p w:rsidR="006B7967" w:rsidRDefault="006B7967" w:rsidP="006B7967"/>
    <w:p w:rsidR="006B7967" w:rsidRDefault="006B7967" w:rsidP="006B7967">
      <w:r>
        <w:br w:type="page"/>
      </w:r>
    </w:p>
    <w:p w:rsidR="006B7967" w:rsidRDefault="006B7967" w:rsidP="006B7967">
      <w:r>
        <w:rPr>
          <w:noProof/>
        </w:rPr>
        <w:lastRenderedPageBreak/>
        <w:drawing>
          <wp:inline distT="0" distB="0" distL="0" distR="0">
            <wp:extent cx="5777230" cy="2576830"/>
            <wp:effectExtent l="0" t="0" r="0" b="0"/>
            <wp:docPr id="28" name="그림 28" descr="그림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그림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7230" cy="2576830"/>
                    </a:xfrm>
                    <a:prstGeom prst="rect">
                      <a:avLst/>
                    </a:prstGeom>
                    <a:noFill/>
                    <a:ln>
                      <a:noFill/>
                    </a:ln>
                  </pic:spPr>
                </pic:pic>
              </a:graphicData>
            </a:graphic>
          </wp:inline>
        </w:drawing>
      </w:r>
    </w:p>
    <w:p w:rsidR="006B7967" w:rsidRDefault="006B7967" w:rsidP="006B7967"/>
    <w:p w:rsidR="006B7967" w:rsidRPr="00D743BE" w:rsidRDefault="006B7967" w:rsidP="00D743BE">
      <w:pPr>
        <w:spacing w:line="360" w:lineRule="auto"/>
        <w:rPr>
          <w:rFonts w:ascii="Arial" w:hAnsi="Arial" w:cs="Arial"/>
          <w:sz w:val="24"/>
          <w:szCs w:val="24"/>
        </w:rPr>
      </w:pPr>
      <w:r w:rsidRPr="00D743BE">
        <w:rPr>
          <w:rFonts w:ascii="Arial" w:hAnsi="Arial" w:cs="Arial"/>
          <w:b/>
          <w:sz w:val="24"/>
          <w:szCs w:val="24"/>
        </w:rPr>
        <w:t>Fig. S16</w:t>
      </w:r>
      <w:r w:rsidRPr="00D743BE">
        <w:rPr>
          <w:rFonts w:ascii="Arial" w:hAnsi="Arial" w:cs="Arial"/>
          <w:sz w:val="24"/>
          <w:szCs w:val="24"/>
        </w:rPr>
        <w:t xml:space="preserve"> Cell proliferation assay. </w:t>
      </w:r>
      <w:r w:rsidRPr="00A21B50">
        <w:rPr>
          <w:rFonts w:ascii="Arial" w:hAnsi="Arial" w:cs="Arial"/>
          <w:b/>
          <w:sz w:val="24"/>
          <w:szCs w:val="24"/>
        </w:rPr>
        <w:t>A</w:t>
      </w:r>
      <w:r w:rsidRPr="00D743BE">
        <w:rPr>
          <w:rFonts w:ascii="Arial" w:hAnsi="Arial" w:cs="Arial"/>
          <w:sz w:val="24"/>
          <w:szCs w:val="24"/>
        </w:rPr>
        <w:t xml:space="preserve"> Ctrl A549 and </w:t>
      </w:r>
      <w:r w:rsidRPr="00D743BE">
        <w:rPr>
          <w:rFonts w:ascii="Arial" w:hAnsi="Arial" w:cs="Arial"/>
          <w:i/>
          <w:sz w:val="24"/>
          <w:szCs w:val="24"/>
        </w:rPr>
        <w:t>PTK2</w:t>
      </w:r>
      <w:r w:rsidRPr="00D743BE">
        <w:rPr>
          <w:rFonts w:ascii="Arial" w:hAnsi="Arial" w:cs="Arial"/>
          <w:sz w:val="24"/>
          <w:szCs w:val="24"/>
        </w:rPr>
        <w:t xml:space="preserve">-KO A549 cells were treated with vehicle, Pam3csk4, FSL-1, EGF, Pam3csk4 plus EGF, or FSL-1 plus EGF for different time periods, as indicated. MTT assay was performed. Results are presented as mean ± SD of five independent experiments. </w:t>
      </w:r>
      <w:r w:rsidRPr="00A21B50">
        <w:rPr>
          <w:rFonts w:ascii="Arial" w:hAnsi="Arial" w:cs="Arial"/>
          <w:b/>
          <w:sz w:val="24"/>
          <w:szCs w:val="24"/>
        </w:rPr>
        <w:t>B</w:t>
      </w:r>
      <w:r w:rsidRPr="00D743BE">
        <w:rPr>
          <w:rFonts w:ascii="Arial" w:hAnsi="Arial" w:cs="Arial"/>
          <w:sz w:val="24"/>
          <w:szCs w:val="24"/>
        </w:rPr>
        <w:t xml:space="preserve"> Ctrl H1299 and </w:t>
      </w:r>
      <w:r w:rsidRPr="00D743BE">
        <w:rPr>
          <w:rFonts w:ascii="Arial" w:hAnsi="Arial" w:cs="Arial"/>
          <w:i/>
          <w:sz w:val="24"/>
          <w:szCs w:val="24"/>
        </w:rPr>
        <w:t>PTK2</w:t>
      </w:r>
      <w:r w:rsidRPr="00D743BE">
        <w:rPr>
          <w:rFonts w:ascii="Arial" w:hAnsi="Arial" w:cs="Arial"/>
          <w:sz w:val="24"/>
          <w:szCs w:val="24"/>
        </w:rPr>
        <w:t xml:space="preserve">-KO H1299 cells were treated with vehicle, Pam3csk4, FSL-1, EGF, Pam3csk4 plus EGF, or FSL-1 plus EGF for different time periods, as indicated. MTT assay was performed. Results are presented as mean ± SD of five independent experiments. *, </w:t>
      </w:r>
      <w:r w:rsidRPr="00D743BE">
        <w:rPr>
          <w:rFonts w:ascii="Arial" w:hAnsi="Arial" w:cs="Arial"/>
          <w:i/>
          <w:sz w:val="24"/>
          <w:szCs w:val="24"/>
        </w:rPr>
        <w:t>P</w:t>
      </w:r>
      <w:r w:rsidRPr="00D743BE">
        <w:rPr>
          <w:rFonts w:ascii="Arial" w:hAnsi="Arial" w:cs="Arial"/>
          <w:sz w:val="24"/>
          <w:szCs w:val="24"/>
        </w:rPr>
        <w:t xml:space="preserve"> &lt; 0.05; **, </w:t>
      </w:r>
      <w:r w:rsidRPr="00D743BE">
        <w:rPr>
          <w:rFonts w:ascii="Arial" w:hAnsi="Arial" w:cs="Arial"/>
          <w:i/>
          <w:sz w:val="24"/>
          <w:szCs w:val="24"/>
        </w:rPr>
        <w:t>P</w:t>
      </w:r>
      <w:r w:rsidRPr="00D743BE">
        <w:rPr>
          <w:rFonts w:ascii="Arial" w:hAnsi="Arial" w:cs="Arial"/>
          <w:sz w:val="24"/>
          <w:szCs w:val="24"/>
        </w:rPr>
        <w:t xml:space="preserve"> &lt; 0.01; ***, </w:t>
      </w:r>
      <w:r w:rsidRPr="00D743BE">
        <w:rPr>
          <w:rFonts w:ascii="Arial" w:hAnsi="Arial" w:cs="Arial"/>
          <w:i/>
          <w:sz w:val="24"/>
          <w:szCs w:val="24"/>
        </w:rPr>
        <w:t xml:space="preserve">P </w:t>
      </w:r>
      <w:r w:rsidRPr="00D743BE">
        <w:rPr>
          <w:rFonts w:ascii="Arial" w:hAnsi="Arial" w:cs="Arial"/>
          <w:sz w:val="24"/>
          <w:szCs w:val="24"/>
        </w:rPr>
        <w:t>&lt; 0.001.</w:t>
      </w:r>
    </w:p>
    <w:p w:rsidR="006B7967" w:rsidRDefault="006B7967" w:rsidP="006B7967"/>
    <w:p w:rsidR="006B7967" w:rsidRDefault="006B7967" w:rsidP="006B7967"/>
    <w:p w:rsidR="006B7967" w:rsidRDefault="006B7967" w:rsidP="006B7967"/>
    <w:p w:rsidR="006B7967" w:rsidRDefault="006B7967" w:rsidP="006B7967">
      <w:r>
        <w:br w:type="page"/>
      </w:r>
    </w:p>
    <w:p w:rsidR="006B7967" w:rsidRDefault="006B7967" w:rsidP="006B7967">
      <w:r>
        <w:rPr>
          <w:noProof/>
        </w:rPr>
        <w:lastRenderedPageBreak/>
        <w:drawing>
          <wp:inline distT="0" distB="0" distL="0" distR="0">
            <wp:extent cx="5721985" cy="5832475"/>
            <wp:effectExtent l="0" t="0" r="0" b="0"/>
            <wp:docPr id="27" name="그림 27" descr="그림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그림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1985" cy="5832475"/>
                    </a:xfrm>
                    <a:prstGeom prst="rect">
                      <a:avLst/>
                    </a:prstGeom>
                    <a:noFill/>
                    <a:ln>
                      <a:noFill/>
                    </a:ln>
                  </pic:spPr>
                </pic:pic>
              </a:graphicData>
            </a:graphic>
          </wp:inline>
        </w:drawing>
      </w:r>
    </w:p>
    <w:p w:rsidR="006B7967" w:rsidRDefault="006B7967" w:rsidP="006B7967"/>
    <w:p w:rsidR="00A21B50" w:rsidRDefault="006B7967" w:rsidP="00A21B50">
      <w:pPr>
        <w:spacing w:line="360" w:lineRule="auto"/>
        <w:rPr>
          <w:rFonts w:ascii="Arial" w:hAnsi="Arial" w:cs="Arial"/>
          <w:sz w:val="24"/>
          <w:szCs w:val="24"/>
        </w:rPr>
      </w:pPr>
      <w:r w:rsidRPr="00A21B50">
        <w:rPr>
          <w:rFonts w:ascii="Arial" w:hAnsi="Arial" w:cs="Arial"/>
          <w:b/>
          <w:sz w:val="24"/>
          <w:szCs w:val="24"/>
        </w:rPr>
        <w:t>Fig. S17</w:t>
      </w:r>
      <w:r w:rsidRPr="00A21B50">
        <w:rPr>
          <w:rFonts w:ascii="Arial" w:hAnsi="Arial" w:cs="Arial"/>
          <w:sz w:val="24"/>
          <w:szCs w:val="24"/>
        </w:rPr>
        <w:t xml:space="preserve"> </w:t>
      </w:r>
      <w:r w:rsidRPr="00A21B50">
        <w:rPr>
          <w:rFonts w:ascii="Arial" w:hAnsi="Arial" w:cs="Arial"/>
          <w:i/>
          <w:sz w:val="24"/>
          <w:szCs w:val="24"/>
        </w:rPr>
        <w:t>PTK2</w:t>
      </w:r>
      <w:r w:rsidRPr="00A21B50">
        <w:rPr>
          <w:rFonts w:ascii="Arial" w:hAnsi="Arial" w:cs="Arial"/>
          <w:sz w:val="24"/>
          <w:szCs w:val="24"/>
        </w:rPr>
        <w:t xml:space="preserve">-KO lung cancer cells show decreased colony formation induced by TLR agonists, EGF, or TLR agonist plus EGF stimulation. </w:t>
      </w:r>
      <w:r w:rsidRPr="00A21B50">
        <w:rPr>
          <w:rFonts w:ascii="Arial" w:hAnsi="Arial" w:cs="Arial"/>
          <w:b/>
          <w:sz w:val="24"/>
          <w:szCs w:val="24"/>
        </w:rPr>
        <w:t>A-D</w:t>
      </w:r>
      <w:r w:rsidRPr="00A21B50">
        <w:rPr>
          <w:rFonts w:ascii="Arial" w:hAnsi="Arial" w:cs="Arial"/>
          <w:sz w:val="24"/>
          <w:szCs w:val="24"/>
        </w:rPr>
        <w:t xml:space="preserve"> Ctrl A549 and </w:t>
      </w:r>
      <w:r w:rsidRPr="00A21B50">
        <w:rPr>
          <w:rFonts w:ascii="Arial" w:hAnsi="Arial" w:cs="Arial"/>
          <w:i/>
          <w:sz w:val="24"/>
          <w:szCs w:val="24"/>
        </w:rPr>
        <w:t>PTK2</w:t>
      </w:r>
      <w:r w:rsidRPr="00A21B50">
        <w:rPr>
          <w:rFonts w:ascii="Arial" w:hAnsi="Arial" w:cs="Arial"/>
          <w:sz w:val="24"/>
          <w:szCs w:val="24"/>
        </w:rPr>
        <w:t>-KO A549 (</w:t>
      </w:r>
      <w:r w:rsidRPr="00A21B50">
        <w:rPr>
          <w:rFonts w:ascii="Arial" w:hAnsi="Arial" w:cs="Arial"/>
          <w:b/>
          <w:sz w:val="24"/>
          <w:szCs w:val="24"/>
        </w:rPr>
        <w:t>A</w:t>
      </w:r>
      <w:r w:rsidRPr="00A21B50">
        <w:rPr>
          <w:rFonts w:ascii="Arial" w:hAnsi="Arial" w:cs="Arial"/>
          <w:sz w:val="24"/>
          <w:szCs w:val="24"/>
        </w:rPr>
        <w:t xml:space="preserve"> and </w:t>
      </w:r>
      <w:r w:rsidRPr="00A21B50">
        <w:rPr>
          <w:rFonts w:ascii="Arial" w:hAnsi="Arial" w:cs="Arial"/>
          <w:b/>
          <w:sz w:val="24"/>
          <w:szCs w:val="24"/>
        </w:rPr>
        <w:t>B</w:t>
      </w:r>
      <w:r w:rsidRPr="00A21B50">
        <w:rPr>
          <w:rFonts w:ascii="Arial" w:hAnsi="Arial" w:cs="Arial"/>
          <w:sz w:val="24"/>
          <w:szCs w:val="24"/>
        </w:rPr>
        <w:t xml:space="preserve">) or Ctrl H1299 and </w:t>
      </w:r>
      <w:r w:rsidRPr="00A21B50">
        <w:rPr>
          <w:rFonts w:ascii="Arial" w:hAnsi="Arial" w:cs="Arial"/>
          <w:i/>
          <w:sz w:val="24"/>
          <w:szCs w:val="24"/>
        </w:rPr>
        <w:t>PTK2</w:t>
      </w:r>
      <w:r w:rsidRPr="00A21B50">
        <w:rPr>
          <w:rFonts w:ascii="Arial" w:hAnsi="Arial" w:cs="Arial"/>
          <w:sz w:val="24"/>
          <w:szCs w:val="24"/>
        </w:rPr>
        <w:t>-KO H1299 (</w:t>
      </w:r>
      <w:r w:rsidRPr="00A21B50">
        <w:rPr>
          <w:rFonts w:ascii="Arial" w:hAnsi="Arial" w:cs="Arial"/>
          <w:b/>
          <w:sz w:val="24"/>
          <w:szCs w:val="24"/>
        </w:rPr>
        <w:t>C</w:t>
      </w:r>
      <w:r w:rsidRPr="00A21B50">
        <w:rPr>
          <w:rFonts w:ascii="Arial" w:hAnsi="Arial" w:cs="Arial"/>
          <w:sz w:val="24"/>
          <w:szCs w:val="24"/>
        </w:rPr>
        <w:t xml:space="preserve"> and </w:t>
      </w:r>
      <w:r w:rsidRPr="00A21B50">
        <w:rPr>
          <w:rFonts w:ascii="Arial" w:hAnsi="Arial" w:cs="Arial"/>
          <w:b/>
          <w:sz w:val="24"/>
          <w:szCs w:val="24"/>
        </w:rPr>
        <w:t>D</w:t>
      </w:r>
      <w:r w:rsidRPr="00A21B50">
        <w:rPr>
          <w:rFonts w:ascii="Arial" w:hAnsi="Arial" w:cs="Arial"/>
          <w:sz w:val="24"/>
          <w:szCs w:val="24"/>
        </w:rPr>
        <w:t xml:space="preserve">) cells were treated with vehicle, Pam3csk4, FSL-1, EGF, Pam3csk4 plus EGF, or FSL-1 plus EGF for different time periods, as indicated. Anchorage-dependent colony formation assay was performed. The number of colonies was counted. Results are presented as mean ± SD of three independent experiments. </w:t>
      </w:r>
      <w:r w:rsidRPr="00A21B50">
        <w:rPr>
          <w:rFonts w:ascii="Arial" w:hAnsi="Arial" w:cs="Arial"/>
          <w:b/>
          <w:sz w:val="24"/>
          <w:szCs w:val="24"/>
        </w:rPr>
        <w:t>E-H</w:t>
      </w:r>
      <w:r w:rsidRPr="00A21B50">
        <w:rPr>
          <w:rFonts w:ascii="Arial" w:hAnsi="Arial" w:cs="Arial"/>
          <w:sz w:val="24"/>
          <w:szCs w:val="24"/>
        </w:rPr>
        <w:t xml:space="preserve"> Ctrl A549 and </w:t>
      </w:r>
      <w:r w:rsidRPr="00A21B50">
        <w:rPr>
          <w:rFonts w:ascii="Arial" w:hAnsi="Arial" w:cs="Arial"/>
          <w:i/>
          <w:sz w:val="24"/>
          <w:szCs w:val="24"/>
        </w:rPr>
        <w:t>PTK2</w:t>
      </w:r>
      <w:r w:rsidRPr="00A21B50">
        <w:rPr>
          <w:rFonts w:ascii="Arial" w:hAnsi="Arial" w:cs="Arial"/>
          <w:sz w:val="24"/>
          <w:szCs w:val="24"/>
        </w:rPr>
        <w:t>-KO A549 (</w:t>
      </w:r>
      <w:r w:rsidRPr="00A21B50">
        <w:rPr>
          <w:rFonts w:ascii="Arial" w:hAnsi="Arial" w:cs="Arial"/>
          <w:b/>
          <w:sz w:val="24"/>
          <w:szCs w:val="24"/>
        </w:rPr>
        <w:t>E</w:t>
      </w:r>
      <w:r w:rsidRPr="00A21B50">
        <w:rPr>
          <w:rFonts w:ascii="Arial" w:hAnsi="Arial" w:cs="Arial"/>
          <w:sz w:val="24"/>
          <w:szCs w:val="24"/>
        </w:rPr>
        <w:t xml:space="preserve"> and </w:t>
      </w:r>
      <w:r w:rsidRPr="00A21B50">
        <w:rPr>
          <w:rFonts w:ascii="Arial" w:hAnsi="Arial" w:cs="Arial"/>
          <w:b/>
          <w:sz w:val="24"/>
          <w:szCs w:val="24"/>
        </w:rPr>
        <w:t>F</w:t>
      </w:r>
      <w:r w:rsidRPr="00A21B50">
        <w:rPr>
          <w:rFonts w:ascii="Arial" w:hAnsi="Arial" w:cs="Arial"/>
          <w:sz w:val="24"/>
          <w:szCs w:val="24"/>
        </w:rPr>
        <w:t xml:space="preserve">) or </w:t>
      </w:r>
      <w:r w:rsidRPr="00A21B50">
        <w:rPr>
          <w:rFonts w:ascii="Arial" w:hAnsi="Arial" w:cs="Arial"/>
          <w:sz w:val="24"/>
          <w:szCs w:val="24"/>
        </w:rPr>
        <w:lastRenderedPageBreak/>
        <w:t xml:space="preserve">Ctrl H1299 and </w:t>
      </w:r>
      <w:r w:rsidRPr="00A21B50">
        <w:rPr>
          <w:rFonts w:ascii="Arial" w:hAnsi="Arial" w:cs="Arial"/>
          <w:i/>
          <w:sz w:val="24"/>
          <w:szCs w:val="24"/>
        </w:rPr>
        <w:t>PTK2</w:t>
      </w:r>
      <w:r w:rsidRPr="00A21B50">
        <w:rPr>
          <w:rFonts w:ascii="Arial" w:hAnsi="Arial" w:cs="Arial"/>
          <w:sz w:val="24"/>
          <w:szCs w:val="24"/>
        </w:rPr>
        <w:t>-KO H1299 (</w:t>
      </w:r>
      <w:r w:rsidRPr="00A21B50">
        <w:rPr>
          <w:rFonts w:ascii="Arial" w:hAnsi="Arial" w:cs="Arial"/>
          <w:b/>
          <w:sz w:val="24"/>
          <w:szCs w:val="24"/>
        </w:rPr>
        <w:t>G</w:t>
      </w:r>
      <w:r w:rsidRPr="00A21B50">
        <w:rPr>
          <w:rFonts w:ascii="Arial" w:hAnsi="Arial" w:cs="Arial"/>
          <w:sz w:val="24"/>
          <w:szCs w:val="24"/>
        </w:rPr>
        <w:t xml:space="preserve"> and </w:t>
      </w:r>
      <w:r w:rsidRPr="00A21B50">
        <w:rPr>
          <w:rFonts w:ascii="Arial" w:hAnsi="Arial" w:cs="Arial"/>
          <w:b/>
          <w:sz w:val="24"/>
          <w:szCs w:val="24"/>
        </w:rPr>
        <w:t>H</w:t>
      </w:r>
      <w:r w:rsidRPr="00A21B50">
        <w:rPr>
          <w:rFonts w:ascii="Arial" w:hAnsi="Arial" w:cs="Arial"/>
          <w:sz w:val="24"/>
          <w:szCs w:val="24"/>
        </w:rPr>
        <w:t>) cells were treated with vehicle, Pam3csk4, FSL-1, EGF, Pam3csk4 plus EGF, or FSL-1 plus EGF for different time periods, as indicated. Anchorage-independent colony formation assay was performed. The number of colonies was counted. Results are presented as mean ± SD of three independent experiments. *, P &lt; 0.05; **, P &lt; 0.01; ***, P &lt; 0.001.</w:t>
      </w:r>
    </w:p>
    <w:p w:rsidR="0029291E" w:rsidRDefault="0029291E" w:rsidP="00276C1F">
      <w:pPr>
        <w:widowControl/>
        <w:wordWrap/>
        <w:autoSpaceDE/>
        <w:autoSpaceDN/>
        <w:rPr>
          <w:rFonts w:ascii="Arial" w:hAnsi="Arial" w:cs="Arial"/>
          <w:sz w:val="24"/>
          <w:szCs w:val="24"/>
        </w:rPr>
      </w:pPr>
      <w:r>
        <w:rPr>
          <w:rFonts w:ascii="Arial" w:hAnsi="Arial" w:cs="Arial"/>
          <w:sz w:val="24"/>
          <w:szCs w:val="24"/>
        </w:rPr>
        <w:br w:type="page"/>
      </w:r>
    </w:p>
    <w:p w:rsidR="006B7967" w:rsidRPr="00A21B50" w:rsidRDefault="006B7967" w:rsidP="00A21B50">
      <w:pPr>
        <w:spacing w:line="360" w:lineRule="auto"/>
        <w:rPr>
          <w:rFonts w:ascii="Arial" w:hAnsi="Arial" w:cs="Arial"/>
          <w:sz w:val="24"/>
          <w:szCs w:val="24"/>
        </w:rPr>
      </w:pPr>
    </w:p>
    <w:p w:rsidR="006B7967" w:rsidRPr="004F4E95" w:rsidRDefault="006B7967" w:rsidP="006B7967">
      <w:r>
        <w:rPr>
          <w:noProof/>
        </w:rPr>
        <w:drawing>
          <wp:inline distT="0" distB="0" distL="0" distR="0" wp14:anchorId="3BDBB0DE" wp14:editId="761D1BD2">
            <wp:extent cx="5745811" cy="6112565"/>
            <wp:effectExtent l="0" t="0" r="7620" b="254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7135" cy="6113974"/>
                    </a:xfrm>
                    <a:prstGeom prst="rect">
                      <a:avLst/>
                    </a:prstGeom>
                    <a:noFill/>
                  </pic:spPr>
                </pic:pic>
              </a:graphicData>
            </a:graphic>
          </wp:inline>
        </w:drawing>
      </w:r>
    </w:p>
    <w:p w:rsidR="006B7967" w:rsidRDefault="006B7967" w:rsidP="006B7967"/>
    <w:p w:rsidR="00276C1F" w:rsidRDefault="006B7967" w:rsidP="00A21B50">
      <w:pPr>
        <w:spacing w:line="360" w:lineRule="auto"/>
        <w:rPr>
          <w:rFonts w:ascii="Arial" w:hAnsi="Arial" w:cs="Arial"/>
          <w:sz w:val="24"/>
          <w:szCs w:val="24"/>
        </w:rPr>
      </w:pPr>
      <w:r w:rsidRPr="00A21B50">
        <w:rPr>
          <w:rFonts w:ascii="Arial" w:hAnsi="Arial" w:cs="Arial"/>
          <w:b/>
          <w:sz w:val="24"/>
          <w:szCs w:val="24"/>
        </w:rPr>
        <w:t>F</w:t>
      </w:r>
      <w:r w:rsidR="00276C1F">
        <w:rPr>
          <w:rFonts w:ascii="Arial" w:hAnsi="Arial" w:cs="Arial"/>
          <w:b/>
          <w:sz w:val="24"/>
          <w:szCs w:val="24"/>
        </w:rPr>
        <w:t>ig. S18</w:t>
      </w:r>
      <w:r w:rsidRPr="00A21B50">
        <w:rPr>
          <w:rFonts w:ascii="Arial" w:hAnsi="Arial" w:cs="Arial"/>
          <w:sz w:val="24"/>
          <w:szCs w:val="24"/>
        </w:rPr>
        <w:t xml:space="preserve"> 3D tumor spheroid forming activity is decreased in </w:t>
      </w:r>
      <w:r w:rsidRPr="00A21B50">
        <w:rPr>
          <w:rFonts w:ascii="Arial" w:hAnsi="Arial" w:cs="Arial"/>
          <w:i/>
          <w:sz w:val="24"/>
          <w:szCs w:val="24"/>
        </w:rPr>
        <w:t>PTK2</w:t>
      </w:r>
      <w:r w:rsidRPr="00A21B50">
        <w:rPr>
          <w:rFonts w:ascii="Arial" w:hAnsi="Arial" w:cs="Arial"/>
          <w:sz w:val="24"/>
          <w:szCs w:val="24"/>
        </w:rPr>
        <w:t xml:space="preserve">-KO H1299 cells in response to TLR agonists, EGF, or TLR agonist plus EGF stimulation. </w:t>
      </w:r>
      <w:r w:rsidRPr="00A21B50">
        <w:rPr>
          <w:rFonts w:ascii="Arial" w:hAnsi="Arial" w:cs="Arial"/>
          <w:b/>
          <w:sz w:val="24"/>
          <w:szCs w:val="24"/>
        </w:rPr>
        <w:t>A</w:t>
      </w:r>
      <w:r w:rsidRPr="00A21B50">
        <w:rPr>
          <w:rFonts w:ascii="Arial" w:hAnsi="Arial" w:cs="Arial"/>
          <w:sz w:val="24"/>
          <w:szCs w:val="24"/>
        </w:rPr>
        <w:t xml:space="preserve"> A schematic view of the experimental set for the 3D tumor spheroid formation assay. Ctrl A549 and </w:t>
      </w:r>
      <w:r w:rsidRPr="00A21B50">
        <w:rPr>
          <w:rFonts w:ascii="Arial" w:hAnsi="Arial" w:cs="Arial"/>
          <w:i/>
          <w:sz w:val="24"/>
          <w:szCs w:val="24"/>
        </w:rPr>
        <w:t>PTK2</w:t>
      </w:r>
      <w:r w:rsidRPr="00A21B50">
        <w:rPr>
          <w:rFonts w:ascii="Arial" w:hAnsi="Arial" w:cs="Arial"/>
          <w:sz w:val="24"/>
          <w:szCs w:val="24"/>
        </w:rPr>
        <w:t xml:space="preserve">-KO A549 or Ctrl H1299 and </w:t>
      </w:r>
      <w:r w:rsidRPr="00A21B50">
        <w:rPr>
          <w:rFonts w:ascii="Arial" w:hAnsi="Arial" w:cs="Arial"/>
          <w:i/>
          <w:sz w:val="24"/>
          <w:szCs w:val="24"/>
        </w:rPr>
        <w:t>PTK2</w:t>
      </w:r>
      <w:r w:rsidRPr="00A21B50">
        <w:rPr>
          <w:rFonts w:ascii="Arial" w:hAnsi="Arial" w:cs="Arial"/>
          <w:sz w:val="24"/>
          <w:szCs w:val="24"/>
        </w:rPr>
        <w:t xml:space="preserve">-KO H1299 cells were seeded into 96-well agarose-hydrogel plates and incubated for 2 days before treatments with TLRs </w:t>
      </w:r>
      <w:r w:rsidRPr="00A21B50">
        <w:rPr>
          <w:rFonts w:ascii="Arial" w:hAnsi="Arial" w:cs="Arial"/>
          <w:sz w:val="24"/>
          <w:szCs w:val="24"/>
        </w:rPr>
        <w:lastRenderedPageBreak/>
        <w:t xml:space="preserve">agonists or EGF. </w:t>
      </w:r>
      <w:r w:rsidRPr="00A21B50">
        <w:rPr>
          <w:rFonts w:ascii="Arial" w:hAnsi="Arial" w:cs="Arial"/>
          <w:b/>
          <w:sz w:val="24"/>
          <w:szCs w:val="24"/>
        </w:rPr>
        <w:t>B and C</w:t>
      </w:r>
      <w:r w:rsidRPr="00A21B50">
        <w:rPr>
          <w:rFonts w:ascii="Arial" w:hAnsi="Arial" w:cs="Arial"/>
          <w:sz w:val="24"/>
          <w:szCs w:val="24"/>
        </w:rPr>
        <w:t xml:space="preserve"> Experimental schedule for 3D tumor spheroid formation assay in Ctrl H1299 and </w:t>
      </w:r>
      <w:r w:rsidRPr="003F3B01">
        <w:rPr>
          <w:rFonts w:ascii="Arial" w:hAnsi="Arial" w:cs="Arial"/>
          <w:i/>
          <w:sz w:val="24"/>
          <w:szCs w:val="24"/>
        </w:rPr>
        <w:t>PTK2</w:t>
      </w:r>
      <w:r w:rsidRPr="00A21B50">
        <w:rPr>
          <w:rFonts w:ascii="Arial" w:hAnsi="Arial" w:cs="Arial"/>
          <w:sz w:val="24"/>
          <w:szCs w:val="24"/>
        </w:rPr>
        <w:t>-KO H1299 cells (</w:t>
      </w:r>
      <w:r w:rsidRPr="00A21B50">
        <w:rPr>
          <w:rFonts w:ascii="Arial" w:hAnsi="Arial" w:cs="Arial"/>
          <w:b/>
          <w:sz w:val="24"/>
          <w:szCs w:val="24"/>
        </w:rPr>
        <w:t>B</w:t>
      </w:r>
      <w:r w:rsidRPr="00A21B50">
        <w:rPr>
          <w:rFonts w:ascii="Arial" w:hAnsi="Arial" w:cs="Arial"/>
          <w:sz w:val="24"/>
          <w:szCs w:val="24"/>
        </w:rPr>
        <w:t xml:space="preserve">) or Ctrl A549 and </w:t>
      </w:r>
      <w:r w:rsidRPr="00A21B50">
        <w:rPr>
          <w:rFonts w:ascii="Arial" w:hAnsi="Arial" w:cs="Arial"/>
          <w:i/>
          <w:sz w:val="24"/>
          <w:szCs w:val="24"/>
        </w:rPr>
        <w:t>PTK2</w:t>
      </w:r>
      <w:r w:rsidRPr="00A21B50">
        <w:rPr>
          <w:rFonts w:ascii="Arial" w:hAnsi="Arial" w:cs="Arial"/>
          <w:sz w:val="24"/>
          <w:szCs w:val="24"/>
        </w:rPr>
        <w:t>-KO A549 (</w:t>
      </w:r>
      <w:r w:rsidRPr="00A21B50">
        <w:rPr>
          <w:rFonts w:ascii="Arial" w:hAnsi="Arial" w:cs="Arial"/>
          <w:b/>
          <w:sz w:val="24"/>
          <w:szCs w:val="24"/>
        </w:rPr>
        <w:t>C</w:t>
      </w:r>
      <w:r w:rsidRPr="00A21B50">
        <w:rPr>
          <w:rFonts w:ascii="Arial" w:hAnsi="Arial" w:cs="Arial"/>
          <w:sz w:val="24"/>
          <w:szCs w:val="24"/>
        </w:rPr>
        <w:t xml:space="preserve">) cells was showed. </w:t>
      </w:r>
      <w:r w:rsidRPr="00A21B50">
        <w:rPr>
          <w:rFonts w:ascii="Arial" w:hAnsi="Arial" w:cs="Arial"/>
          <w:b/>
          <w:sz w:val="24"/>
          <w:szCs w:val="24"/>
        </w:rPr>
        <w:t>D-F</w:t>
      </w:r>
      <w:r w:rsidRPr="00A21B50">
        <w:rPr>
          <w:rFonts w:ascii="Arial" w:hAnsi="Arial" w:cs="Arial"/>
          <w:sz w:val="24"/>
          <w:szCs w:val="24"/>
        </w:rPr>
        <w:t xml:space="preserve"> At post-cultured day 2 of spheroids, spheroids of Ctrl H1299 (</w:t>
      </w:r>
      <w:r w:rsidRPr="00A21B50">
        <w:rPr>
          <w:rFonts w:ascii="Arial" w:hAnsi="Arial" w:cs="Arial"/>
          <w:b/>
          <w:sz w:val="24"/>
          <w:szCs w:val="24"/>
        </w:rPr>
        <w:t>D</w:t>
      </w:r>
      <w:r w:rsidRPr="00A21B50">
        <w:rPr>
          <w:rFonts w:ascii="Arial" w:hAnsi="Arial" w:cs="Arial"/>
          <w:sz w:val="24"/>
          <w:szCs w:val="24"/>
        </w:rPr>
        <w:t xml:space="preserve">) and </w:t>
      </w:r>
      <w:r w:rsidRPr="003F3B01">
        <w:rPr>
          <w:rFonts w:ascii="Arial" w:hAnsi="Arial" w:cs="Arial"/>
          <w:i/>
          <w:sz w:val="24"/>
          <w:szCs w:val="24"/>
        </w:rPr>
        <w:t>PTK2</w:t>
      </w:r>
      <w:r w:rsidRPr="00A21B50">
        <w:rPr>
          <w:rFonts w:ascii="Arial" w:hAnsi="Arial" w:cs="Arial"/>
          <w:sz w:val="24"/>
          <w:szCs w:val="24"/>
        </w:rPr>
        <w:t>-KO H1299 (</w:t>
      </w:r>
      <w:r w:rsidRPr="00A21B50">
        <w:rPr>
          <w:rFonts w:ascii="Arial" w:hAnsi="Arial" w:cs="Arial"/>
          <w:b/>
          <w:sz w:val="24"/>
          <w:szCs w:val="24"/>
        </w:rPr>
        <w:t>F</w:t>
      </w:r>
      <w:r w:rsidRPr="00A21B50">
        <w:rPr>
          <w:rFonts w:ascii="Arial" w:hAnsi="Arial" w:cs="Arial"/>
          <w:sz w:val="24"/>
          <w:szCs w:val="24"/>
        </w:rPr>
        <w:t>) cells were treated with vehicle, Pam3csk4, FSL-1, EGF, Pam3csk4 plus EGF, or FSL-1 plus EGF for different time periods. Spheroid formation and growth were evaluated using phase-contrast microscopy (scale bar, 100 μm). The size of the spheroid was assessed using ImageJ Software. Error bars represent SD (</w:t>
      </w:r>
      <w:r w:rsidRPr="00E1686D">
        <w:rPr>
          <w:rFonts w:ascii="Arial" w:hAnsi="Arial" w:cs="Arial"/>
          <w:i/>
          <w:sz w:val="24"/>
          <w:szCs w:val="24"/>
        </w:rPr>
        <w:t>n</w:t>
      </w:r>
      <w:r w:rsidRPr="00A21B50">
        <w:rPr>
          <w:rFonts w:ascii="Arial" w:hAnsi="Arial" w:cs="Arial"/>
          <w:sz w:val="24"/>
          <w:szCs w:val="24"/>
        </w:rPr>
        <w:t xml:space="preserve"> = 5) of three experiments. *, P &lt; 0.05; **, P &lt; 0.01.</w:t>
      </w:r>
    </w:p>
    <w:p w:rsidR="00276C1F" w:rsidRDefault="00276C1F">
      <w:pPr>
        <w:widowControl/>
        <w:wordWrap/>
        <w:autoSpaceDE/>
        <w:autoSpaceDN/>
        <w:rPr>
          <w:rFonts w:ascii="Arial" w:hAnsi="Arial" w:cs="Arial"/>
          <w:sz w:val="24"/>
          <w:szCs w:val="24"/>
        </w:rPr>
      </w:pPr>
      <w:r>
        <w:rPr>
          <w:rFonts w:ascii="Arial" w:hAnsi="Arial" w:cs="Arial"/>
          <w:sz w:val="24"/>
          <w:szCs w:val="24"/>
        </w:rPr>
        <w:br w:type="page"/>
      </w:r>
    </w:p>
    <w:p w:rsidR="006B7967" w:rsidRPr="00A21B50" w:rsidRDefault="00276C1F" w:rsidP="00A21B50">
      <w:pPr>
        <w:spacing w:line="360" w:lineRule="auto"/>
        <w:rPr>
          <w:rFonts w:ascii="Arial" w:hAnsi="Arial" w:cs="Arial"/>
          <w:sz w:val="24"/>
          <w:szCs w:val="24"/>
        </w:rPr>
      </w:pPr>
      <w:r>
        <w:rPr>
          <w:rFonts w:ascii="Arial" w:hAnsi="Arial" w:cs="Arial"/>
          <w:noProof/>
          <w:sz w:val="24"/>
          <w:szCs w:val="24"/>
        </w:rPr>
        <w:lastRenderedPageBreak/>
        <w:drawing>
          <wp:inline distT="0" distB="0" distL="0" distR="0" wp14:anchorId="607BC48B" wp14:editId="072FE2F0">
            <wp:extent cx="5719018" cy="5063320"/>
            <wp:effectExtent l="0" t="0" r="0" b="4445"/>
            <wp:docPr id="44"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3367" cy="5067170"/>
                    </a:xfrm>
                    <a:prstGeom prst="rect">
                      <a:avLst/>
                    </a:prstGeom>
                    <a:noFill/>
                  </pic:spPr>
                </pic:pic>
              </a:graphicData>
            </a:graphic>
          </wp:inline>
        </w:drawing>
      </w:r>
    </w:p>
    <w:p w:rsidR="006B7967" w:rsidRDefault="00276C1F" w:rsidP="00276C1F">
      <w:pPr>
        <w:spacing w:line="360" w:lineRule="auto"/>
      </w:pPr>
      <w:r w:rsidRPr="00EC28BD">
        <w:rPr>
          <w:rFonts w:ascii="Arial" w:hAnsi="Arial" w:cs="Arial" w:hint="eastAsia"/>
          <w:b/>
          <w:sz w:val="24"/>
          <w:szCs w:val="24"/>
        </w:rPr>
        <w:t>F</w:t>
      </w:r>
      <w:r w:rsidRPr="00EC28BD">
        <w:rPr>
          <w:rFonts w:ascii="Arial" w:hAnsi="Arial" w:cs="Arial"/>
          <w:b/>
          <w:sz w:val="24"/>
          <w:szCs w:val="24"/>
        </w:rPr>
        <w:t>i</w:t>
      </w:r>
      <w:r>
        <w:rPr>
          <w:rFonts w:ascii="Arial" w:hAnsi="Arial" w:cs="Arial"/>
          <w:b/>
          <w:sz w:val="24"/>
          <w:szCs w:val="24"/>
        </w:rPr>
        <w:t>g. S19</w:t>
      </w:r>
      <w:r>
        <w:rPr>
          <w:rFonts w:ascii="Arial" w:hAnsi="Arial" w:cs="Arial"/>
          <w:sz w:val="24"/>
          <w:szCs w:val="24"/>
        </w:rPr>
        <w:t xml:space="preserve"> </w:t>
      </w:r>
      <w:r w:rsidRPr="008908A7">
        <w:rPr>
          <w:rFonts w:ascii="Arial" w:hAnsi="Arial" w:cs="Arial"/>
          <w:sz w:val="24"/>
          <w:szCs w:val="24"/>
        </w:rPr>
        <w:t xml:space="preserve">Ctrl A549 and </w:t>
      </w:r>
      <w:r w:rsidRPr="003503A3">
        <w:rPr>
          <w:rFonts w:ascii="Arial" w:hAnsi="Arial" w:cs="Arial"/>
          <w:i/>
          <w:sz w:val="24"/>
          <w:szCs w:val="24"/>
        </w:rPr>
        <w:t>PTK2</w:t>
      </w:r>
      <w:r w:rsidRPr="008908A7">
        <w:rPr>
          <w:rFonts w:ascii="Arial" w:hAnsi="Arial" w:cs="Arial"/>
          <w:sz w:val="24"/>
          <w:szCs w:val="24"/>
        </w:rPr>
        <w:t>-KO A549 cells were seeded into 96-well</w:t>
      </w:r>
      <w:r w:rsidRPr="008908A7" w:rsidDel="002140B0">
        <w:rPr>
          <w:rFonts w:ascii="Arial" w:hAnsi="Arial" w:cs="Arial"/>
          <w:sz w:val="24"/>
          <w:szCs w:val="24"/>
        </w:rPr>
        <w:t xml:space="preserve"> </w:t>
      </w:r>
      <w:r w:rsidRPr="008908A7">
        <w:rPr>
          <w:rFonts w:ascii="Arial" w:hAnsi="Arial" w:cs="Arial"/>
          <w:sz w:val="24"/>
          <w:szCs w:val="24"/>
        </w:rPr>
        <w:t xml:space="preserve">agarose-hydrogel plates and incubated for 2 days before treatments with TLRs agonists or EGF. At post-cultured day 2 of spheroids, spheroids of Ctrl </w:t>
      </w:r>
      <w:r>
        <w:rPr>
          <w:rFonts w:ascii="Arial" w:hAnsi="Arial" w:cs="Arial"/>
          <w:sz w:val="24"/>
          <w:szCs w:val="24"/>
        </w:rPr>
        <w:t>A549</w:t>
      </w:r>
      <w:r w:rsidRPr="008908A7">
        <w:rPr>
          <w:rFonts w:ascii="Arial" w:hAnsi="Arial" w:cs="Arial"/>
          <w:sz w:val="24"/>
          <w:szCs w:val="24"/>
        </w:rPr>
        <w:t xml:space="preserve"> and </w:t>
      </w:r>
      <w:r w:rsidRPr="003503A3">
        <w:rPr>
          <w:rFonts w:ascii="Arial" w:hAnsi="Arial" w:cs="Arial"/>
          <w:i/>
          <w:sz w:val="24"/>
          <w:szCs w:val="24"/>
        </w:rPr>
        <w:t>PTK2</w:t>
      </w:r>
      <w:r w:rsidRPr="008908A7">
        <w:rPr>
          <w:rFonts w:ascii="Arial" w:hAnsi="Arial" w:cs="Arial"/>
          <w:sz w:val="24"/>
          <w:szCs w:val="24"/>
        </w:rPr>
        <w:t xml:space="preserve">-KO </w:t>
      </w:r>
      <w:r w:rsidR="003F3B01">
        <w:rPr>
          <w:rFonts w:ascii="Arial" w:hAnsi="Arial" w:cs="Arial"/>
          <w:sz w:val="24"/>
          <w:szCs w:val="24"/>
        </w:rPr>
        <w:t>A549</w:t>
      </w:r>
      <w:r w:rsidRPr="008908A7">
        <w:rPr>
          <w:rFonts w:ascii="Arial" w:hAnsi="Arial" w:cs="Arial"/>
          <w:sz w:val="24"/>
          <w:szCs w:val="24"/>
        </w:rPr>
        <w:t xml:space="preserve"> cells were treated with vehicle, Pam3csk4, FSL-1, EGF, Pam3csk4 plus EGF, or FSL-1 plus EGF for different time periods. </w:t>
      </w:r>
      <w:r>
        <w:rPr>
          <w:rFonts w:ascii="Arial" w:hAnsi="Arial" w:cs="Arial"/>
          <w:sz w:val="24"/>
          <w:szCs w:val="24"/>
        </w:rPr>
        <w:t>P</w:t>
      </w:r>
      <w:r w:rsidRPr="008908A7">
        <w:rPr>
          <w:rFonts w:ascii="Arial" w:hAnsi="Arial" w:cs="Arial"/>
          <w:sz w:val="24"/>
          <w:szCs w:val="24"/>
        </w:rPr>
        <w:t>hase-contrast</w:t>
      </w:r>
      <w:r>
        <w:rPr>
          <w:rFonts w:ascii="Arial" w:hAnsi="Arial" w:cs="Arial"/>
          <w:sz w:val="24"/>
          <w:szCs w:val="24"/>
        </w:rPr>
        <w:t xml:space="preserve"> microscopy (scale bar, 100 μm) images were represented</w:t>
      </w:r>
      <w:r w:rsidR="00E1686D">
        <w:rPr>
          <w:rFonts w:ascii="Arial" w:hAnsi="Arial" w:cs="Arial"/>
          <w:sz w:val="24"/>
          <w:szCs w:val="24"/>
        </w:rPr>
        <w:t>.</w:t>
      </w:r>
    </w:p>
    <w:p w:rsidR="006B7967" w:rsidRDefault="006B7967" w:rsidP="00276C1F">
      <w:pPr>
        <w:spacing w:line="360" w:lineRule="auto"/>
      </w:pPr>
    </w:p>
    <w:p w:rsidR="006B7967" w:rsidRDefault="006B7967" w:rsidP="00276C1F">
      <w:pPr>
        <w:spacing w:line="360" w:lineRule="auto"/>
      </w:pPr>
    </w:p>
    <w:p w:rsidR="006B7967" w:rsidRDefault="006B7967" w:rsidP="006B7967">
      <w:r>
        <w:br w:type="page"/>
      </w:r>
    </w:p>
    <w:p w:rsidR="006B7967" w:rsidRDefault="006B7967" w:rsidP="006B7967"/>
    <w:p w:rsidR="006B7967" w:rsidRDefault="006B7967" w:rsidP="006B7967">
      <w:r>
        <w:rPr>
          <w:noProof/>
        </w:rPr>
        <w:drawing>
          <wp:inline distT="0" distB="0" distL="0" distR="0">
            <wp:extent cx="5721985" cy="7134860"/>
            <wp:effectExtent l="0" t="0" r="0" b="0"/>
            <wp:docPr id="26" name="그림 26" descr="그림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그림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1985" cy="7134860"/>
                    </a:xfrm>
                    <a:prstGeom prst="rect">
                      <a:avLst/>
                    </a:prstGeom>
                    <a:noFill/>
                    <a:ln>
                      <a:noFill/>
                    </a:ln>
                  </pic:spPr>
                </pic:pic>
              </a:graphicData>
            </a:graphic>
          </wp:inline>
        </w:drawing>
      </w:r>
    </w:p>
    <w:p w:rsidR="006B7967" w:rsidRDefault="006B7967" w:rsidP="006B7967"/>
    <w:p w:rsidR="006B7967" w:rsidRPr="00A21B50" w:rsidRDefault="006B7967" w:rsidP="00A21B50">
      <w:pPr>
        <w:spacing w:line="360" w:lineRule="auto"/>
        <w:rPr>
          <w:rFonts w:ascii="Arial" w:hAnsi="Arial" w:cs="Arial"/>
          <w:sz w:val="24"/>
          <w:szCs w:val="24"/>
        </w:rPr>
      </w:pPr>
      <w:r w:rsidRPr="00A21B50">
        <w:rPr>
          <w:rFonts w:ascii="Arial" w:hAnsi="Arial" w:cs="Arial"/>
          <w:b/>
          <w:sz w:val="24"/>
          <w:szCs w:val="24"/>
        </w:rPr>
        <w:t>F</w:t>
      </w:r>
      <w:r w:rsidR="00EC28BD">
        <w:rPr>
          <w:rFonts w:ascii="Arial" w:hAnsi="Arial" w:cs="Arial"/>
          <w:b/>
          <w:sz w:val="24"/>
          <w:szCs w:val="24"/>
        </w:rPr>
        <w:t>ig. S20</w:t>
      </w:r>
      <w:r w:rsidRPr="00A21B50">
        <w:rPr>
          <w:rFonts w:ascii="Arial" w:hAnsi="Arial" w:cs="Arial"/>
          <w:sz w:val="24"/>
          <w:szCs w:val="24"/>
        </w:rPr>
        <w:t xml:space="preserve"> The IC50 value of Defactinib in wild type A549 lung cancer cells. </w:t>
      </w:r>
      <w:r w:rsidRPr="00A21B50">
        <w:rPr>
          <w:rFonts w:ascii="Arial" w:hAnsi="Arial" w:cs="Arial"/>
          <w:b/>
          <w:sz w:val="24"/>
          <w:szCs w:val="24"/>
        </w:rPr>
        <w:t>A</w:t>
      </w:r>
      <w:r w:rsidRPr="00A21B50">
        <w:rPr>
          <w:rFonts w:ascii="Arial" w:hAnsi="Arial" w:cs="Arial"/>
          <w:sz w:val="24"/>
          <w:szCs w:val="24"/>
        </w:rPr>
        <w:t xml:space="preserve"> Wild type </w:t>
      </w:r>
      <w:r w:rsidRPr="00A21B50">
        <w:rPr>
          <w:rFonts w:ascii="Arial" w:hAnsi="Arial" w:cs="Arial"/>
          <w:sz w:val="24"/>
          <w:szCs w:val="24"/>
        </w:rPr>
        <w:lastRenderedPageBreak/>
        <w:t>A549 cells were seeded into 96-well agarose-hydrogel plates to generate tumor spheroids and incubated for 2 days bef</w:t>
      </w:r>
      <w:r w:rsidR="003F3B01">
        <w:rPr>
          <w:rFonts w:ascii="Arial" w:hAnsi="Arial" w:cs="Arial"/>
          <w:sz w:val="24"/>
          <w:szCs w:val="24"/>
        </w:rPr>
        <w:t>ore treatments with vehicle or D</w:t>
      </w:r>
      <w:r w:rsidRPr="00A21B50">
        <w:rPr>
          <w:rFonts w:ascii="Arial" w:hAnsi="Arial" w:cs="Arial"/>
          <w:sz w:val="24"/>
          <w:szCs w:val="24"/>
        </w:rPr>
        <w:t>efactinib. At day 3, tumor spheroids were treated with vehicle</w:t>
      </w:r>
      <w:r w:rsidR="003F3B01">
        <w:rPr>
          <w:rFonts w:ascii="Arial" w:hAnsi="Arial" w:cs="Arial"/>
          <w:sz w:val="24"/>
          <w:szCs w:val="24"/>
        </w:rPr>
        <w:t xml:space="preserve"> or different concentration of D</w:t>
      </w:r>
      <w:r w:rsidRPr="00A21B50">
        <w:rPr>
          <w:rFonts w:ascii="Arial" w:hAnsi="Arial" w:cs="Arial"/>
          <w:sz w:val="24"/>
          <w:szCs w:val="24"/>
        </w:rPr>
        <w:t xml:space="preserve">efactinib (3 nM ~ 30 μM), as indicated. 3D tumor spheroid formation assay was performed for different times, as indicated. </w:t>
      </w:r>
      <w:r w:rsidRPr="00A21B50">
        <w:rPr>
          <w:rFonts w:ascii="Arial" w:hAnsi="Arial" w:cs="Arial"/>
          <w:b/>
          <w:sz w:val="24"/>
          <w:szCs w:val="24"/>
        </w:rPr>
        <w:t>B</w:t>
      </w:r>
      <w:r w:rsidRPr="00A21B50">
        <w:rPr>
          <w:rFonts w:ascii="Arial" w:hAnsi="Arial" w:cs="Arial"/>
          <w:sz w:val="24"/>
          <w:szCs w:val="24"/>
        </w:rPr>
        <w:t xml:space="preserve"> IC50 value was determined by evaluating spheroid size. Data is represented as mean ± SD of at least three independent experiments (</w:t>
      </w:r>
      <w:r w:rsidRPr="00E1686D">
        <w:rPr>
          <w:rFonts w:ascii="Arial" w:hAnsi="Arial" w:cs="Arial"/>
          <w:i/>
          <w:sz w:val="24"/>
          <w:szCs w:val="24"/>
        </w:rPr>
        <w:t>n</w:t>
      </w:r>
      <w:r w:rsidRPr="00A21B50">
        <w:rPr>
          <w:rFonts w:ascii="Arial" w:hAnsi="Arial" w:cs="Arial"/>
          <w:sz w:val="24"/>
          <w:szCs w:val="24"/>
        </w:rPr>
        <w:t>=7, spheroids).</w:t>
      </w:r>
    </w:p>
    <w:p w:rsidR="006B7967" w:rsidRPr="00A21B50" w:rsidRDefault="006B7967" w:rsidP="00A21B50">
      <w:pPr>
        <w:spacing w:line="360" w:lineRule="auto"/>
        <w:rPr>
          <w:rFonts w:ascii="Arial" w:hAnsi="Arial" w:cs="Arial"/>
          <w:sz w:val="24"/>
          <w:szCs w:val="24"/>
        </w:rPr>
      </w:pPr>
    </w:p>
    <w:p w:rsidR="006B7967" w:rsidRDefault="006B7967" w:rsidP="006B7967"/>
    <w:p w:rsidR="006B7967" w:rsidRDefault="006B7967" w:rsidP="006B7967">
      <w:r>
        <w:br w:type="page"/>
      </w:r>
    </w:p>
    <w:p w:rsidR="006B7967" w:rsidRDefault="006B7967" w:rsidP="006B7967"/>
    <w:p w:rsidR="006B7967" w:rsidRDefault="006B7967" w:rsidP="006B7967"/>
    <w:p w:rsidR="006B7967" w:rsidRDefault="006B7967" w:rsidP="006B7967">
      <w:r>
        <w:rPr>
          <w:noProof/>
        </w:rPr>
        <w:drawing>
          <wp:inline distT="0" distB="0" distL="0" distR="0">
            <wp:extent cx="5721985" cy="7384415"/>
            <wp:effectExtent l="0" t="0" r="0" b="0"/>
            <wp:docPr id="25" name="그림 25" descr="그림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그림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1985" cy="7384415"/>
                    </a:xfrm>
                    <a:prstGeom prst="rect">
                      <a:avLst/>
                    </a:prstGeom>
                    <a:noFill/>
                    <a:ln>
                      <a:noFill/>
                    </a:ln>
                  </pic:spPr>
                </pic:pic>
              </a:graphicData>
            </a:graphic>
          </wp:inline>
        </w:drawing>
      </w:r>
    </w:p>
    <w:p w:rsidR="006B7967" w:rsidRDefault="006B7967" w:rsidP="006B7967"/>
    <w:p w:rsidR="006B7967" w:rsidRPr="00A21B50" w:rsidRDefault="006B7967" w:rsidP="00A21B50">
      <w:pPr>
        <w:spacing w:line="360" w:lineRule="auto"/>
        <w:rPr>
          <w:rFonts w:ascii="Arial" w:hAnsi="Arial" w:cs="Arial"/>
          <w:sz w:val="24"/>
          <w:szCs w:val="24"/>
        </w:rPr>
      </w:pPr>
      <w:r w:rsidRPr="00A21B50">
        <w:rPr>
          <w:rFonts w:ascii="Arial" w:hAnsi="Arial" w:cs="Arial"/>
          <w:b/>
          <w:sz w:val="24"/>
          <w:szCs w:val="24"/>
        </w:rPr>
        <w:t>F</w:t>
      </w:r>
      <w:r w:rsidR="00EC28BD">
        <w:rPr>
          <w:rFonts w:ascii="Arial" w:hAnsi="Arial" w:cs="Arial"/>
          <w:b/>
          <w:sz w:val="24"/>
          <w:szCs w:val="24"/>
        </w:rPr>
        <w:t>ig. S21</w:t>
      </w:r>
      <w:r w:rsidRPr="00A21B50">
        <w:rPr>
          <w:rFonts w:ascii="Arial" w:hAnsi="Arial" w:cs="Arial"/>
          <w:sz w:val="24"/>
          <w:szCs w:val="24"/>
        </w:rPr>
        <w:t xml:space="preserve"> The IC50 value of Defactinib in wild type H1299 lung cancer cells. </w:t>
      </w:r>
      <w:r w:rsidRPr="00A21B50">
        <w:rPr>
          <w:rFonts w:ascii="Arial" w:hAnsi="Arial" w:cs="Arial"/>
          <w:b/>
          <w:sz w:val="24"/>
          <w:szCs w:val="24"/>
        </w:rPr>
        <w:t>A</w:t>
      </w:r>
      <w:r w:rsidRPr="00A21B50">
        <w:rPr>
          <w:rFonts w:ascii="Arial" w:hAnsi="Arial" w:cs="Arial"/>
          <w:sz w:val="24"/>
          <w:szCs w:val="24"/>
        </w:rPr>
        <w:t xml:space="preserve"> Wild type H1299 cells were seeded into 96-well agarose-hydrogel plates to generate tumor spheroids and incubated for 2 days bef</w:t>
      </w:r>
      <w:r w:rsidR="003F3B01">
        <w:rPr>
          <w:rFonts w:ascii="Arial" w:hAnsi="Arial" w:cs="Arial"/>
          <w:sz w:val="24"/>
          <w:szCs w:val="24"/>
        </w:rPr>
        <w:t>ore treatments with vehicle or D</w:t>
      </w:r>
      <w:r w:rsidRPr="00A21B50">
        <w:rPr>
          <w:rFonts w:ascii="Arial" w:hAnsi="Arial" w:cs="Arial"/>
          <w:sz w:val="24"/>
          <w:szCs w:val="24"/>
        </w:rPr>
        <w:t>efactinib. At day 3, tumor spheroids were treated with vehicle</w:t>
      </w:r>
      <w:r w:rsidR="003F3B01">
        <w:rPr>
          <w:rFonts w:ascii="Arial" w:hAnsi="Arial" w:cs="Arial"/>
          <w:sz w:val="24"/>
          <w:szCs w:val="24"/>
        </w:rPr>
        <w:t xml:space="preserve"> or different concentration of D</w:t>
      </w:r>
      <w:r w:rsidRPr="00A21B50">
        <w:rPr>
          <w:rFonts w:ascii="Arial" w:hAnsi="Arial" w:cs="Arial"/>
          <w:sz w:val="24"/>
          <w:szCs w:val="24"/>
        </w:rPr>
        <w:t xml:space="preserve">efactinib (3 nM ~ 30 μM), as indicated. 3D tumor spheroid formation assay was performed for different times, as indicated. </w:t>
      </w:r>
      <w:r w:rsidRPr="00A21B50">
        <w:rPr>
          <w:rFonts w:ascii="Arial" w:hAnsi="Arial" w:cs="Arial"/>
          <w:b/>
          <w:sz w:val="24"/>
          <w:szCs w:val="24"/>
        </w:rPr>
        <w:t>B</w:t>
      </w:r>
      <w:r w:rsidRPr="00A21B50">
        <w:rPr>
          <w:rFonts w:ascii="Arial" w:hAnsi="Arial" w:cs="Arial"/>
          <w:sz w:val="24"/>
          <w:szCs w:val="24"/>
        </w:rPr>
        <w:t xml:space="preserve"> IC50 value was determined by evaluating spheroid size. Data is represented as mean ± SD of at least three independent experiments (</w:t>
      </w:r>
      <w:r w:rsidRPr="00E1686D">
        <w:rPr>
          <w:rFonts w:ascii="Arial" w:hAnsi="Arial" w:cs="Arial"/>
          <w:i/>
          <w:sz w:val="24"/>
          <w:szCs w:val="24"/>
        </w:rPr>
        <w:t>n</w:t>
      </w:r>
      <w:r w:rsidRPr="00A21B50">
        <w:rPr>
          <w:rFonts w:ascii="Arial" w:hAnsi="Arial" w:cs="Arial"/>
          <w:sz w:val="24"/>
          <w:szCs w:val="24"/>
        </w:rPr>
        <w:t>=7, spheroids).</w:t>
      </w:r>
    </w:p>
    <w:p w:rsidR="006B7967" w:rsidRDefault="006B7967" w:rsidP="006B7967"/>
    <w:p w:rsidR="006B7967" w:rsidRDefault="006B7967" w:rsidP="006B7967">
      <w:r>
        <w:br w:type="page"/>
      </w:r>
    </w:p>
    <w:p w:rsidR="006B7967" w:rsidRDefault="006B7967" w:rsidP="006B7967">
      <w:r>
        <w:rPr>
          <w:noProof/>
        </w:rPr>
        <w:lastRenderedPageBreak/>
        <w:drawing>
          <wp:inline distT="0" distB="0" distL="0" distR="0">
            <wp:extent cx="5721985" cy="7675245"/>
            <wp:effectExtent l="0" t="0" r="0" b="0"/>
            <wp:docPr id="24" name="그림 24" descr="그림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그림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1985" cy="7675245"/>
                    </a:xfrm>
                    <a:prstGeom prst="rect">
                      <a:avLst/>
                    </a:prstGeom>
                    <a:noFill/>
                    <a:ln>
                      <a:noFill/>
                    </a:ln>
                  </pic:spPr>
                </pic:pic>
              </a:graphicData>
            </a:graphic>
          </wp:inline>
        </w:drawing>
      </w:r>
    </w:p>
    <w:p w:rsidR="006B7967" w:rsidRDefault="006B7967" w:rsidP="006B7967"/>
    <w:p w:rsidR="006B7967" w:rsidRPr="00A21B50" w:rsidRDefault="006B7967" w:rsidP="00A21B50">
      <w:pPr>
        <w:spacing w:line="360" w:lineRule="auto"/>
        <w:rPr>
          <w:rFonts w:ascii="Arial" w:hAnsi="Arial" w:cs="Arial"/>
          <w:sz w:val="24"/>
          <w:szCs w:val="24"/>
        </w:rPr>
      </w:pPr>
      <w:r w:rsidRPr="00A21B50">
        <w:rPr>
          <w:rFonts w:ascii="Arial" w:hAnsi="Arial" w:cs="Arial"/>
          <w:b/>
          <w:sz w:val="24"/>
          <w:szCs w:val="24"/>
        </w:rPr>
        <w:lastRenderedPageBreak/>
        <w:t>F</w:t>
      </w:r>
      <w:r w:rsidR="00EC28BD">
        <w:rPr>
          <w:rFonts w:ascii="Arial" w:hAnsi="Arial" w:cs="Arial"/>
          <w:b/>
          <w:sz w:val="24"/>
          <w:szCs w:val="24"/>
        </w:rPr>
        <w:t>ig. S22</w:t>
      </w:r>
      <w:r w:rsidRPr="00A21B50">
        <w:rPr>
          <w:rFonts w:ascii="Arial" w:hAnsi="Arial" w:cs="Arial"/>
          <w:sz w:val="24"/>
          <w:szCs w:val="24"/>
        </w:rPr>
        <w:t xml:space="preserve"> Defactinib inhibits 3D tumor spheroid formation in response to Pam3csk4, FSL-1, LPS, EGF, Pam3csk4 plus EGF, FSL-1 plus EGF, or LPS plus EGF. </w:t>
      </w:r>
      <w:r w:rsidRPr="00A21B50">
        <w:rPr>
          <w:rFonts w:ascii="Arial" w:hAnsi="Arial" w:cs="Arial"/>
          <w:b/>
          <w:sz w:val="24"/>
          <w:szCs w:val="24"/>
        </w:rPr>
        <w:t>A</w:t>
      </w:r>
      <w:r w:rsidRPr="00A21B50">
        <w:rPr>
          <w:rFonts w:ascii="Arial" w:hAnsi="Arial" w:cs="Arial"/>
          <w:sz w:val="24"/>
          <w:szCs w:val="24"/>
        </w:rPr>
        <w:t xml:space="preserve"> Experimental schedule for 3D tumor spheroid formation assay in </w:t>
      </w:r>
      <w:r w:rsidR="00A21B50" w:rsidRPr="00A21B50">
        <w:rPr>
          <w:rFonts w:ascii="Arial" w:hAnsi="Arial" w:cs="Arial"/>
          <w:sz w:val="24"/>
          <w:szCs w:val="24"/>
        </w:rPr>
        <w:t>wild type</w:t>
      </w:r>
      <w:r w:rsidRPr="00A21B50">
        <w:rPr>
          <w:rFonts w:ascii="Arial" w:hAnsi="Arial" w:cs="Arial"/>
          <w:sz w:val="24"/>
          <w:szCs w:val="24"/>
        </w:rPr>
        <w:t xml:space="preserve"> H1299 cells. </w:t>
      </w:r>
      <w:r w:rsidRPr="00A21B50">
        <w:rPr>
          <w:rFonts w:ascii="Arial" w:hAnsi="Arial" w:cs="Arial"/>
          <w:b/>
          <w:sz w:val="24"/>
          <w:szCs w:val="24"/>
        </w:rPr>
        <w:t>B</w:t>
      </w:r>
      <w:r w:rsidRPr="00A21B50">
        <w:rPr>
          <w:rFonts w:ascii="Arial" w:hAnsi="Arial" w:cs="Arial"/>
          <w:sz w:val="24"/>
          <w:szCs w:val="24"/>
        </w:rPr>
        <w:t xml:space="preserve"> Wild type H1299 cells were seeded into 96-well agarose-hydrogel plates to generate tumor spheroids and incubated for 2 days before treatments with vehicle, Pam3csk4, FSL-1, LPS, EGF, Pam3csk4 plus EGF, FS</w:t>
      </w:r>
      <w:r w:rsidR="003F3B01">
        <w:rPr>
          <w:rFonts w:ascii="Arial" w:hAnsi="Arial" w:cs="Arial"/>
          <w:sz w:val="24"/>
          <w:szCs w:val="24"/>
        </w:rPr>
        <w:t>L-1 plus EGF, LPS plus EGF, or D</w:t>
      </w:r>
      <w:r w:rsidRPr="00A21B50">
        <w:rPr>
          <w:rFonts w:ascii="Arial" w:hAnsi="Arial" w:cs="Arial"/>
          <w:sz w:val="24"/>
          <w:szCs w:val="24"/>
        </w:rPr>
        <w:t>efactinib. At day 3, tumor spheroids were treated with vehicle, Pam3csk4, FSL-1, LPS, EGF, Pam3csk4 plus EGF, FSL-1 plus EGF, and LPS plus EGF</w:t>
      </w:r>
      <w:r w:rsidR="003F3B01">
        <w:rPr>
          <w:rFonts w:ascii="Arial" w:hAnsi="Arial" w:cs="Arial"/>
          <w:sz w:val="24"/>
          <w:szCs w:val="24"/>
        </w:rPr>
        <w:t xml:space="preserve"> in the presence or absence of D</w:t>
      </w:r>
      <w:r w:rsidRPr="00A21B50">
        <w:rPr>
          <w:rFonts w:ascii="Arial" w:hAnsi="Arial" w:cs="Arial"/>
          <w:sz w:val="24"/>
          <w:szCs w:val="24"/>
        </w:rPr>
        <w:t xml:space="preserve">efactinib, as indicated. 3D tumor spheroid formation assay was performed for different times, as indicated. </w:t>
      </w:r>
      <w:r w:rsidRPr="00A21B50">
        <w:rPr>
          <w:rFonts w:ascii="Arial" w:hAnsi="Arial" w:cs="Arial"/>
          <w:b/>
          <w:sz w:val="24"/>
          <w:szCs w:val="24"/>
        </w:rPr>
        <w:t>C</w:t>
      </w:r>
      <w:r w:rsidRPr="00A21B50">
        <w:rPr>
          <w:rFonts w:ascii="Arial" w:hAnsi="Arial" w:cs="Arial"/>
          <w:sz w:val="24"/>
          <w:szCs w:val="24"/>
        </w:rPr>
        <w:t xml:space="preserve"> The size of the spheroid was assessed using ImageJ Software. Error bars represent SD (</w:t>
      </w:r>
      <w:r w:rsidRPr="00E1686D">
        <w:rPr>
          <w:rFonts w:ascii="Arial" w:hAnsi="Arial" w:cs="Arial"/>
          <w:i/>
          <w:sz w:val="24"/>
          <w:szCs w:val="24"/>
        </w:rPr>
        <w:t>n</w:t>
      </w:r>
      <w:r w:rsidRPr="00A21B50">
        <w:rPr>
          <w:rFonts w:ascii="Arial" w:hAnsi="Arial" w:cs="Arial"/>
          <w:sz w:val="24"/>
          <w:szCs w:val="24"/>
        </w:rPr>
        <w:t xml:space="preserve"> = 5) of three experiments. *, </w:t>
      </w:r>
      <w:r w:rsidRPr="00A21B50">
        <w:rPr>
          <w:rFonts w:ascii="Arial" w:hAnsi="Arial" w:cs="Arial"/>
          <w:i/>
          <w:sz w:val="24"/>
          <w:szCs w:val="24"/>
        </w:rPr>
        <w:t>P</w:t>
      </w:r>
      <w:r w:rsidRPr="00A21B50">
        <w:rPr>
          <w:rFonts w:ascii="Arial" w:hAnsi="Arial" w:cs="Arial"/>
          <w:sz w:val="24"/>
          <w:szCs w:val="24"/>
        </w:rPr>
        <w:t xml:space="preserve"> &lt; 0.05; **, </w:t>
      </w:r>
      <w:r w:rsidRPr="00A21B50">
        <w:rPr>
          <w:rFonts w:ascii="Arial" w:hAnsi="Arial" w:cs="Arial"/>
          <w:i/>
          <w:sz w:val="24"/>
          <w:szCs w:val="24"/>
        </w:rPr>
        <w:t>P</w:t>
      </w:r>
      <w:r w:rsidRPr="00A21B50">
        <w:rPr>
          <w:rFonts w:ascii="Arial" w:hAnsi="Arial" w:cs="Arial"/>
          <w:sz w:val="24"/>
          <w:szCs w:val="24"/>
        </w:rPr>
        <w:t xml:space="preserve"> &lt; 0.01; ***, </w:t>
      </w:r>
      <w:r w:rsidRPr="00A21B50">
        <w:rPr>
          <w:rFonts w:ascii="Arial" w:hAnsi="Arial" w:cs="Arial"/>
          <w:i/>
          <w:sz w:val="24"/>
          <w:szCs w:val="24"/>
        </w:rPr>
        <w:t>P</w:t>
      </w:r>
      <w:r w:rsidRPr="00A21B50">
        <w:rPr>
          <w:rFonts w:ascii="Arial" w:hAnsi="Arial" w:cs="Arial"/>
          <w:sz w:val="24"/>
          <w:szCs w:val="24"/>
        </w:rPr>
        <w:t xml:space="preserve"> &lt; 0.001.</w:t>
      </w:r>
    </w:p>
    <w:p w:rsidR="006B7967" w:rsidRDefault="006B7967" w:rsidP="006B7967"/>
    <w:p w:rsidR="006B7967" w:rsidRDefault="006B7967" w:rsidP="006B7967"/>
    <w:p w:rsidR="006B7967" w:rsidRDefault="006B7967" w:rsidP="006B7967"/>
    <w:p w:rsidR="006B7967" w:rsidRDefault="006B7967" w:rsidP="006B7967"/>
    <w:p w:rsidR="00A21B50" w:rsidRDefault="00A21B50">
      <w:pPr>
        <w:widowControl/>
        <w:wordWrap/>
        <w:autoSpaceDE/>
        <w:autoSpaceDN/>
      </w:pPr>
      <w:r>
        <w:br w:type="page"/>
      </w:r>
    </w:p>
    <w:p w:rsidR="006B7967" w:rsidRDefault="006B7967" w:rsidP="006B7967"/>
    <w:p w:rsidR="006B7967" w:rsidRDefault="006B7967" w:rsidP="006B7967">
      <w:r>
        <w:rPr>
          <w:noProof/>
        </w:rPr>
        <w:drawing>
          <wp:inline distT="0" distB="0" distL="0" distR="0">
            <wp:extent cx="5721985" cy="3643630"/>
            <wp:effectExtent l="0" t="0" r="0" b="0"/>
            <wp:docPr id="23" name="그림 23" descr="그림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그림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1985" cy="3643630"/>
                    </a:xfrm>
                    <a:prstGeom prst="rect">
                      <a:avLst/>
                    </a:prstGeom>
                    <a:noFill/>
                    <a:ln>
                      <a:noFill/>
                    </a:ln>
                  </pic:spPr>
                </pic:pic>
              </a:graphicData>
            </a:graphic>
          </wp:inline>
        </w:drawing>
      </w:r>
    </w:p>
    <w:p w:rsidR="006B7967" w:rsidRDefault="006B7967" w:rsidP="006B7967"/>
    <w:p w:rsidR="008C72CC" w:rsidRDefault="006B7967" w:rsidP="00A21B50">
      <w:pPr>
        <w:spacing w:line="360" w:lineRule="auto"/>
        <w:rPr>
          <w:rFonts w:ascii="Arial" w:hAnsi="Arial" w:cs="Arial"/>
          <w:sz w:val="24"/>
          <w:szCs w:val="24"/>
        </w:rPr>
      </w:pPr>
      <w:r w:rsidRPr="00A21B50">
        <w:rPr>
          <w:rFonts w:ascii="Arial" w:hAnsi="Arial" w:cs="Arial"/>
          <w:b/>
          <w:sz w:val="24"/>
          <w:szCs w:val="24"/>
        </w:rPr>
        <w:t>F</w:t>
      </w:r>
      <w:r w:rsidR="00EC28BD">
        <w:rPr>
          <w:rFonts w:ascii="Arial" w:hAnsi="Arial" w:cs="Arial"/>
          <w:b/>
          <w:sz w:val="24"/>
          <w:szCs w:val="24"/>
        </w:rPr>
        <w:t>ig. S23</w:t>
      </w:r>
      <w:r w:rsidR="00A21B50" w:rsidRPr="00A21B50">
        <w:rPr>
          <w:rFonts w:ascii="Arial" w:hAnsi="Arial" w:cs="Arial"/>
          <w:b/>
          <w:sz w:val="24"/>
          <w:szCs w:val="24"/>
        </w:rPr>
        <w:t xml:space="preserve"> A</w:t>
      </w:r>
      <w:r w:rsidR="00A21B50">
        <w:rPr>
          <w:rFonts w:ascii="Arial" w:hAnsi="Arial" w:cs="Arial"/>
          <w:sz w:val="24"/>
          <w:szCs w:val="24"/>
        </w:rPr>
        <w:t xml:space="preserve"> </w:t>
      </w:r>
      <w:r w:rsidR="00A21B50" w:rsidRPr="00A21B50">
        <w:rPr>
          <w:rFonts w:ascii="Arial" w:hAnsi="Arial" w:cs="Arial"/>
          <w:sz w:val="24"/>
          <w:szCs w:val="24"/>
        </w:rPr>
        <w:t>Experimental schedule for 3D tumor spheroid formation assay in wild type</w:t>
      </w:r>
      <w:r w:rsidR="00A21B50">
        <w:rPr>
          <w:rFonts w:ascii="Arial" w:hAnsi="Arial" w:cs="Arial"/>
          <w:sz w:val="24"/>
          <w:szCs w:val="24"/>
        </w:rPr>
        <w:t xml:space="preserve"> A549</w:t>
      </w:r>
      <w:r w:rsidR="00A21B50" w:rsidRPr="00A21B50">
        <w:rPr>
          <w:rFonts w:ascii="Arial" w:hAnsi="Arial" w:cs="Arial"/>
          <w:sz w:val="24"/>
          <w:szCs w:val="24"/>
        </w:rPr>
        <w:t xml:space="preserve"> cells</w:t>
      </w:r>
      <w:r w:rsidR="00A21B50">
        <w:rPr>
          <w:rFonts w:ascii="Arial" w:hAnsi="Arial" w:cs="Arial"/>
          <w:sz w:val="24"/>
          <w:szCs w:val="24"/>
        </w:rPr>
        <w:t xml:space="preserve">. </w:t>
      </w:r>
      <w:r w:rsidR="00A21B50" w:rsidRPr="00A21B50">
        <w:rPr>
          <w:rFonts w:ascii="Arial" w:hAnsi="Arial" w:cs="Arial"/>
          <w:b/>
          <w:sz w:val="24"/>
          <w:szCs w:val="24"/>
        </w:rPr>
        <w:t>B</w:t>
      </w:r>
      <w:r w:rsidR="00A21B50">
        <w:rPr>
          <w:rFonts w:ascii="Arial" w:hAnsi="Arial" w:cs="Arial"/>
          <w:sz w:val="24"/>
          <w:szCs w:val="24"/>
        </w:rPr>
        <w:t xml:space="preserve"> </w:t>
      </w:r>
      <w:r w:rsidR="00A21B50" w:rsidRPr="008908A7">
        <w:rPr>
          <w:rFonts w:ascii="Arial" w:hAnsi="Arial" w:cs="Arial"/>
          <w:sz w:val="24"/>
          <w:szCs w:val="24"/>
        </w:rPr>
        <w:t>A possible model of how PTK2 promotes lung cancer progression in PTK2</w:t>
      </w:r>
      <w:r w:rsidR="00A21B50" w:rsidRPr="008908A7">
        <w:rPr>
          <w:rFonts w:ascii="Arial" w:hAnsi="Arial" w:cs="Arial"/>
          <w:sz w:val="24"/>
          <w:szCs w:val="24"/>
          <w:vertAlign w:val="superscript"/>
        </w:rPr>
        <w:t>up</w:t>
      </w:r>
      <w:r w:rsidR="00A21B50" w:rsidRPr="008908A7">
        <w:rPr>
          <w:rFonts w:ascii="Arial" w:hAnsi="Arial" w:cs="Arial"/>
          <w:sz w:val="24"/>
          <w:szCs w:val="24"/>
        </w:rPr>
        <w:t>EGFR</w:t>
      </w:r>
      <w:r w:rsidR="00A21B50" w:rsidRPr="008908A7">
        <w:rPr>
          <w:rFonts w:ascii="Arial" w:hAnsi="Arial" w:cs="Arial"/>
          <w:sz w:val="24"/>
          <w:szCs w:val="24"/>
          <w:vertAlign w:val="superscript"/>
        </w:rPr>
        <w:t>up</w:t>
      </w:r>
      <w:r w:rsidR="00A21B50" w:rsidRPr="008908A7">
        <w:rPr>
          <w:rFonts w:ascii="Arial" w:hAnsi="Arial" w:cs="Arial"/>
          <w:sz w:val="24"/>
          <w:szCs w:val="24"/>
        </w:rPr>
        <w:t xml:space="preserve"> patients via the cross-talk between EGFR- and TLR-mediated signaling.</w:t>
      </w:r>
      <w:r w:rsidR="00A21B50">
        <w:rPr>
          <w:rFonts w:ascii="Arial" w:hAnsi="Arial" w:cs="Arial"/>
          <w:sz w:val="24"/>
          <w:szCs w:val="24"/>
        </w:rPr>
        <w:t xml:space="preserve"> </w:t>
      </w:r>
      <w:r w:rsidR="00A21B50" w:rsidRPr="008908A7">
        <w:rPr>
          <w:rFonts w:ascii="Arial" w:hAnsi="Arial" w:cs="Arial"/>
          <w:sz w:val="24"/>
          <w:szCs w:val="24"/>
        </w:rPr>
        <w:t>NSCLC patients with up-regulated PTK2 and EGFR are more likely to show lung cancer progression induced by EGFR and TLRs than NSCLC patients with down-regulated</w:t>
      </w:r>
      <w:r w:rsidR="00A21B50">
        <w:rPr>
          <w:rFonts w:ascii="Arial" w:hAnsi="Arial" w:cs="Arial"/>
          <w:sz w:val="24"/>
          <w:szCs w:val="24"/>
        </w:rPr>
        <w:t xml:space="preserve"> PTK2 and EGFR (</w:t>
      </w:r>
      <w:r w:rsidR="00A21B50" w:rsidRPr="00A21B50">
        <w:rPr>
          <w:rFonts w:ascii="Arial" w:hAnsi="Arial" w:cs="Arial"/>
          <w:b/>
          <w:sz w:val="24"/>
          <w:szCs w:val="24"/>
        </w:rPr>
        <w:t>left</w:t>
      </w:r>
      <w:r w:rsidR="00A21B50">
        <w:rPr>
          <w:rFonts w:ascii="Arial" w:hAnsi="Arial" w:cs="Arial"/>
          <w:sz w:val="24"/>
          <w:szCs w:val="24"/>
        </w:rPr>
        <w:t>)</w:t>
      </w:r>
      <w:r w:rsidR="00A21B50" w:rsidRPr="008908A7">
        <w:rPr>
          <w:rFonts w:ascii="Arial" w:hAnsi="Arial" w:cs="Arial"/>
          <w:sz w:val="24"/>
          <w:szCs w:val="24"/>
        </w:rPr>
        <w:t>.</w:t>
      </w:r>
      <w:r w:rsidR="00A21B50">
        <w:rPr>
          <w:rFonts w:ascii="Arial" w:hAnsi="Arial" w:cs="Arial"/>
          <w:sz w:val="24"/>
          <w:szCs w:val="24"/>
        </w:rPr>
        <w:t xml:space="preserve"> In terms of mechanical aspects, </w:t>
      </w:r>
      <w:r w:rsidR="00A21B50" w:rsidRPr="008908A7">
        <w:rPr>
          <w:rFonts w:ascii="Arial" w:hAnsi="Arial" w:cs="Arial"/>
          <w:sz w:val="24"/>
          <w:szCs w:val="24"/>
        </w:rPr>
        <w:t>PTK2 induces activation of</w:t>
      </w:r>
      <w:r w:rsidR="00A21B50">
        <w:rPr>
          <w:rFonts w:ascii="Arial" w:hAnsi="Arial" w:cs="Arial"/>
          <w:sz w:val="24"/>
          <w:szCs w:val="24"/>
        </w:rPr>
        <w:t xml:space="preserve"> TLR-medicated signaling molecules, such as IRAK1, TRAF6, and TAK1, and simultaneously induces activation of</w:t>
      </w:r>
      <w:r w:rsidR="00A21B50" w:rsidRPr="008908A7">
        <w:rPr>
          <w:rFonts w:ascii="Arial" w:hAnsi="Arial" w:cs="Arial"/>
          <w:sz w:val="24"/>
          <w:szCs w:val="24"/>
        </w:rPr>
        <w:t xml:space="preserve"> EGFR, consequently leading to activation of NF-</w:t>
      </w:r>
      <w:r w:rsidR="00A21B50" w:rsidRPr="008908A7">
        <w:rPr>
          <w:rFonts w:ascii="Arial" w:hAnsi="Arial" w:cs="Arial"/>
          <w:sz w:val="24"/>
          <w:szCs w:val="24"/>
        </w:rPr>
        <w:sym w:font="Symbol" w:char="F06B"/>
      </w:r>
      <w:r w:rsidR="00A21B50">
        <w:rPr>
          <w:rFonts w:ascii="Arial" w:hAnsi="Arial" w:cs="Arial"/>
          <w:sz w:val="24"/>
          <w:szCs w:val="24"/>
        </w:rPr>
        <w:t>B (</w:t>
      </w:r>
      <w:r w:rsidR="00A21B50" w:rsidRPr="00A21B50">
        <w:rPr>
          <w:rFonts w:ascii="Arial" w:hAnsi="Arial" w:cs="Arial"/>
          <w:b/>
          <w:sz w:val="24"/>
          <w:szCs w:val="24"/>
        </w:rPr>
        <w:t>middle</w:t>
      </w:r>
      <w:r w:rsidR="00A21B50">
        <w:rPr>
          <w:rFonts w:ascii="Arial" w:hAnsi="Arial" w:cs="Arial"/>
          <w:sz w:val="24"/>
          <w:szCs w:val="24"/>
        </w:rPr>
        <w:t>)</w:t>
      </w:r>
      <w:r w:rsidR="00A21B50" w:rsidRPr="008908A7">
        <w:rPr>
          <w:rFonts w:ascii="Arial" w:hAnsi="Arial" w:cs="Arial"/>
          <w:sz w:val="24"/>
          <w:szCs w:val="24"/>
        </w:rPr>
        <w:t>. These signaling events eventually promote lung cancer progression</w:t>
      </w:r>
      <w:r w:rsidR="00A21B50">
        <w:rPr>
          <w:rFonts w:ascii="Arial" w:hAnsi="Arial" w:cs="Arial"/>
          <w:sz w:val="24"/>
          <w:szCs w:val="24"/>
        </w:rPr>
        <w:t xml:space="preserve"> (</w:t>
      </w:r>
      <w:r w:rsidR="00A21B50" w:rsidRPr="00A21B50">
        <w:rPr>
          <w:rFonts w:ascii="Arial" w:hAnsi="Arial" w:cs="Arial"/>
          <w:b/>
          <w:sz w:val="24"/>
          <w:szCs w:val="24"/>
        </w:rPr>
        <w:t>right</w:t>
      </w:r>
      <w:r w:rsidR="00A21B50">
        <w:rPr>
          <w:rFonts w:ascii="Arial" w:hAnsi="Arial" w:cs="Arial"/>
          <w:sz w:val="24"/>
          <w:szCs w:val="24"/>
        </w:rPr>
        <w:t>)</w:t>
      </w:r>
      <w:r w:rsidR="00E1686D">
        <w:rPr>
          <w:rFonts w:ascii="Arial" w:hAnsi="Arial" w:cs="Arial"/>
          <w:sz w:val="24"/>
          <w:szCs w:val="24"/>
        </w:rPr>
        <w:t>.</w:t>
      </w:r>
    </w:p>
    <w:p w:rsidR="008C72CC" w:rsidRDefault="008C72CC">
      <w:pPr>
        <w:widowControl/>
        <w:wordWrap/>
        <w:autoSpaceDE/>
        <w:autoSpaceDN/>
        <w:rPr>
          <w:rFonts w:ascii="Arial" w:hAnsi="Arial" w:cs="Arial"/>
          <w:sz w:val="24"/>
          <w:szCs w:val="24"/>
        </w:rPr>
      </w:pPr>
      <w:r>
        <w:rPr>
          <w:rFonts w:ascii="Arial" w:hAnsi="Arial" w:cs="Arial"/>
          <w:sz w:val="24"/>
          <w:szCs w:val="24"/>
        </w:rPr>
        <w:br w:type="page"/>
      </w:r>
    </w:p>
    <w:p w:rsidR="006B7967" w:rsidRDefault="009C64B3" w:rsidP="00BE3C71">
      <w:pPr>
        <w:spacing w:line="360" w:lineRule="auto"/>
        <w:ind w:left="1133" w:hangingChars="472" w:hanging="1133"/>
        <w:rPr>
          <w:rFonts w:ascii="Arial" w:hAnsi="Arial" w:cs="Arial"/>
          <w:sz w:val="24"/>
          <w:szCs w:val="24"/>
        </w:rPr>
      </w:pPr>
      <w:r w:rsidRPr="00BE3C71">
        <w:rPr>
          <w:rFonts w:ascii="Arial" w:hAnsi="Arial" w:cs="Arial" w:hint="eastAsia"/>
          <w:b/>
          <w:sz w:val="24"/>
          <w:szCs w:val="24"/>
        </w:rPr>
        <w:lastRenderedPageBreak/>
        <w:t>T</w:t>
      </w:r>
      <w:r w:rsidRPr="00BE3C71">
        <w:rPr>
          <w:rFonts w:ascii="Arial" w:hAnsi="Arial" w:cs="Arial"/>
          <w:b/>
          <w:sz w:val="24"/>
          <w:szCs w:val="24"/>
        </w:rPr>
        <w:t>able S1</w:t>
      </w:r>
      <w:r w:rsidR="00BE3C71">
        <w:rPr>
          <w:rFonts w:ascii="Arial" w:hAnsi="Arial" w:cs="Arial"/>
          <w:sz w:val="24"/>
          <w:szCs w:val="24"/>
        </w:rPr>
        <w:t xml:space="preserve"> </w:t>
      </w:r>
      <w:r w:rsidR="00BE3C71" w:rsidRPr="00BE3C71">
        <w:rPr>
          <w:rFonts w:ascii="Arial" w:hAnsi="Arial" w:cs="Arial"/>
          <w:sz w:val="24"/>
          <w:szCs w:val="24"/>
        </w:rPr>
        <w:t>Clinical characteristics of NSCLC patients and ∆Mag (∆PTK2) of PTK2 in NSCLC patients (</w:t>
      </w:r>
      <w:r w:rsidR="00BE3C71" w:rsidRPr="003F3B01">
        <w:rPr>
          <w:rFonts w:ascii="Arial" w:hAnsi="Arial" w:cs="Arial"/>
          <w:i/>
          <w:sz w:val="24"/>
          <w:szCs w:val="24"/>
        </w:rPr>
        <w:t>n</w:t>
      </w:r>
      <w:r w:rsidR="00BE3C71" w:rsidRPr="00BE3C71">
        <w:rPr>
          <w:rFonts w:ascii="Arial" w:hAnsi="Arial" w:cs="Arial"/>
          <w:sz w:val="24"/>
          <w:szCs w:val="24"/>
        </w:rPr>
        <w:t>=42)</w:t>
      </w:r>
      <w:r w:rsidR="00E1686D">
        <w:rPr>
          <w:rFonts w:ascii="Arial" w:hAnsi="Arial" w:cs="Arial"/>
          <w:sz w:val="24"/>
          <w:szCs w:val="24"/>
        </w:rPr>
        <w:t>.</w:t>
      </w:r>
      <w:r>
        <w:rPr>
          <w:rFonts w:ascii="Arial" w:hAnsi="Arial" w:cs="Arial"/>
          <w:sz w:val="24"/>
          <w:szCs w:val="24"/>
        </w:rPr>
        <w:t xml:space="preserve"> </w:t>
      </w:r>
    </w:p>
    <w:p w:rsidR="009C64B3" w:rsidRDefault="009C64B3" w:rsidP="00BE3C71">
      <w:pPr>
        <w:spacing w:line="360" w:lineRule="auto"/>
        <w:ind w:left="1133" w:hangingChars="472" w:hanging="1133"/>
        <w:rPr>
          <w:rFonts w:ascii="Arial" w:hAnsi="Arial" w:cs="Arial"/>
          <w:sz w:val="24"/>
          <w:szCs w:val="24"/>
        </w:rPr>
      </w:pPr>
      <w:r w:rsidRPr="00BE3C71">
        <w:rPr>
          <w:rFonts w:ascii="Arial" w:hAnsi="Arial" w:cs="Arial"/>
          <w:b/>
          <w:sz w:val="24"/>
          <w:szCs w:val="24"/>
        </w:rPr>
        <w:t>Table S2</w:t>
      </w:r>
      <w:r w:rsidR="00FA2DE3">
        <w:rPr>
          <w:rFonts w:ascii="Arial" w:hAnsi="Arial" w:cs="Arial"/>
          <w:sz w:val="24"/>
          <w:szCs w:val="24"/>
        </w:rPr>
        <w:t xml:space="preserve"> </w:t>
      </w:r>
      <w:r w:rsidR="00FA2DE3" w:rsidRPr="00FA2DE3">
        <w:rPr>
          <w:rFonts w:ascii="Arial" w:hAnsi="Arial" w:cs="Arial"/>
          <w:sz w:val="24"/>
          <w:szCs w:val="24"/>
        </w:rPr>
        <w:t>Differential magnitude (Δ Mag) of EGFR and PTK2 expression between lung tumor tissues (LTTs) and matched lung normal tissues (mLNTs) and patient's vital statues</w:t>
      </w:r>
      <w:r w:rsidR="00FA2DE3">
        <w:rPr>
          <w:rFonts w:ascii="Arial" w:hAnsi="Arial" w:cs="Arial"/>
          <w:sz w:val="24"/>
          <w:szCs w:val="24"/>
        </w:rPr>
        <w:t>.</w:t>
      </w:r>
    </w:p>
    <w:p w:rsidR="00BE3C71" w:rsidRDefault="009C64B3" w:rsidP="00BE3C71">
      <w:pPr>
        <w:spacing w:line="360" w:lineRule="auto"/>
        <w:ind w:left="1133" w:hangingChars="472" w:hanging="1133"/>
        <w:rPr>
          <w:rFonts w:ascii="Arial" w:hAnsi="Arial" w:cs="Arial"/>
          <w:sz w:val="24"/>
          <w:szCs w:val="24"/>
        </w:rPr>
      </w:pPr>
      <w:r w:rsidRPr="00BE3C71">
        <w:rPr>
          <w:rFonts w:ascii="Arial" w:hAnsi="Arial" w:cs="Arial"/>
          <w:b/>
          <w:sz w:val="24"/>
          <w:szCs w:val="24"/>
        </w:rPr>
        <w:t>Table S3</w:t>
      </w:r>
      <w:r w:rsidR="00FA2DE3">
        <w:rPr>
          <w:rFonts w:ascii="Arial" w:hAnsi="Arial" w:cs="Arial"/>
          <w:sz w:val="24"/>
          <w:szCs w:val="24"/>
        </w:rPr>
        <w:t xml:space="preserve"> </w:t>
      </w:r>
      <w:r w:rsidR="00FA2DE3" w:rsidRPr="00FA2DE3">
        <w:rPr>
          <w:rFonts w:ascii="Arial" w:hAnsi="Arial" w:cs="Arial"/>
          <w:sz w:val="24"/>
          <w:szCs w:val="24"/>
        </w:rPr>
        <w:t>Differential magnitude (Δ Mag) of EGFR and PTK2 expression between lung tumor tissues (LTTs) and matched lung normal tissues (mLNTs)</w:t>
      </w:r>
      <w:r w:rsidR="00FA2DE3">
        <w:rPr>
          <w:rFonts w:ascii="Arial" w:hAnsi="Arial" w:cs="Arial"/>
          <w:sz w:val="24"/>
          <w:szCs w:val="24"/>
        </w:rPr>
        <w:t>;</w:t>
      </w:r>
      <w:r w:rsidR="00FA2DE3" w:rsidRPr="00FA2DE3">
        <w:rPr>
          <w:rFonts w:ascii="Arial" w:hAnsi="Arial" w:cs="Arial"/>
          <w:sz w:val="24"/>
          <w:szCs w:val="24"/>
        </w:rPr>
        <w:t xml:space="preserve"> PTK2</w:t>
      </w:r>
      <w:r w:rsidR="00FA2DE3" w:rsidRPr="00FA2DE3">
        <w:rPr>
          <w:rFonts w:ascii="Arial" w:hAnsi="Arial" w:cs="Arial"/>
          <w:sz w:val="24"/>
          <w:szCs w:val="24"/>
          <w:vertAlign w:val="superscript"/>
        </w:rPr>
        <w:t>up</w:t>
      </w:r>
      <w:r w:rsidR="00FA2DE3" w:rsidRPr="00FA2DE3">
        <w:rPr>
          <w:rFonts w:ascii="Arial" w:hAnsi="Arial" w:cs="Arial"/>
          <w:sz w:val="24"/>
          <w:szCs w:val="24"/>
        </w:rPr>
        <w:t>EGFR</w:t>
      </w:r>
      <w:r w:rsidR="00FA2DE3" w:rsidRPr="00FA2DE3">
        <w:rPr>
          <w:rFonts w:ascii="Arial" w:hAnsi="Arial" w:cs="Arial"/>
          <w:sz w:val="24"/>
          <w:szCs w:val="24"/>
          <w:vertAlign w:val="superscript"/>
        </w:rPr>
        <w:t>up</w:t>
      </w:r>
      <w:r w:rsidR="00FA2DE3" w:rsidRPr="00FA2DE3">
        <w:rPr>
          <w:rFonts w:ascii="Arial" w:hAnsi="Arial" w:cs="Arial"/>
          <w:sz w:val="24"/>
          <w:szCs w:val="24"/>
        </w:rPr>
        <w:t xml:space="preserve"> NSCLC patients (</w:t>
      </w:r>
      <w:r w:rsidR="00FA2DE3" w:rsidRPr="00BE3C71">
        <w:rPr>
          <w:rFonts w:ascii="Arial" w:hAnsi="Arial" w:cs="Arial"/>
          <w:i/>
          <w:sz w:val="24"/>
          <w:szCs w:val="24"/>
        </w:rPr>
        <w:t>n</w:t>
      </w:r>
      <w:r w:rsidR="00FA2DE3" w:rsidRPr="00FA2DE3">
        <w:rPr>
          <w:rFonts w:ascii="Arial" w:hAnsi="Arial" w:cs="Arial"/>
          <w:sz w:val="24"/>
          <w:szCs w:val="24"/>
        </w:rPr>
        <w:t>=7) vs. PTK2</w:t>
      </w:r>
      <w:r w:rsidR="00FA2DE3" w:rsidRPr="00FA2DE3">
        <w:rPr>
          <w:rFonts w:ascii="Arial" w:hAnsi="Arial" w:cs="Arial"/>
          <w:sz w:val="24"/>
          <w:szCs w:val="24"/>
          <w:vertAlign w:val="superscript"/>
        </w:rPr>
        <w:t>down</w:t>
      </w:r>
      <w:r w:rsidR="00FA2DE3" w:rsidRPr="00FA2DE3">
        <w:rPr>
          <w:rFonts w:ascii="Arial" w:hAnsi="Arial" w:cs="Arial"/>
          <w:sz w:val="24"/>
          <w:szCs w:val="24"/>
        </w:rPr>
        <w:t>EGFR</w:t>
      </w:r>
      <w:r w:rsidR="00FA2DE3" w:rsidRPr="00FA2DE3">
        <w:rPr>
          <w:rFonts w:ascii="Arial" w:hAnsi="Arial" w:cs="Arial"/>
          <w:sz w:val="24"/>
          <w:szCs w:val="24"/>
          <w:vertAlign w:val="superscript"/>
        </w:rPr>
        <w:t>down</w:t>
      </w:r>
      <w:r w:rsidR="00FA2DE3" w:rsidRPr="00FA2DE3">
        <w:rPr>
          <w:rFonts w:ascii="Arial" w:hAnsi="Arial" w:cs="Arial"/>
          <w:sz w:val="24"/>
          <w:szCs w:val="24"/>
        </w:rPr>
        <w:t xml:space="preserve"> NSCLC patients (</w:t>
      </w:r>
      <w:r w:rsidR="00FA2DE3" w:rsidRPr="00BE3C71">
        <w:rPr>
          <w:rFonts w:ascii="Arial" w:hAnsi="Arial" w:cs="Arial"/>
          <w:i/>
          <w:sz w:val="24"/>
          <w:szCs w:val="24"/>
        </w:rPr>
        <w:t>n</w:t>
      </w:r>
      <w:r w:rsidR="00FA2DE3" w:rsidRPr="00FA2DE3">
        <w:rPr>
          <w:rFonts w:ascii="Arial" w:hAnsi="Arial" w:cs="Arial"/>
          <w:sz w:val="24"/>
          <w:szCs w:val="24"/>
        </w:rPr>
        <w:t>=7)</w:t>
      </w:r>
      <w:r w:rsidR="00E1686D">
        <w:rPr>
          <w:rFonts w:ascii="Arial" w:hAnsi="Arial" w:cs="Arial"/>
          <w:sz w:val="24"/>
          <w:szCs w:val="24"/>
        </w:rPr>
        <w:t>.</w:t>
      </w:r>
    </w:p>
    <w:p w:rsidR="006B7967" w:rsidRPr="00A21B50" w:rsidRDefault="00BE3C71" w:rsidP="00BE3C71">
      <w:pPr>
        <w:spacing w:line="360" w:lineRule="auto"/>
        <w:ind w:left="1133" w:hangingChars="472" w:hanging="1133"/>
        <w:rPr>
          <w:rFonts w:ascii="Arial" w:hAnsi="Arial" w:cs="Arial"/>
          <w:sz w:val="24"/>
          <w:szCs w:val="24"/>
        </w:rPr>
      </w:pPr>
      <w:r w:rsidRPr="00BE3C71">
        <w:rPr>
          <w:rFonts w:ascii="Arial" w:hAnsi="Arial" w:cs="Arial"/>
          <w:b/>
          <w:sz w:val="24"/>
          <w:szCs w:val="24"/>
        </w:rPr>
        <w:t>Table S4</w:t>
      </w:r>
      <w:r>
        <w:rPr>
          <w:rFonts w:ascii="Arial" w:hAnsi="Arial" w:cs="Arial"/>
          <w:sz w:val="24"/>
          <w:szCs w:val="24"/>
        </w:rPr>
        <w:t xml:space="preserve"> </w:t>
      </w:r>
      <w:r w:rsidRPr="00FA2DE3">
        <w:rPr>
          <w:rFonts w:ascii="Arial" w:hAnsi="Arial" w:cs="Arial"/>
          <w:sz w:val="24"/>
          <w:szCs w:val="24"/>
        </w:rPr>
        <w:t>Differential magnitude (Δ Mag) of</w:t>
      </w:r>
      <w:r w:rsidR="00F136E6">
        <w:rPr>
          <w:rFonts w:ascii="Arial" w:hAnsi="Arial" w:cs="Arial"/>
          <w:sz w:val="24"/>
          <w:szCs w:val="24"/>
        </w:rPr>
        <w:t xml:space="preserve"> TLR1, TLR6, TLR2,</w:t>
      </w:r>
      <w:r w:rsidRPr="00FA2DE3">
        <w:rPr>
          <w:rFonts w:ascii="Arial" w:hAnsi="Arial" w:cs="Arial"/>
          <w:sz w:val="24"/>
          <w:szCs w:val="24"/>
        </w:rPr>
        <w:t xml:space="preserve"> EGFR</w:t>
      </w:r>
      <w:r w:rsidR="00F136E6">
        <w:rPr>
          <w:rFonts w:ascii="Arial" w:hAnsi="Arial" w:cs="Arial"/>
          <w:sz w:val="24"/>
          <w:szCs w:val="24"/>
        </w:rPr>
        <w:t>,</w:t>
      </w:r>
      <w:r w:rsidRPr="00FA2DE3">
        <w:rPr>
          <w:rFonts w:ascii="Arial" w:hAnsi="Arial" w:cs="Arial"/>
          <w:sz w:val="24"/>
          <w:szCs w:val="24"/>
        </w:rPr>
        <w:t xml:space="preserve"> and PTK2 expression between lung tumor tissues (LTTs) and matched lung normal tissues (mLNTs)</w:t>
      </w:r>
      <w:r>
        <w:rPr>
          <w:rFonts w:ascii="Arial" w:hAnsi="Arial" w:cs="Arial"/>
          <w:sz w:val="24"/>
          <w:szCs w:val="24"/>
        </w:rPr>
        <w:t>;</w:t>
      </w:r>
      <w:r w:rsidRPr="00FA2DE3">
        <w:rPr>
          <w:rFonts w:ascii="Arial" w:hAnsi="Arial" w:cs="Arial"/>
          <w:sz w:val="24"/>
          <w:szCs w:val="24"/>
        </w:rPr>
        <w:t xml:space="preserve"> </w:t>
      </w:r>
      <w:r>
        <w:rPr>
          <w:rFonts w:ascii="Arial" w:hAnsi="Arial" w:cs="Arial"/>
          <w:sz w:val="24"/>
          <w:szCs w:val="24"/>
        </w:rPr>
        <w:t>TLR1</w:t>
      </w:r>
      <w:r w:rsidRPr="00BE3C71">
        <w:rPr>
          <w:rFonts w:ascii="Arial" w:hAnsi="Arial" w:cs="Arial"/>
          <w:sz w:val="24"/>
          <w:szCs w:val="24"/>
          <w:vertAlign w:val="superscript"/>
        </w:rPr>
        <w:t>up</w:t>
      </w:r>
      <w:r>
        <w:rPr>
          <w:rFonts w:ascii="Arial" w:hAnsi="Arial" w:cs="Arial"/>
          <w:sz w:val="24"/>
          <w:szCs w:val="24"/>
        </w:rPr>
        <w:t>TLR6</w:t>
      </w:r>
      <w:r w:rsidRPr="00BE3C71">
        <w:rPr>
          <w:rFonts w:ascii="Arial" w:hAnsi="Arial" w:cs="Arial"/>
          <w:sz w:val="24"/>
          <w:szCs w:val="24"/>
          <w:vertAlign w:val="superscript"/>
        </w:rPr>
        <w:t>up</w:t>
      </w:r>
      <w:r>
        <w:rPr>
          <w:rFonts w:ascii="Arial" w:hAnsi="Arial" w:cs="Arial"/>
          <w:sz w:val="24"/>
          <w:szCs w:val="24"/>
        </w:rPr>
        <w:t>TLR2</w:t>
      </w:r>
      <w:r w:rsidRPr="00BE3C71">
        <w:rPr>
          <w:rFonts w:ascii="Arial" w:hAnsi="Arial" w:cs="Arial"/>
          <w:sz w:val="24"/>
          <w:szCs w:val="24"/>
          <w:vertAlign w:val="superscript"/>
        </w:rPr>
        <w:t>up</w:t>
      </w:r>
      <w:r w:rsidRPr="00FA2DE3">
        <w:rPr>
          <w:rFonts w:ascii="Arial" w:hAnsi="Arial" w:cs="Arial"/>
          <w:sz w:val="24"/>
          <w:szCs w:val="24"/>
        </w:rPr>
        <w:t>PTK2</w:t>
      </w:r>
      <w:r w:rsidRPr="00FA2DE3">
        <w:rPr>
          <w:rFonts w:ascii="Arial" w:hAnsi="Arial" w:cs="Arial"/>
          <w:sz w:val="24"/>
          <w:szCs w:val="24"/>
          <w:vertAlign w:val="superscript"/>
        </w:rPr>
        <w:t>up</w:t>
      </w:r>
      <w:r w:rsidRPr="00FA2DE3">
        <w:rPr>
          <w:rFonts w:ascii="Arial" w:hAnsi="Arial" w:cs="Arial"/>
          <w:sz w:val="24"/>
          <w:szCs w:val="24"/>
        </w:rPr>
        <w:t>EGFR</w:t>
      </w:r>
      <w:r w:rsidRPr="00FA2DE3">
        <w:rPr>
          <w:rFonts w:ascii="Arial" w:hAnsi="Arial" w:cs="Arial"/>
          <w:sz w:val="24"/>
          <w:szCs w:val="24"/>
          <w:vertAlign w:val="superscript"/>
        </w:rPr>
        <w:t>up</w:t>
      </w:r>
      <w:r w:rsidRPr="00FA2DE3">
        <w:rPr>
          <w:rFonts w:ascii="Arial" w:hAnsi="Arial" w:cs="Arial"/>
          <w:sz w:val="24"/>
          <w:szCs w:val="24"/>
        </w:rPr>
        <w:t xml:space="preserve"> NSCLC patients (</w:t>
      </w:r>
      <w:r w:rsidRPr="00BE3C71">
        <w:rPr>
          <w:rFonts w:ascii="Arial" w:hAnsi="Arial" w:cs="Arial"/>
          <w:i/>
          <w:sz w:val="24"/>
          <w:szCs w:val="24"/>
        </w:rPr>
        <w:t>n</w:t>
      </w:r>
      <w:r w:rsidR="00F136E6">
        <w:rPr>
          <w:rFonts w:ascii="Arial" w:hAnsi="Arial" w:cs="Arial"/>
          <w:sz w:val="24"/>
          <w:szCs w:val="24"/>
        </w:rPr>
        <w:t>=5</w:t>
      </w:r>
      <w:r w:rsidRPr="00FA2DE3">
        <w:rPr>
          <w:rFonts w:ascii="Arial" w:hAnsi="Arial" w:cs="Arial"/>
          <w:sz w:val="24"/>
          <w:szCs w:val="24"/>
        </w:rPr>
        <w:t>) vs.</w:t>
      </w:r>
      <w:r>
        <w:rPr>
          <w:rFonts w:ascii="Arial" w:hAnsi="Arial" w:cs="Arial"/>
          <w:sz w:val="24"/>
          <w:szCs w:val="24"/>
        </w:rPr>
        <w:t xml:space="preserve"> TLR1</w:t>
      </w:r>
      <w:r w:rsidRPr="00FA2DE3">
        <w:rPr>
          <w:rFonts w:ascii="Arial" w:hAnsi="Arial" w:cs="Arial"/>
          <w:sz w:val="24"/>
          <w:szCs w:val="24"/>
          <w:vertAlign w:val="superscript"/>
        </w:rPr>
        <w:t>down</w:t>
      </w:r>
      <w:r>
        <w:rPr>
          <w:rFonts w:ascii="Arial" w:hAnsi="Arial" w:cs="Arial"/>
          <w:sz w:val="24"/>
          <w:szCs w:val="24"/>
        </w:rPr>
        <w:t>TLR6</w:t>
      </w:r>
      <w:r w:rsidRPr="00FA2DE3">
        <w:rPr>
          <w:rFonts w:ascii="Arial" w:hAnsi="Arial" w:cs="Arial"/>
          <w:sz w:val="24"/>
          <w:szCs w:val="24"/>
          <w:vertAlign w:val="superscript"/>
        </w:rPr>
        <w:t>down</w:t>
      </w:r>
      <w:r>
        <w:rPr>
          <w:rFonts w:ascii="Arial" w:hAnsi="Arial" w:cs="Arial"/>
          <w:sz w:val="24"/>
          <w:szCs w:val="24"/>
        </w:rPr>
        <w:t>TLR2</w:t>
      </w:r>
      <w:r w:rsidRPr="00FA2DE3">
        <w:rPr>
          <w:rFonts w:ascii="Arial" w:hAnsi="Arial" w:cs="Arial"/>
          <w:sz w:val="24"/>
          <w:szCs w:val="24"/>
          <w:vertAlign w:val="superscript"/>
        </w:rPr>
        <w:t>down</w:t>
      </w:r>
      <w:r w:rsidRPr="00FA2DE3">
        <w:rPr>
          <w:rFonts w:ascii="Arial" w:hAnsi="Arial" w:cs="Arial"/>
          <w:sz w:val="24"/>
          <w:szCs w:val="24"/>
        </w:rPr>
        <w:t>PTK2</w:t>
      </w:r>
      <w:r w:rsidRPr="00FA2DE3">
        <w:rPr>
          <w:rFonts w:ascii="Arial" w:hAnsi="Arial" w:cs="Arial"/>
          <w:sz w:val="24"/>
          <w:szCs w:val="24"/>
          <w:vertAlign w:val="superscript"/>
        </w:rPr>
        <w:t>down</w:t>
      </w:r>
      <w:r w:rsidRPr="00FA2DE3">
        <w:rPr>
          <w:rFonts w:ascii="Arial" w:hAnsi="Arial" w:cs="Arial"/>
          <w:sz w:val="24"/>
          <w:szCs w:val="24"/>
        </w:rPr>
        <w:t>EGFR</w:t>
      </w:r>
      <w:r w:rsidRPr="00FA2DE3">
        <w:rPr>
          <w:rFonts w:ascii="Arial" w:hAnsi="Arial" w:cs="Arial"/>
          <w:sz w:val="24"/>
          <w:szCs w:val="24"/>
          <w:vertAlign w:val="superscript"/>
        </w:rPr>
        <w:t>down</w:t>
      </w:r>
      <w:r w:rsidRPr="00FA2DE3">
        <w:rPr>
          <w:rFonts w:ascii="Arial" w:hAnsi="Arial" w:cs="Arial"/>
          <w:sz w:val="24"/>
          <w:szCs w:val="24"/>
        </w:rPr>
        <w:t xml:space="preserve"> NSCLC patients (</w:t>
      </w:r>
      <w:r w:rsidRPr="00BE3C71">
        <w:rPr>
          <w:rFonts w:ascii="Arial" w:hAnsi="Arial" w:cs="Arial"/>
          <w:i/>
          <w:sz w:val="24"/>
          <w:szCs w:val="24"/>
        </w:rPr>
        <w:t>n</w:t>
      </w:r>
      <w:r w:rsidR="00F136E6">
        <w:rPr>
          <w:rFonts w:ascii="Arial" w:hAnsi="Arial" w:cs="Arial"/>
          <w:sz w:val="24"/>
          <w:szCs w:val="24"/>
        </w:rPr>
        <w:t>=4</w:t>
      </w:r>
      <w:r w:rsidRPr="00FA2DE3">
        <w:rPr>
          <w:rFonts w:ascii="Arial" w:hAnsi="Arial" w:cs="Arial"/>
          <w:sz w:val="24"/>
          <w:szCs w:val="24"/>
        </w:rPr>
        <w:t>)</w:t>
      </w:r>
      <w:r w:rsidR="00E1686D">
        <w:rPr>
          <w:rFonts w:ascii="Arial" w:hAnsi="Arial" w:cs="Arial"/>
          <w:sz w:val="24"/>
          <w:szCs w:val="24"/>
        </w:rPr>
        <w:t>.</w:t>
      </w:r>
      <w:bookmarkStart w:id="0" w:name="_GoBack"/>
      <w:bookmarkEnd w:id="0"/>
      <w:r w:rsidR="009C64B3">
        <w:rPr>
          <w:rFonts w:ascii="Arial" w:hAnsi="Arial" w:cs="Arial" w:hint="eastAsia"/>
          <w:sz w:val="24"/>
          <w:szCs w:val="24"/>
        </w:rPr>
        <w:t xml:space="preserve"> </w:t>
      </w:r>
    </w:p>
    <w:p w:rsidR="006B7967" w:rsidRPr="00F136E6" w:rsidRDefault="006B7967" w:rsidP="00A21B50">
      <w:pPr>
        <w:spacing w:line="360" w:lineRule="auto"/>
        <w:rPr>
          <w:rFonts w:ascii="Arial" w:hAnsi="Arial" w:cs="Arial"/>
          <w:sz w:val="24"/>
          <w:szCs w:val="24"/>
        </w:rPr>
      </w:pPr>
    </w:p>
    <w:p w:rsidR="006B7967" w:rsidRPr="00F136E6" w:rsidRDefault="006B7967" w:rsidP="00A21B50">
      <w:pPr>
        <w:spacing w:line="360" w:lineRule="auto"/>
        <w:rPr>
          <w:rFonts w:ascii="Arial" w:hAnsi="Arial" w:cs="Arial"/>
          <w:sz w:val="24"/>
          <w:szCs w:val="24"/>
        </w:rPr>
      </w:pPr>
    </w:p>
    <w:p w:rsidR="006B7967" w:rsidRPr="00BE3C71" w:rsidRDefault="006B7967" w:rsidP="006B7967">
      <w:pPr>
        <w:spacing w:line="360" w:lineRule="auto"/>
        <w:rPr>
          <w:rFonts w:ascii="Arial" w:hAnsi="Arial" w:cs="Arial"/>
          <w:sz w:val="24"/>
          <w:szCs w:val="24"/>
        </w:rPr>
      </w:pPr>
    </w:p>
    <w:sectPr w:rsidR="006B7967" w:rsidRPr="00BE3C71" w:rsidSect="00304E96">
      <w:footerReference w:type="default" r:id="rId30"/>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E9F" w:rsidRDefault="00315E9F" w:rsidP="0029291E">
      <w:pPr>
        <w:spacing w:after="0" w:line="240" w:lineRule="auto"/>
      </w:pPr>
      <w:r>
        <w:separator/>
      </w:r>
    </w:p>
  </w:endnote>
  <w:endnote w:type="continuationSeparator" w:id="0">
    <w:p w:rsidR="00315E9F" w:rsidRDefault="00315E9F" w:rsidP="0029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202695"/>
      <w:docPartObj>
        <w:docPartGallery w:val="Page Numbers (Bottom of Page)"/>
        <w:docPartUnique/>
      </w:docPartObj>
    </w:sdtPr>
    <w:sdtEndPr/>
    <w:sdtContent>
      <w:p w:rsidR="00304E96" w:rsidRDefault="00304E96">
        <w:pPr>
          <w:pStyle w:val="a4"/>
          <w:jc w:val="center"/>
        </w:pPr>
        <w:r>
          <w:fldChar w:fldCharType="begin"/>
        </w:r>
        <w:r>
          <w:instrText>PAGE   \* MERGEFORMAT</w:instrText>
        </w:r>
        <w:r>
          <w:fldChar w:fldCharType="separate"/>
        </w:r>
        <w:r w:rsidR="004E105D" w:rsidRPr="004E105D">
          <w:rPr>
            <w:noProof/>
            <w:lang w:val="ko-KR"/>
          </w:rPr>
          <w:t>48</w:t>
        </w:r>
        <w:r>
          <w:fldChar w:fldCharType="end"/>
        </w:r>
      </w:p>
    </w:sdtContent>
  </w:sdt>
  <w:p w:rsidR="00304E96" w:rsidRDefault="00304E9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E9F" w:rsidRDefault="00315E9F" w:rsidP="0029291E">
      <w:pPr>
        <w:spacing w:after="0" w:line="240" w:lineRule="auto"/>
      </w:pPr>
      <w:r>
        <w:separator/>
      </w:r>
    </w:p>
  </w:footnote>
  <w:footnote w:type="continuationSeparator" w:id="0">
    <w:p w:rsidR="00315E9F" w:rsidRDefault="00315E9F" w:rsidP="002929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967"/>
    <w:rsid w:val="0005410F"/>
    <w:rsid w:val="000A6D17"/>
    <w:rsid w:val="000D0A1A"/>
    <w:rsid w:val="00136940"/>
    <w:rsid w:val="001A3622"/>
    <w:rsid w:val="001E0CCF"/>
    <w:rsid w:val="002669D5"/>
    <w:rsid w:val="00276C1F"/>
    <w:rsid w:val="0029291E"/>
    <w:rsid w:val="002B4AC0"/>
    <w:rsid w:val="003042C5"/>
    <w:rsid w:val="00304E96"/>
    <w:rsid w:val="003132FD"/>
    <w:rsid w:val="00315E9F"/>
    <w:rsid w:val="003B16E8"/>
    <w:rsid w:val="003F3B01"/>
    <w:rsid w:val="0049247B"/>
    <w:rsid w:val="004E105D"/>
    <w:rsid w:val="005A2674"/>
    <w:rsid w:val="006A6FE4"/>
    <w:rsid w:val="006B7967"/>
    <w:rsid w:val="007527D0"/>
    <w:rsid w:val="00774E2E"/>
    <w:rsid w:val="007A257A"/>
    <w:rsid w:val="008C72CC"/>
    <w:rsid w:val="009562BC"/>
    <w:rsid w:val="00962485"/>
    <w:rsid w:val="009C64B3"/>
    <w:rsid w:val="00A21B50"/>
    <w:rsid w:val="00A34560"/>
    <w:rsid w:val="00B72740"/>
    <w:rsid w:val="00BE3C71"/>
    <w:rsid w:val="00CE6DAD"/>
    <w:rsid w:val="00D743BE"/>
    <w:rsid w:val="00DA718A"/>
    <w:rsid w:val="00DE546F"/>
    <w:rsid w:val="00E0380D"/>
    <w:rsid w:val="00E1686D"/>
    <w:rsid w:val="00E46C24"/>
    <w:rsid w:val="00E91AC4"/>
    <w:rsid w:val="00EB5428"/>
    <w:rsid w:val="00EC28BD"/>
    <w:rsid w:val="00F136E6"/>
    <w:rsid w:val="00FA2D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A6C510"/>
  <w15:chartTrackingRefBased/>
  <w15:docId w15:val="{74757B83-17AC-47E3-96E5-F0ECDF34D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967"/>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291E"/>
    <w:pPr>
      <w:tabs>
        <w:tab w:val="center" w:pos="4513"/>
        <w:tab w:val="right" w:pos="9026"/>
      </w:tabs>
      <w:snapToGrid w:val="0"/>
    </w:pPr>
  </w:style>
  <w:style w:type="character" w:customStyle="1" w:styleId="Char">
    <w:name w:val="머리글 Char"/>
    <w:basedOn w:val="a0"/>
    <w:link w:val="a3"/>
    <w:uiPriority w:val="99"/>
    <w:rsid w:val="0029291E"/>
  </w:style>
  <w:style w:type="paragraph" w:styleId="a4">
    <w:name w:val="footer"/>
    <w:basedOn w:val="a"/>
    <w:link w:val="Char0"/>
    <w:uiPriority w:val="99"/>
    <w:unhideWhenUsed/>
    <w:rsid w:val="0029291E"/>
    <w:pPr>
      <w:tabs>
        <w:tab w:val="center" w:pos="4513"/>
        <w:tab w:val="right" w:pos="9026"/>
      </w:tabs>
      <w:snapToGrid w:val="0"/>
    </w:pPr>
  </w:style>
  <w:style w:type="character" w:customStyle="1" w:styleId="Char0">
    <w:name w:val="바닥글 Char"/>
    <w:basedOn w:val="a0"/>
    <w:link w:val="a4"/>
    <w:uiPriority w:val="99"/>
    <w:rsid w:val="0029291E"/>
  </w:style>
  <w:style w:type="character" w:styleId="a5">
    <w:name w:val="line number"/>
    <w:basedOn w:val="a0"/>
    <w:uiPriority w:val="99"/>
    <w:semiHidden/>
    <w:unhideWhenUsed/>
    <w:rsid w:val="00304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A0B9E-1EBC-41B4-A0A3-CE2B5139B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5630</Words>
  <Characters>32092</Characters>
  <Application>Microsoft Office Word</Application>
  <DocSecurity>0</DocSecurity>
  <Lines>267</Lines>
  <Paragraphs>75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이기영</dc:creator>
  <cp:keywords/>
  <dc:description/>
  <cp:lastModifiedBy>이기영</cp:lastModifiedBy>
  <cp:revision>2</cp:revision>
  <dcterms:created xsi:type="dcterms:W3CDTF">2024-05-28T04:55:00Z</dcterms:created>
  <dcterms:modified xsi:type="dcterms:W3CDTF">2024-05-28T04:55:00Z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084a662b75b45e47a3a6907eeba792d62e0d1152234a00681268811086d5a70c</vt:lpwstr>
  </property>
</Properties>
</file>