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18BB8" w14:textId="349E72FE" w:rsidR="00A5183A" w:rsidRPr="00D36A3B" w:rsidRDefault="00091D6B" w:rsidP="00091D6B">
      <w:pPr>
        <w:widowControl/>
        <w:spacing w:before="240" w:after="120" w:line="360" w:lineRule="auto"/>
        <w:rPr>
          <w:rFonts w:ascii="Arial" w:hAnsi="Arial" w:cs="Arial"/>
          <w:b/>
          <w:bCs/>
          <w:color w:val="000000" w:themeColor="text1"/>
          <w:kern w:val="0"/>
          <w:sz w:val="28"/>
          <w:szCs w:val="28"/>
        </w:rPr>
      </w:pPr>
      <w:r w:rsidRPr="00D36A3B">
        <w:rPr>
          <w:rFonts w:ascii="Arial" w:hAnsi="Arial" w:cs="Arial"/>
          <w:b/>
          <w:bCs/>
          <w:color w:val="000000" w:themeColor="text1"/>
          <w:kern w:val="0"/>
          <w:sz w:val="28"/>
          <w:szCs w:val="28"/>
        </w:rPr>
        <w:t xml:space="preserve">Supplementary Material 4. </w:t>
      </w:r>
      <w:r w:rsidR="00A5183A" w:rsidRPr="00D36A3B">
        <w:rPr>
          <w:rFonts w:ascii="Arial" w:hAnsi="Arial" w:cs="Arial"/>
          <w:b/>
          <w:bCs/>
          <w:color w:val="000000" w:themeColor="text1"/>
          <w:kern w:val="0"/>
          <w:sz w:val="28"/>
          <w:szCs w:val="28"/>
        </w:rPr>
        <w:t>Methods</w:t>
      </w:r>
    </w:p>
    <w:p w14:paraId="5CFA10B2" w14:textId="01B358C2"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 xml:space="preserve">Patient </w:t>
      </w:r>
      <w:r w:rsidR="00922E2D" w:rsidRPr="00D36A3B">
        <w:rPr>
          <w:rFonts w:ascii="Arial" w:hAnsi="Arial" w:cs="Arial"/>
          <w:b/>
          <w:bCs/>
          <w:color w:val="000000" w:themeColor="text1"/>
          <w:kern w:val="0"/>
          <w:sz w:val="24"/>
          <w:szCs w:val="24"/>
        </w:rPr>
        <w:t>samples</w:t>
      </w:r>
    </w:p>
    <w:p w14:paraId="005F6A70" w14:textId="1027AADE"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This study retrospectively analyzed a cohort of 68 AITL cases diagnosed between 2012 and 2022 from the National Longitudinal Cohort of Hematological Diseases (NICHE) at the Institute of Hematology &amp; Blood Disease Hospital (CAMS &amp; PUMC) and Zhejiang Cancer Hospital. Clinical and laboratory data were retrieved from bone marrow and peripheral blood stem cell registries maintained at these centers. Eligible patients had undergone tissue biopsy confirming AITL diagnosis, and possessed sufficient tissue, peripheral blood, and/or serum samples required for the experimental analyses.</w:t>
      </w:r>
    </w:p>
    <w:p w14:paraId="271D4643" w14:textId="02C37D32" w:rsidR="00AF6FD1" w:rsidRPr="00D36A3B" w:rsidRDefault="00AF6FD1" w:rsidP="00AF6FD1">
      <w:pPr>
        <w:spacing w:line="360" w:lineRule="auto"/>
        <w:rPr>
          <w:rFonts w:ascii="Arial" w:hAnsi="Arial" w:cs="Arial"/>
          <w:color w:val="000000" w:themeColor="text1"/>
          <w:kern w:val="0"/>
          <w:sz w:val="24"/>
          <w:szCs w:val="24"/>
        </w:rPr>
      </w:pPr>
    </w:p>
    <w:p w14:paraId="032F0B8F" w14:textId="6FB92EAD" w:rsidR="00AF6FD1" w:rsidRPr="00D36A3B" w:rsidRDefault="00AF6FD1" w:rsidP="00AF6FD1">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AITL patient stratification</w:t>
      </w:r>
    </w:p>
    <w:p w14:paraId="1E1E9818" w14:textId="2778DF47" w:rsidR="002C3DD3" w:rsidRPr="00D36A3B" w:rsidRDefault="002C3DD3" w:rsidP="00AF6FD1">
      <w:pPr>
        <w:spacing w:line="360" w:lineRule="auto"/>
        <w:rPr>
          <w:rFonts w:ascii="Arial" w:hAnsi="Arial" w:cs="Arial"/>
          <w:color w:val="000000" w:themeColor="text1"/>
          <w:kern w:val="0"/>
          <w:sz w:val="24"/>
          <w:szCs w:val="24"/>
          <w:lang w:val="en-CN"/>
        </w:rPr>
      </w:pPr>
      <w:bookmarkStart w:id="0" w:name="OLE_LINK11"/>
      <w:bookmarkStart w:id="1" w:name="OLE_LINK12"/>
      <w:bookmarkStart w:id="2" w:name="OLE_LINK15"/>
      <w:r w:rsidRPr="00D36A3B">
        <w:rPr>
          <w:rFonts w:ascii="Arial" w:hAnsi="Arial" w:cs="Arial"/>
          <w:color w:val="000000" w:themeColor="text1"/>
          <w:kern w:val="0"/>
          <w:sz w:val="24"/>
          <w:szCs w:val="24"/>
          <w:lang w:val="en-CN"/>
        </w:rPr>
        <w:t xml:space="preserve">The AITL cohort (n = 68) was stratified into three subtypes using immunoglobulin (IG) gene rearrangement analysis of involved lymph nodes, </w:t>
      </w:r>
      <w:r w:rsidR="00A830D9" w:rsidRPr="00D36A3B">
        <w:rPr>
          <w:rFonts w:ascii="Arial" w:hAnsi="Arial" w:cs="Arial"/>
          <w:color w:val="000000" w:themeColor="text1"/>
          <w:kern w:val="0"/>
          <w:sz w:val="24"/>
          <w:szCs w:val="24"/>
          <w:lang w:val="en-CN"/>
        </w:rPr>
        <w:t>combined</w:t>
      </w:r>
      <w:r w:rsidRPr="00D36A3B">
        <w:rPr>
          <w:rFonts w:ascii="Arial" w:hAnsi="Arial" w:cs="Arial"/>
          <w:color w:val="000000" w:themeColor="text1"/>
          <w:kern w:val="0"/>
          <w:sz w:val="24"/>
          <w:szCs w:val="24"/>
          <w:lang w:val="en-CN"/>
        </w:rPr>
        <w:t xml:space="preserve"> with bone marrow flow cytometry performed at diagnosis. IG gene rearrangement assays were conducted on pathological sections of the involved lymph nodes and analyzed by capillary electrophoresis. Based on these results, </w:t>
      </w:r>
      <w:r w:rsidR="00A830D9" w:rsidRPr="00D36A3B">
        <w:rPr>
          <w:rFonts w:ascii="Arial" w:hAnsi="Arial" w:cs="Arial"/>
          <w:color w:val="000000" w:themeColor="text1"/>
          <w:kern w:val="0"/>
          <w:sz w:val="24"/>
          <w:szCs w:val="24"/>
          <w:lang w:val="en-CN"/>
        </w:rPr>
        <w:t xml:space="preserve">68 AITL </w:t>
      </w:r>
      <w:r w:rsidRPr="00D36A3B">
        <w:rPr>
          <w:rFonts w:ascii="Arial" w:hAnsi="Arial" w:cs="Arial"/>
          <w:color w:val="000000" w:themeColor="text1"/>
          <w:kern w:val="0"/>
          <w:sz w:val="24"/>
          <w:szCs w:val="24"/>
          <w:lang w:val="en-CN"/>
        </w:rPr>
        <w:t xml:space="preserve">cases were </w:t>
      </w:r>
      <w:r w:rsidR="00A830D9" w:rsidRPr="00D36A3B">
        <w:rPr>
          <w:rFonts w:ascii="Arial" w:hAnsi="Arial" w:cs="Arial"/>
          <w:color w:val="000000" w:themeColor="text1"/>
          <w:kern w:val="0"/>
          <w:sz w:val="24"/>
          <w:szCs w:val="24"/>
        </w:rPr>
        <w:t xml:space="preserve">classified </w:t>
      </w:r>
      <w:r w:rsidR="00A830D9" w:rsidRPr="00D36A3B">
        <w:rPr>
          <w:rFonts w:ascii="Arial" w:hAnsi="Arial" w:cs="Arial" w:hint="eastAsia"/>
          <w:color w:val="000000" w:themeColor="text1"/>
          <w:kern w:val="0"/>
          <w:sz w:val="24"/>
          <w:szCs w:val="24"/>
        </w:rPr>
        <w:t>into the following three subtypes</w:t>
      </w:r>
      <w:r w:rsidRPr="00D36A3B">
        <w:rPr>
          <w:rFonts w:ascii="Arial" w:hAnsi="Arial" w:cs="Arial"/>
          <w:color w:val="000000" w:themeColor="text1"/>
          <w:kern w:val="0"/>
          <w:sz w:val="24"/>
          <w:szCs w:val="24"/>
          <w:lang w:val="en-CN"/>
        </w:rPr>
        <w:t>: subtype A (n = 47), defined by the presence of monoclonal T</w:t>
      </w:r>
      <w:r w:rsidRPr="00D36A3B">
        <w:rPr>
          <w:rFonts w:ascii="Cambria Math" w:hAnsi="Cambria Math" w:cs="Cambria Math"/>
          <w:color w:val="000000" w:themeColor="text1"/>
          <w:kern w:val="0"/>
          <w:sz w:val="24"/>
          <w:szCs w:val="24"/>
          <w:lang w:val="en-CN"/>
        </w:rPr>
        <w:t>‑</w:t>
      </w:r>
      <w:r w:rsidRPr="00D36A3B">
        <w:rPr>
          <w:rFonts w:ascii="Arial" w:hAnsi="Arial" w:cs="Arial"/>
          <w:color w:val="000000" w:themeColor="text1"/>
          <w:kern w:val="0"/>
          <w:sz w:val="24"/>
          <w:szCs w:val="24"/>
          <w:lang w:val="en-CN"/>
        </w:rPr>
        <w:t>cell populations only; subtype B (n = 19), exhibiting clonal IG gene rearrangements; and subtype C (n = 2), showing both monoclonal B cells and plasma cells.</w:t>
      </w:r>
    </w:p>
    <w:bookmarkEnd w:id="0"/>
    <w:bookmarkEnd w:id="1"/>
    <w:bookmarkEnd w:id="2"/>
    <w:p w14:paraId="290DC872" w14:textId="71B8B5AB" w:rsidR="00AC2014" w:rsidRPr="00D36A3B" w:rsidRDefault="00AC2014" w:rsidP="00AF6FD1">
      <w:pPr>
        <w:spacing w:line="360" w:lineRule="auto"/>
        <w:rPr>
          <w:rFonts w:ascii="Arial" w:hAnsi="Arial" w:cs="Arial"/>
          <w:color w:val="000000" w:themeColor="text1"/>
          <w:kern w:val="0"/>
          <w:sz w:val="24"/>
          <w:szCs w:val="24"/>
        </w:rPr>
      </w:pPr>
    </w:p>
    <w:p w14:paraId="561E55A2" w14:textId="19634362" w:rsidR="006D15DC" w:rsidRPr="00D36A3B" w:rsidRDefault="006D15DC" w:rsidP="00AF6FD1">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Clinical features and treatment of patients in subtype C</w:t>
      </w:r>
    </w:p>
    <w:p w14:paraId="44FCE18E" w14:textId="2E493FD9" w:rsidR="006D15DC" w:rsidRPr="00D36A3B" w:rsidRDefault="006D15DC" w:rsidP="00AF6FD1">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lang w:val="en-CN"/>
        </w:rPr>
        <w:t xml:space="preserve">In this study, we report on two male patients diagnosed with subtype C of AITL at ages 58 and 65. Both patients presented with superficial lymphadenopathy, B symptoms, and </w:t>
      </w:r>
      <w:r w:rsidRPr="00D36A3B">
        <w:rPr>
          <w:rFonts w:ascii="Arial" w:hAnsi="Arial" w:cs="Arial"/>
          <w:color w:val="000000" w:themeColor="text1"/>
          <w:kern w:val="0"/>
          <w:sz w:val="24"/>
          <w:szCs w:val="24"/>
        </w:rPr>
        <w:t>decreased hemoglobin levels</w:t>
      </w:r>
      <w:r w:rsidRPr="00D36A3B">
        <w:rPr>
          <w:rFonts w:ascii="Arial" w:hAnsi="Arial" w:cs="Arial"/>
          <w:color w:val="000000" w:themeColor="text1"/>
          <w:kern w:val="0"/>
          <w:sz w:val="24"/>
          <w:szCs w:val="24"/>
          <w:lang w:val="en-CN"/>
        </w:rPr>
        <w:t xml:space="preserve">, </w:t>
      </w:r>
      <w:r w:rsidRPr="00D36A3B">
        <w:rPr>
          <w:rFonts w:ascii="Arial" w:hAnsi="Arial" w:cs="Arial"/>
          <w:color w:val="000000" w:themeColor="text1"/>
          <w:kern w:val="0"/>
          <w:sz w:val="24"/>
          <w:szCs w:val="24"/>
        </w:rPr>
        <w:t xml:space="preserve">EBV infected </w:t>
      </w:r>
      <w:r w:rsidRPr="00D36A3B">
        <w:rPr>
          <w:rFonts w:ascii="Arial" w:hAnsi="Arial" w:cs="Arial"/>
          <w:color w:val="000000" w:themeColor="text1"/>
          <w:kern w:val="0"/>
          <w:sz w:val="24"/>
          <w:szCs w:val="24"/>
          <w:lang w:val="en-CN"/>
        </w:rPr>
        <w:t xml:space="preserve">and were classified as Ann Arbor stage IV, with International Prognostic Index (IPI) scores of 2 and 3, and T-cell lymphoma Prognostic Index (PIT) scores of 2 and 3. </w:t>
      </w:r>
      <w:r w:rsidRPr="00D36A3B">
        <w:rPr>
          <w:rFonts w:ascii="Arial" w:hAnsi="Arial" w:cs="Arial"/>
          <w:color w:val="000000" w:themeColor="text1"/>
          <w:kern w:val="0"/>
          <w:sz w:val="24"/>
          <w:szCs w:val="24"/>
        </w:rPr>
        <w:t xml:space="preserve">Patient C01 received first-line treatment with epigenetic drugs and immunomodulators, including chidamide combined with lenalidomide and dexamethasone, followed by a more intensive regimen with rituximab, bortezomib, and additional cycles of lenalidomide and dexamethasone. After achieving complete remission, he underwent autologous hematopoietic stem cell transplantation </w:t>
      </w:r>
      <w:r w:rsidRPr="00D36A3B">
        <w:rPr>
          <w:rFonts w:ascii="Arial" w:hAnsi="Arial" w:cs="Arial"/>
          <w:color w:val="000000" w:themeColor="text1"/>
          <w:kern w:val="0"/>
          <w:sz w:val="24"/>
          <w:szCs w:val="24"/>
        </w:rPr>
        <w:lastRenderedPageBreak/>
        <w:t xml:space="preserve">(ASCT). Unfortunately, he experienced rapid disease recurrence and progression post-transplant, ultimately resulting in death after unsuccessful salvage therapy; his progression-free survival (PFS) was 15.1 months, and overall survival (OS) was 16.8 months. Patient C02 was treated with a different combination of epigenetic and targeted therapies: rituximab, azacitidine and chidamide, followed by bortezomib in subsequent cycles. His best efficacy evaluation was stable disease (SD), with a PFS of only 3 months and an OS of 7.3 months. </w:t>
      </w:r>
    </w:p>
    <w:p w14:paraId="4BF7A4D3" w14:textId="77777777" w:rsidR="006D15DC" w:rsidRPr="00D36A3B" w:rsidRDefault="006D15DC" w:rsidP="00AF6FD1">
      <w:pPr>
        <w:spacing w:line="360" w:lineRule="auto"/>
        <w:rPr>
          <w:rFonts w:ascii="Arial" w:hAnsi="Arial" w:cs="Arial"/>
          <w:color w:val="000000" w:themeColor="text1"/>
          <w:kern w:val="0"/>
          <w:sz w:val="24"/>
          <w:szCs w:val="24"/>
        </w:rPr>
      </w:pPr>
    </w:p>
    <w:p w14:paraId="27F5BC14"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 xml:space="preserve">Sample collection and cell sorting </w:t>
      </w:r>
    </w:p>
    <w:p w14:paraId="193D1872"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Bone marrow mononuclear cells (BMNCs) were collected from seven newly diagnosed AITL patients. For three of these patients, additional BMNC samples were taken during disease remission and relapse (A01, A02 and C01 patients). Peripheral blood mononuclear cells (PBMNCs) were obtained from C01 AITL patient at both diagnosis and relapse. A fresh lymph node sample was also collected from C01 patient at diagnosis. BMNCs and PBMNCs were isolated using Ficoll density-gradient centrifugation. Fresh lymph node tissue was mechanically dissociated, centrifuged, stained with DAPI, and viable single-nucleated cells were sorted by flow cytometry.</w:t>
      </w:r>
    </w:p>
    <w:p w14:paraId="57DF8456" w14:textId="77777777" w:rsidR="00A5183A" w:rsidRPr="00D36A3B" w:rsidRDefault="00A5183A" w:rsidP="00A5183A">
      <w:pPr>
        <w:spacing w:line="360" w:lineRule="auto"/>
        <w:rPr>
          <w:rFonts w:ascii="Arial" w:hAnsi="Arial" w:cs="Arial"/>
          <w:color w:val="000000" w:themeColor="text1"/>
          <w:kern w:val="0"/>
          <w:sz w:val="24"/>
          <w:szCs w:val="24"/>
        </w:rPr>
      </w:pPr>
    </w:p>
    <w:p w14:paraId="34E4B68D"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scRNA-seq library construction and sequencing</w:t>
      </w:r>
    </w:p>
    <w:p w14:paraId="453C1ADC"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Upon thawing from liquid nitrogen, viable cells isolated from bone marrow, peripheral blood, or lymph nodes were processed using the 10x Genomics Chromium platform, targeting the recovery of approximately 8,000 cells in accordance with the manufacturer’s protocol. Subsequently, gene expression and paired V(D)J libraries were prepared employing the Chromium GEM-X Single Cell 5' Reagent Kits v3. The constructed libraries were then subjected to high-throughput sequencing on an Illumina NovaSeq 6000 system, generating 150 bp paired-end reads, at Novogene Co., Ltd (Beijing, China).</w:t>
      </w:r>
    </w:p>
    <w:p w14:paraId="2DDF4962" w14:textId="77777777" w:rsidR="00A5183A" w:rsidRPr="00D36A3B" w:rsidRDefault="00A5183A" w:rsidP="00A5183A">
      <w:pPr>
        <w:spacing w:line="360" w:lineRule="auto"/>
        <w:rPr>
          <w:rFonts w:ascii="Arial" w:hAnsi="Arial" w:cs="Arial"/>
          <w:color w:val="000000" w:themeColor="text1"/>
          <w:kern w:val="0"/>
          <w:sz w:val="24"/>
          <w:szCs w:val="24"/>
        </w:rPr>
      </w:pPr>
    </w:p>
    <w:p w14:paraId="6A0EF7CF"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scRNA-seq data processing and batch correction</w:t>
      </w:r>
    </w:p>
    <w:p w14:paraId="5B45BDC7"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 xml:space="preserve">Raw sequencing data were processed using </w:t>
      </w:r>
      <w:r w:rsidRPr="00D36A3B">
        <w:rPr>
          <w:rFonts w:ascii="Arial" w:hAnsi="Arial" w:cs="Arial"/>
          <w:i/>
          <w:iCs/>
          <w:color w:val="000000" w:themeColor="text1"/>
          <w:kern w:val="0"/>
          <w:sz w:val="24"/>
          <w:szCs w:val="24"/>
        </w:rPr>
        <w:t>Cell Ranger</w:t>
      </w:r>
      <w:r w:rsidRPr="00D36A3B">
        <w:rPr>
          <w:rFonts w:ascii="Arial" w:hAnsi="Arial" w:cs="Arial"/>
          <w:color w:val="000000" w:themeColor="text1"/>
          <w:kern w:val="0"/>
          <w:sz w:val="24"/>
          <w:szCs w:val="24"/>
        </w:rPr>
        <w:t xml:space="preserve"> (v7.0) aligned to the GRCh38 human reference genome. Initial quality control was performed using the </w:t>
      </w:r>
      <w:r w:rsidRPr="00D36A3B">
        <w:rPr>
          <w:rFonts w:ascii="Arial" w:hAnsi="Arial" w:cs="Arial"/>
          <w:i/>
          <w:iCs/>
          <w:color w:val="000000" w:themeColor="text1"/>
          <w:kern w:val="0"/>
          <w:sz w:val="24"/>
          <w:szCs w:val="24"/>
        </w:rPr>
        <w:t>Seurat</w:t>
      </w:r>
      <w:r w:rsidRPr="00D36A3B">
        <w:rPr>
          <w:rFonts w:ascii="Arial" w:hAnsi="Arial" w:cs="Arial"/>
          <w:color w:val="000000" w:themeColor="text1"/>
          <w:kern w:val="0"/>
          <w:sz w:val="24"/>
          <w:szCs w:val="24"/>
        </w:rPr>
        <w:t xml:space="preserve"> R package, followed by doublet removal via </w:t>
      </w:r>
      <w:r w:rsidRPr="00D36A3B">
        <w:rPr>
          <w:rFonts w:ascii="Arial" w:hAnsi="Arial" w:cs="Arial"/>
          <w:i/>
          <w:iCs/>
          <w:color w:val="000000" w:themeColor="text1"/>
          <w:kern w:val="0"/>
          <w:sz w:val="24"/>
          <w:szCs w:val="24"/>
        </w:rPr>
        <w:t>Scrublet</w:t>
      </w:r>
      <w:r w:rsidRPr="00D36A3B">
        <w:rPr>
          <w:rFonts w:ascii="Arial" w:hAnsi="Arial" w:cs="Arial"/>
          <w:color w:val="000000" w:themeColor="text1"/>
          <w:kern w:val="0"/>
          <w:sz w:val="24"/>
          <w:szCs w:val="24"/>
        </w:rPr>
        <w:t xml:space="preserve">. To mitigate batch effects across </w:t>
      </w:r>
      <w:r w:rsidRPr="00D36A3B">
        <w:rPr>
          <w:rFonts w:ascii="Arial" w:hAnsi="Arial" w:cs="Arial"/>
          <w:color w:val="000000" w:themeColor="text1"/>
          <w:kern w:val="0"/>
          <w:sz w:val="24"/>
          <w:szCs w:val="24"/>
        </w:rPr>
        <w:lastRenderedPageBreak/>
        <w:t>scRNA-seq datasets from different AITL patients, we applied Seurat’s “</w:t>
      </w:r>
      <w:r w:rsidRPr="00D36A3B">
        <w:rPr>
          <w:rFonts w:ascii="Arial" w:hAnsi="Arial" w:cs="Arial"/>
          <w:i/>
          <w:iCs/>
          <w:color w:val="000000" w:themeColor="text1"/>
          <w:kern w:val="0"/>
          <w:sz w:val="24"/>
          <w:szCs w:val="24"/>
        </w:rPr>
        <w:t>FindIntegrationAnchors</w:t>
      </w:r>
      <w:r w:rsidRPr="00D36A3B">
        <w:rPr>
          <w:rFonts w:ascii="Arial" w:hAnsi="Arial" w:cs="Arial"/>
          <w:color w:val="000000" w:themeColor="text1"/>
          <w:kern w:val="0"/>
          <w:sz w:val="24"/>
          <w:szCs w:val="24"/>
        </w:rPr>
        <w:t>” and “</w:t>
      </w:r>
      <w:r w:rsidRPr="00D36A3B">
        <w:rPr>
          <w:rFonts w:ascii="Arial" w:hAnsi="Arial" w:cs="Arial"/>
          <w:i/>
          <w:iCs/>
          <w:color w:val="000000" w:themeColor="text1"/>
          <w:kern w:val="0"/>
          <w:sz w:val="24"/>
          <w:szCs w:val="24"/>
        </w:rPr>
        <w:t>IntegrateData</w:t>
      </w:r>
      <w:r w:rsidRPr="00D36A3B">
        <w:rPr>
          <w:rFonts w:ascii="Arial" w:hAnsi="Arial" w:cs="Arial"/>
          <w:color w:val="000000" w:themeColor="text1"/>
          <w:kern w:val="0"/>
          <w:sz w:val="24"/>
          <w:szCs w:val="24"/>
        </w:rPr>
        <w:t xml:space="preserve">” functions, enabling robust cross-sample integration.  </w:t>
      </w:r>
    </w:p>
    <w:p w14:paraId="1D8E659E" w14:textId="77777777" w:rsidR="00A5183A" w:rsidRPr="00D36A3B" w:rsidRDefault="00A5183A" w:rsidP="00A5183A">
      <w:pPr>
        <w:spacing w:line="360" w:lineRule="auto"/>
        <w:rPr>
          <w:rFonts w:ascii="Arial" w:hAnsi="Arial" w:cs="Arial"/>
          <w:color w:val="000000" w:themeColor="text1"/>
          <w:kern w:val="0"/>
          <w:sz w:val="24"/>
          <w:szCs w:val="24"/>
        </w:rPr>
      </w:pPr>
    </w:p>
    <w:p w14:paraId="7ADD2E92"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 xml:space="preserve">Dimensionality reduction, clustering, and visualization </w:t>
      </w:r>
    </w:p>
    <w:p w14:paraId="12507E85"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 xml:space="preserve">In lieu of conventional principal component analysis (PCA), we employed non-negative matrix factorization (NMF) for dimensionality reduction, implemented via the </w:t>
      </w:r>
      <w:r w:rsidRPr="00D36A3B">
        <w:rPr>
          <w:rFonts w:ascii="Arial" w:hAnsi="Arial" w:cs="Arial"/>
          <w:i/>
          <w:iCs/>
          <w:color w:val="000000" w:themeColor="text1"/>
          <w:kern w:val="0"/>
          <w:sz w:val="24"/>
          <w:szCs w:val="24"/>
        </w:rPr>
        <w:t xml:space="preserve">STutility </w:t>
      </w:r>
      <w:r w:rsidRPr="00D36A3B">
        <w:rPr>
          <w:rFonts w:ascii="Arial" w:hAnsi="Arial" w:cs="Arial"/>
          <w:color w:val="000000" w:themeColor="text1"/>
          <w:kern w:val="0"/>
          <w:sz w:val="24"/>
          <w:szCs w:val="24"/>
        </w:rPr>
        <w:t xml:space="preserve">R package while preserving embedding identities. Uniform manifold approximation and projection (UMAP) was subsequently applied using Seurat for cluster visualization. A secondary NMF clustering analysis was conducted on T cells, malignant cells, and monocytes to delineate subtype- and stage-specific population dynamics across AITL patients, comparing cell proportions among diagnostic, remission, and relapse phases.  </w:t>
      </w:r>
    </w:p>
    <w:p w14:paraId="351261F3" w14:textId="77777777" w:rsidR="00A5183A" w:rsidRPr="00D36A3B" w:rsidRDefault="00A5183A" w:rsidP="00A5183A">
      <w:pPr>
        <w:spacing w:line="360" w:lineRule="auto"/>
        <w:rPr>
          <w:rFonts w:ascii="Arial" w:hAnsi="Arial" w:cs="Arial"/>
          <w:color w:val="000000" w:themeColor="text1"/>
          <w:kern w:val="0"/>
          <w:sz w:val="24"/>
          <w:szCs w:val="24"/>
        </w:rPr>
      </w:pPr>
    </w:p>
    <w:p w14:paraId="1D447282"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 xml:space="preserve">Cell type annotation and marker gene analysis  </w:t>
      </w:r>
    </w:p>
    <w:p w14:paraId="65E9A6C9"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 xml:space="preserve">Subclusters within each major cell population were annotated using manually curated marker genes derived from prior studies and clinical diagnostic panels. Average expression values were Z-score normalized, enabling cell type classification based on differential marker expression patterns.  </w:t>
      </w:r>
    </w:p>
    <w:p w14:paraId="4FB06AC0" w14:textId="77777777" w:rsidR="00A5183A" w:rsidRPr="00D36A3B" w:rsidRDefault="00A5183A" w:rsidP="00A5183A">
      <w:pPr>
        <w:spacing w:line="360" w:lineRule="auto"/>
        <w:rPr>
          <w:rFonts w:ascii="Arial" w:hAnsi="Arial" w:cs="Arial"/>
          <w:color w:val="000000" w:themeColor="text1"/>
          <w:kern w:val="0"/>
          <w:sz w:val="24"/>
          <w:szCs w:val="24"/>
        </w:rPr>
      </w:pPr>
    </w:p>
    <w:p w14:paraId="3DFC19A6"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 xml:space="preserve">Constrained NMF for gene expression program identification </w:t>
      </w:r>
    </w:p>
    <w:p w14:paraId="0B70BD3D"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 xml:space="preserve">To elucidate cell type-specific transcriptional programs, we extracted the full count matrix from the </w:t>
      </w:r>
      <w:r w:rsidRPr="00D36A3B">
        <w:rPr>
          <w:rFonts w:ascii="Arial" w:hAnsi="Arial" w:cs="Arial"/>
          <w:i/>
          <w:iCs/>
          <w:color w:val="000000" w:themeColor="text1"/>
          <w:kern w:val="0"/>
          <w:sz w:val="24"/>
          <w:szCs w:val="24"/>
        </w:rPr>
        <w:t>SingleCellExperiment</w:t>
      </w:r>
      <w:r w:rsidRPr="00D36A3B">
        <w:rPr>
          <w:rFonts w:ascii="Arial" w:hAnsi="Arial" w:cs="Arial"/>
          <w:color w:val="000000" w:themeColor="text1"/>
          <w:kern w:val="0"/>
          <w:sz w:val="24"/>
          <w:szCs w:val="24"/>
        </w:rPr>
        <w:t xml:space="preserve"> (SCE) object using “</w:t>
      </w:r>
      <w:r w:rsidRPr="00D36A3B">
        <w:rPr>
          <w:rFonts w:ascii="Arial" w:hAnsi="Arial" w:cs="Arial"/>
          <w:i/>
          <w:iCs/>
          <w:color w:val="000000" w:themeColor="text1"/>
          <w:kern w:val="0"/>
          <w:sz w:val="24"/>
          <w:szCs w:val="24"/>
        </w:rPr>
        <w:t>GetAssayData</w:t>
      </w:r>
      <w:r w:rsidRPr="00D36A3B">
        <w:rPr>
          <w:rFonts w:ascii="Arial" w:hAnsi="Arial" w:cs="Arial"/>
          <w:color w:val="000000" w:themeColor="text1"/>
          <w:kern w:val="0"/>
          <w:sz w:val="24"/>
          <w:szCs w:val="24"/>
        </w:rPr>
        <w:t>” and “</w:t>
      </w:r>
      <w:proofErr w:type="gramStart"/>
      <w:r w:rsidRPr="00D36A3B">
        <w:rPr>
          <w:rFonts w:ascii="Arial" w:hAnsi="Arial" w:cs="Arial"/>
          <w:i/>
          <w:iCs/>
          <w:color w:val="000000" w:themeColor="text1"/>
          <w:kern w:val="0"/>
          <w:sz w:val="24"/>
          <w:szCs w:val="24"/>
        </w:rPr>
        <w:t>as.matrix</w:t>
      </w:r>
      <w:proofErr w:type="gramEnd"/>
      <w:r w:rsidRPr="00D36A3B">
        <w:rPr>
          <w:rFonts w:ascii="Arial" w:hAnsi="Arial" w:cs="Arial"/>
          <w:color w:val="000000" w:themeColor="text1"/>
          <w:kern w:val="0"/>
          <w:sz w:val="24"/>
          <w:szCs w:val="24"/>
        </w:rPr>
        <w:t xml:space="preserve">”. Constrained NMF (cNMF) was then applied to decompose expression programs, with the top 100 genes per program subjected to Gene Ontology (GO) and expression enrichment analyses.  </w:t>
      </w:r>
    </w:p>
    <w:p w14:paraId="69210DA4" w14:textId="77777777" w:rsidR="005C1A9D" w:rsidRPr="00D36A3B" w:rsidRDefault="005C1A9D" w:rsidP="00A5183A">
      <w:pPr>
        <w:spacing w:line="360" w:lineRule="auto"/>
        <w:rPr>
          <w:rFonts w:ascii="Arial" w:hAnsi="Arial" w:cs="Arial"/>
          <w:b/>
          <w:bCs/>
          <w:color w:val="000000" w:themeColor="text1"/>
          <w:kern w:val="0"/>
          <w:sz w:val="24"/>
          <w:szCs w:val="24"/>
        </w:rPr>
      </w:pPr>
    </w:p>
    <w:p w14:paraId="0A654220" w14:textId="77777777" w:rsidR="005C1A9D" w:rsidRPr="00D36A3B" w:rsidRDefault="005C1A9D" w:rsidP="005C1A9D">
      <w:pPr>
        <w:spacing w:line="360" w:lineRule="auto"/>
        <w:rPr>
          <w:rFonts w:ascii="Arial" w:hAnsi="Arial" w:cs="Arial"/>
          <w:b/>
          <w:bCs/>
          <w:color w:val="000000" w:themeColor="text1"/>
          <w:kern w:val="0"/>
          <w:sz w:val="24"/>
          <w:szCs w:val="24"/>
          <w:lang w:val="en-CN"/>
        </w:rPr>
      </w:pPr>
      <w:r w:rsidRPr="00D36A3B">
        <w:rPr>
          <w:rFonts w:ascii="Arial" w:hAnsi="Arial" w:cs="Arial"/>
          <w:b/>
          <w:bCs/>
          <w:color w:val="000000" w:themeColor="text1"/>
          <w:kern w:val="0"/>
          <w:sz w:val="24"/>
          <w:szCs w:val="24"/>
          <w:lang w:val="en-CN"/>
        </w:rPr>
        <w:t>Identification of lesion-, stage-, and subtype-specific cell populations and expression programs</w:t>
      </w:r>
    </w:p>
    <w:p w14:paraId="6A950874" w14:textId="17B01A76" w:rsidR="005C1A9D" w:rsidRPr="00D36A3B" w:rsidRDefault="005C1A9D" w:rsidP="00A5183A">
      <w:pPr>
        <w:spacing w:line="360" w:lineRule="auto"/>
        <w:rPr>
          <w:rFonts w:ascii="Arial" w:hAnsi="Arial" w:cs="Arial"/>
          <w:color w:val="000000" w:themeColor="text1"/>
          <w:kern w:val="0"/>
          <w:sz w:val="24"/>
          <w:szCs w:val="24"/>
          <w:lang w:val="en-CN"/>
        </w:rPr>
      </w:pPr>
      <w:r w:rsidRPr="00D36A3B">
        <w:rPr>
          <w:rFonts w:ascii="Arial" w:hAnsi="Arial" w:cs="Arial"/>
          <w:color w:val="000000" w:themeColor="text1"/>
          <w:kern w:val="0"/>
          <w:sz w:val="24"/>
          <w:szCs w:val="24"/>
          <w:lang w:val="en-CN"/>
        </w:rPr>
        <w:t xml:space="preserve">To characterize microenvironmental differences across lesions in AITL, we integrated scRNA-seq data from bone marrow, lymph node, and peripheral blood of patient C01 (Subtype C) and compared cellular distributions across these sites. To discover </w:t>
      </w:r>
      <w:r w:rsidRPr="00D36A3B">
        <w:rPr>
          <w:rFonts w:ascii="Arial" w:hAnsi="Arial" w:cs="Arial"/>
          <w:color w:val="000000" w:themeColor="text1"/>
          <w:kern w:val="0"/>
          <w:sz w:val="24"/>
          <w:szCs w:val="24"/>
          <w:lang w:val="en-CN"/>
        </w:rPr>
        <w:lastRenderedPageBreak/>
        <w:t>biomarkers associated with treatment response and relapse, we combined nine scRNA-seq samples of bone marrow from patients A01, A02, and C01 spanning diagnosis, remission, and relapse. We then performed longitudinal analyses of malignant cells, T cells, and monocytes across AITL subtypes. First, we identified cell types enriched in each subtype and clinical stage; next, we examined the gene expression programs defining the corresponding cell clusters. For example, in the malignant cells, we quantified relative abundances at the three clinical time points—diagnosis, remission, and relapse—across both subtypes.</w:t>
      </w:r>
    </w:p>
    <w:p w14:paraId="1A16C3C1" w14:textId="77777777" w:rsidR="006D15DC" w:rsidRPr="00D36A3B" w:rsidRDefault="006D15DC" w:rsidP="00A5183A">
      <w:pPr>
        <w:spacing w:line="360" w:lineRule="auto"/>
        <w:rPr>
          <w:rFonts w:ascii="Arial" w:hAnsi="Arial" w:cs="Arial"/>
          <w:color w:val="000000" w:themeColor="text1"/>
          <w:kern w:val="0"/>
          <w:sz w:val="24"/>
          <w:szCs w:val="24"/>
        </w:rPr>
      </w:pPr>
    </w:p>
    <w:p w14:paraId="6C33A60E"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Cell-cell communication network inference</w:t>
      </w:r>
    </w:p>
    <w:p w14:paraId="14764F04"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i/>
          <w:iCs/>
          <w:color w:val="000000" w:themeColor="text1"/>
          <w:kern w:val="0"/>
          <w:sz w:val="24"/>
          <w:szCs w:val="24"/>
        </w:rPr>
        <w:t>CellChat</w:t>
      </w:r>
      <w:r w:rsidRPr="00D36A3B">
        <w:rPr>
          <w:rFonts w:ascii="Arial" w:hAnsi="Arial" w:cs="Arial"/>
          <w:color w:val="000000" w:themeColor="text1"/>
          <w:kern w:val="0"/>
          <w:sz w:val="24"/>
          <w:szCs w:val="24"/>
        </w:rPr>
        <w:t xml:space="preserve"> was leveraged to infer intercellular signaling networks, with individual sample analyses followed by comparative assessment of interaction strength, pathway enrichment, and network topology across AITL subtypes and longitudinal stages.  </w:t>
      </w:r>
    </w:p>
    <w:p w14:paraId="19C1FD89" w14:textId="77777777" w:rsidR="00A5183A" w:rsidRPr="00D36A3B" w:rsidRDefault="00A5183A" w:rsidP="00A5183A">
      <w:pPr>
        <w:spacing w:line="360" w:lineRule="auto"/>
        <w:rPr>
          <w:rFonts w:ascii="Arial" w:hAnsi="Arial" w:cs="Arial"/>
          <w:color w:val="000000" w:themeColor="text1"/>
          <w:kern w:val="0"/>
          <w:sz w:val="24"/>
          <w:szCs w:val="24"/>
        </w:rPr>
      </w:pPr>
    </w:p>
    <w:p w14:paraId="42282345" w14:textId="77777777" w:rsidR="00A5183A" w:rsidRPr="00D36A3B" w:rsidRDefault="00A5183A" w:rsidP="00A5183A">
      <w:pPr>
        <w:spacing w:line="360" w:lineRule="auto"/>
        <w:rPr>
          <w:rFonts w:ascii="Arial" w:hAnsi="Arial" w:cs="Arial"/>
          <w:b/>
          <w:bCs/>
          <w:color w:val="000000" w:themeColor="text1"/>
          <w:kern w:val="0"/>
          <w:sz w:val="24"/>
          <w:szCs w:val="24"/>
        </w:rPr>
      </w:pPr>
      <w:r w:rsidRPr="00D36A3B">
        <w:rPr>
          <w:rFonts w:ascii="Arial" w:hAnsi="Arial" w:cs="Arial"/>
          <w:b/>
          <w:bCs/>
          <w:color w:val="000000" w:themeColor="text1"/>
          <w:kern w:val="0"/>
          <w:sz w:val="24"/>
          <w:szCs w:val="24"/>
        </w:rPr>
        <w:t xml:space="preserve">TCR and BCR clonal dynamics </w:t>
      </w:r>
      <w:proofErr w:type="gramStart"/>
      <w:r w:rsidRPr="00D36A3B">
        <w:rPr>
          <w:rFonts w:ascii="Arial" w:hAnsi="Arial" w:cs="Arial"/>
          <w:b/>
          <w:bCs/>
          <w:color w:val="000000" w:themeColor="text1"/>
          <w:kern w:val="0"/>
          <w:sz w:val="24"/>
          <w:szCs w:val="24"/>
        </w:rPr>
        <w:t>profiling</w:t>
      </w:r>
      <w:proofErr w:type="gramEnd"/>
      <w:r w:rsidRPr="00D36A3B">
        <w:rPr>
          <w:rFonts w:ascii="Arial" w:hAnsi="Arial" w:cs="Arial"/>
          <w:b/>
          <w:bCs/>
          <w:color w:val="000000" w:themeColor="text1"/>
          <w:kern w:val="0"/>
          <w:sz w:val="24"/>
          <w:szCs w:val="24"/>
        </w:rPr>
        <w:t xml:space="preserve"> </w:t>
      </w:r>
    </w:p>
    <w:p w14:paraId="18DDF83E" w14:textId="77777777" w:rsidR="00A5183A" w:rsidRPr="00D36A3B" w:rsidRDefault="00A5183A" w:rsidP="00A5183A">
      <w:pPr>
        <w:spacing w:line="360" w:lineRule="auto"/>
        <w:rPr>
          <w:rFonts w:ascii="Arial" w:hAnsi="Arial" w:cs="Arial"/>
          <w:color w:val="000000" w:themeColor="text1"/>
          <w:kern w:val="0"/>
          <w:sz w:val="24"/>
          <w:szCs w:val="24"/>
        </w:rPr>
      </w:pPr>
      <w:r w:rsidRPr="00D36A3B">
        <w:rPr>
          <w:rFonts w:ascii="Arial" w:hAnsi="Arial" w:cs="Arial"/>
          <w:color w:val="000000" w:themeColor="text1"/>
          <w:kern w:val="0"/>
          <w:sz w:val="24"/>
          <w:szCs w:val="24"/>
        </w:rPr>
        <w:t xml:space="preserve">Using </w:t>
      </w:r>
      <w:r w:rsidRPr="00D36A3B">
        <w:rPr>
          <w:rFonts w:ascii="Arial" w:hAnsi="Arial" w:cs="Arial"/>
          <w:i/>
          <w:iCs/>
          <w:color w:val="000000" w:themeColor="text1"/>
          <w:kern w:val="0"/>
          <w:sz w:val="24"/>
          <w:szCs w:val="24"/>
        </w:rPr>
        <w:t>scRepertoire</w:t>
      </w:r>
      <w:r w:rsidRPr="00D36A3B">
        <w:rPr>
          <w:rFonts w:ascii="Arial" w:hAnsi="Arial" w:cs="Arial"/>
          <w:color w:val="000000" w:themeColor="text1"/>
          <w:kern w:val="0"/>
          <w:sz w:val="24"/>
          <w:szCs w:val="24"/>
        </w:rPr>
        <w:t xml:space="preserve">, we reconstructed TCR and BCR clonotypes from paired V(D)J data. “combineTCR” and “combineBCR” aggregated clone lists per barcode, while “clonalQuant” and “clonalHomeostasis” quantified clonal diversity and distribution across AITL patients and disease stages.  </w:t>
      </w:r>
    </w:p>
    <w:p w14:paraId="332C1BC0" w14:textId="77777777" w:rsidR="00FB7F3D" w:rsidRPr="00D36A3B" w:rsidRDefault="00FB7F3D">
      <w:pPr>
        <w:rPr>
          <w:color w:val="000000" w:themeColor="text1"/>
        </w:rPr>
      </w:pPr>
    </w:p>
    <w:sectPr w:rsidR="00FB7F3D" w:rsidRPr="00D36A3B" w:rsidSect="00B641EB">
      <w:footerReference w:type="even" r:id="rId6"/>
      <w:footerReference w:type="default" r:id="rId7"/>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EF539" w14:textId="77777777" w:rsidR="00D11B4B" w:rsidRDefault="00D11B4B" w:rsidP="00B641EB">
      <w:r>
        <w:separator/>
      </w:r>
    </w:p>
  </w:endnote>
  <w:endnote w:type="continuationSeparator" w:id="0">
    <w:p w14:paraId="3EBDEC59" w14:textId="77777777" w:rsidR="00D11B4B" w:rsidRDefault="00D11B4B" w:rsidP="00B64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8155103"/>
      <w:docPartObj>
        <w:docPartGallery w:val="Page Numbers (Bottom of Page)"/>
        <w:docPartUnique/>
      </w:docPartObj>
    </w:sdtPr>
    <w:sdtContent>
      <w:p w14:paraId="616AFBB2" w14:textId="17797BD3" w:rsidR="00B641EB" w:rsidRDefault="00B641EB" w:rsidP="00C208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0726DE" w14:textId="77777777" w:rsidR="00B641EB" w:rsidRDefault="00B64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2751023"/>
      <w:docPartObj>
        <w:docPartGallery w:val="Page Numbers (Bottom of Page)"/>
        <w:docPartUnique/>
      </w:docPartObj>
    </w:sdtPr>
    <w:sdtContent>
      <w:p w14:paraId="1FA125FF" w14:textId="31DC535E" w:rsidR="00B641EB" w:rsidRDefault="00B641EB" w:rsidP="00C208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CF0FE2" w14:textId="77777777" w:rsidR="00B641EB" w:rsidRDefault="00B641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2A015" w14:textId="77777777" w:rsidR="00D11B4B" w:rsidRDefault="00D11B4B" w:rsidP="00B641EB">
      <w:r>
        <w:separator/>
      </w:r>
    </w:p>
  </w:footnote>
  <w:footnote w:type="continuationSeparator" w:id="0">
    <w:p w14:paraId="04C7FB77" w14:textId="77777777" w:rsidR="00D11B4B" w:rsidRDefault="00D11B4B" w:rsidP="00B64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83A"/>
    <w:rsid w:val="00006DC8"/>
    <w:rsid w:val="000128AB"/>
    <w:rsid w:val="00091D6B"/>
    <w:rsid w:val="000963EA"/>
    <w:rsid w:val="000C7D66"/>
    <w:rsid w:val="000E405E"/>
    <w:rsid w:val="00107A09"/>
    <w:rsid w:val="00110D4C"/>
    <w:rsid w:val="00123D8C"/>
    <w:rsid w:val="00132BD4"/>
    <w:rsid w:val="001343AA"/>
    <w:rsid w:val="0013778B"/>
    <w:rsid w:val="00191AB6"/>
    <w:rsid w:val="001A6359"/>
    <w:rsid w:val="001B37EA"/>
    <w:rsid w:val="001E32B5"/>
    <w:rsid w:val="001F093D"/>
    <w:rsid w:val="002149B0"/>
    <w:rsid w:val="00221498"/>
    <w:rsid w:val="0025034E"/>
    <w:rsid w:val="002522AD"/>
    <w:rsid w:val="00257D89"/>
    <w:rsid w:val="00270EFA"/>
    <w:rsid w:val="002804CD"/>
    <w:rsid w:val="00294604"/>
    <w:rsid w:val="002A47C6"/>
    <w:rsid w:val="002A6F10"/>
    <w:rsid w:val="002C3DD3"/>
    <w:rsid w:val="002D59D4"/>
    <w:rsid w:val="002D6600"/>
    <w:rsid w:val="002E27BA"/>
    <w:rsid w:val="003134DB"/>
    <w:rsid w:val="003205D4"/>
    <w:rsid w:val="003311E4"/>
    <w:rsid w:val="0036193C"/>
    <w:rsid w:val="00361D48"/>
    <w:rsid w:val="00380A5B"/>
    <w:rsid w:val="00383C96"/>
    <w:rsid w:val="003A005F"/>
    <w:rsid w:val="003A23AB"/>
    <w:rsid w:val="003F30BB"/>
    <w:rsid w:val="003F3D91"/>
    <w:rsid w:val="00415396"/>
    <w:rsid w:val="00426BB3"/>
    <w:rsid w:val="00440B5F"/>
    <w:rsid w:val="00442EAE"/>
    <w:rsid w:val="00444602"/>
    <w:rsid w:val="0045416B"/>
    <w:rsid w:val="00454AE7"/>
    <w:rsid w:val="00495FB0"/>
    <w:rsid w:val="004D3F7C"/>
    <w:rsid w:val="004D54E3"/>
    <w:rsid w:val="00512B56"/>
    <w:rsid w:val="00514D7C"/>
    <w:rsid w:val="00550248"/>
    <w:rsid w:val="005804F3"/>
    <w:rsid w:val="00585ADF"/>
    <w:rsid w:val="00595B70"/>
    <w:rsid w:val="005A6D95"/>
    <w:rsid w:val="005C1A9D"/>
    <w:rsid w:val="005D1463"/>
    <w:rsid w:val="005D21E5"/>
    <w:rsid w:val="00660C46"/>
    <w:rsid w:val="00672127"/>
    <w:rsid w:val="006A7DCE"/>
    <w:rsid w:val="006B51A6"/>
    <w:rsid w:val="006C7FA1"/>
    <w:rsid w:val="006D15DC"/>
    <w:rsid w:val="006E527E"/>
    <w:rsid w:val="006F4084"/>
    <w:rsid w:val="00710CC2"/>
    <w:rsid w:val="00742761"/>
    <w:rsid w:val="00751C26"/>
    <w:rsid w:val="00754696"/>
    <w:rsid w:val="00762C92"/>
    <w:rsid w:val="00782F51"/>
    <w:rsid w:val="00793C7D"/>
    <w:rsid w:val="007A51EA"/>
    <w:rsid w:val="007C1507"/>
    <w:rsid w:val="007E08AA"/>
    <w:rsid w:val="007E4397"/>
    <w:rsid w:val="007F74B0"/>
    <w:rsid w:val="00803E7F"/>
    <w:rsid w:val="0082087D"/>
    <w:rsid w:val="0082143A"/>
    <w:rsid w:val="00832FAC"/>
    <w:rsid w:val="008623AB"/>
    <w:rsid w:val="00871355"/>
    <w:rsid w:val="008B499C"/>
    <w:rsid w:val="008B599A"/>
    <w:rsid w:val="008C338B"/>
    <w:rsid w:val="008D4C2B"/>
    <w:rsid w:val="008E45C8"/>
    <w:rsid w:val="008F48C8"/>
    <w:rsid w:val="00922E2D"/>
    <w:rsid w:val="00943F6D"/>
    <w:rsid w:val="00957134"/>
    <w:rsid w:val="009600A9"/>
    <w:rsid w:val="009756F6"/>
    <w:rsid w:val="009B2B9C"/>
    <w:rsid w:val="009D375F"/>
    <w:rsid w:val="009D6BBC"/>
    <w:rsid w:val="00A04C17"/>
    <w:rsid w:val="00A174C3"/>
    <w:rsid w:val="00A2373A"/>
    <w:rsid w:val="00A24E99"/>
    <w:rsid w:val="00A31B0B"/>
    <w:rsid w:val="00A5183A"/>
    <w:rsid w:val="00A5334F"/>
    <w:rsid w:val="00A77EF4"/>
    <w:rsid w:val="00A830D9"/>
    <w:rsid w:val="00A9160D"/>
    <w:rsid w:val="00A93DB0"/>
    <w:rsid w:val="00AA14A7"/>
    <w:rsid w:val="00AC2014"/>
    <w:rsid w:val="00AF0EFA"/>
    <w:rsid w:val="00AF3062"/>
    <w:rsid w:val="00AF6FD1"/>
    <w:rsid w:val="00B043E0"/>
    <w:rsid w:val="00B24D10"/>
    <w:rsid w:val="00B3283B"/>
    <w:rsid w:val="00B60089"/>
    <w:rsid w:val="00B641EB"/>
    <w:rsid w:val="00BA4949"/>
    <w:rsid w:val="00BD3B1E"/>
    <w:rsid w:val="00BE718A"/>
    <w:rsid w:val="00BF01FF"/>
    <w:rsid w:val="00BF17B4"/>
    <w:rsid w:val="00C015E6"/>
    <w:rsid w:val="00C13894"/>
    <w:rsid w:val="00C4532B"/>
    <w:rsid w:val="00C56B66"/>
    <w:rsid w:val="00C64368"/>
    <w:rsid w:val="00C75988"/>
    <w:rsid w:val="00C8618C"/>
    <w:rsid w:val="00C92F35"/>
    <w:rsid w:val="00CA1CDF"/>
    <w:rsid w:val="00CB124C"/>
    <w:rsid w:val="00D11B4B"/>
    <w:rsid w:val="00D22DA7"/>
    <w:rsid w:val="00D27F8F"/>
    <w:rsid w:val="00D33E7D"/>
    <w:rsid w:val="00D36A3B"/>
    <w:rsid w:val="00D50621"/>
    <w:rsid w:val="00D71E1A"/>
    <w:rsid w:val="00D77B71"/>
    <w:rsid w:val="00D942CC"/>
    <w:rsid w:val="00D975DC"/>
    <w:rsid w:val="00DE76E6"/>
    <w:rsid w:val="00E14DAE"/>
    <w:rsid w:val="00E224F4"/>
    <w:rsid w:val="00E41C8A"/>
    <w:rsid w:val="00E42D58"/>
    <w:rsid w:val="00EA5825"/>
    <w:rsid w:val="00EB07DE"/>
    <w:rsid w:val="00ED6FB2"/>
    <w:rsid w:val="00EE4EDA"/>
    <w:rsid w:val="00F377CD"/>
    <w:rsid w:val="00F4328C"/>
    <w:rsid w:val="00F73AC9"/>
    <w:rsid w:val="00F8350C"/>
    <w:rsid w:val="00F9211B"/>
    <w:rsid w:val="00F95E67"/>
    <w:rsid w:val="00FB7F3D"/>
    <w:rsid w:val="00FC3E44"/>
    <w:rsid w:val="00FD0DD9"/>
    <w:rsid w:val="00FE27E5"/>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AA2DA90"/>
  <w15:chartTrackingRefBased/>
  <w15:docId w15:val="{99C58BB9-008A-F14A-B0CD-1CA53FEF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N"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3A"/>
    <w:pPr>
      <w:widowControl w:val="0"/>
      <w:jc w:val="both"/>
    </w:pPr>
    <w:rPr>
      <w:rFonts w:ascii="Times New Roman" w:eastAsia="SimSun" w:hAnsi="Times New Roman" w:cs="Times New Roman"/>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641EB"/>
    <w:pPr>
      <w:tabs>
        <w:tab w:val="center" w:pos="4680"/>
        <w:tab w:val="right" w:pos="9360"/>
      </w:tabs>
    </w:pPr>
  </w:style>
  <w:style w:type="character" w:customStyle="1" w:styleId="FooterChar">
    <w:name w:val="Footer Char"/>
    <w:basedOn w:val="DefaultParagraphFont"/>
    <w:link w:val="Footer"/>
    <w:uiPriority w:val="99"/>
    <w:rsid w:val="00B641EB"/>
    <w:rPr>
      <w:rFonts w:ascii="Times New Roman" w:eastAsia="SimSun" w:hAnsi="Times New Roman" w:cs="Times New Roman"/>
      <w:sz w:val="21"/>
      <w:szCs w:val="21"/>
      <w:lang w:val="en-US"/>
      <w14:ligatures w14:val="none"/>
    </w:rPr>
  </w:style>
  <w:style w:type="character" w:styleId="PageNumber">
    <w:name w:val="page number"/>
    <w:basedOn w:val="DefaultParagraphFont"/>
    <w:uiPriority w:val="99"/>
    <w:semiHidden/>
    <w:unhideWhenUsed/>
    <w:rsid w:val="00B641EB"/>
  </w:style>
  <w:style w:type="character" w:styleId="LineNumber">
    <w:name w:val="line number"/>
    <w:basedOn w:val="DefaultParagraphFont"/>
    <w:uiPriority w:val="99"/>
    <w:semiHidden/>
    <w:unhideWhenUsed/>
    <w:rsid w:val="00B64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523514">
      <w:bodyDiv w:val="1"/>
      <w:marLeft w:val="0"/>
      <w:marRight w:val="0"/>
      <w:marTop w:val="0"/>
      <w:marBottom w:val="0"/>
      <w:divBdr>
        <w:top w:val="none" w:sz="0" w:space="0" w:color="auto"/>
        <w:left w:val="none" w:sz="0" w:space="0" w:color="auto"/>
        <w:bottom w:val="none" w:sz="0" w:space="0" w:color="auto"/>
        <w:right w:val="none" w:sz="0" w:space="0" w:color="auto"/>
      </w:divBdr>
    </w:div>
    <w:div w:id="706562666">
      <w:bodyDiv w:val="1"/>
      <w:marLeft w:val="0"/>
      <w:marRight w:val="0"/>
      <w:marTop w:val="0"/>
      <w:marBottom w:val="0"/>
      <w:divBdr>
        <w:top w:val="none" w:sz="0" w:space="0" w:color="auto"/>
        <w:left w:val="none" w:sz="0" w:space="0" w:color="auto"/>
        <w:bottom w:val="none" w:sz="0" w:space="0" w:color="auto"/>
        <w:right w:val="none" w:sz="0" w:space="0" w:color="auto"/>
      </w:divBdr>
    </w:div>
    <w:div w:id="1760103844">
      <w:bodyDiv w:val="1"/>
      <w:marLeft w:val="0"/>
      <w:marRight w:val="0"/>
      <w:marTop w:val="0"/>
      <w:marBottom w:val="0"/>
      <w:divBdr>
        <w:top w:val="none" w:sz="0" w:space="0" w:color="auto"/>
        <w:left w:val="none" w:sz="0" w:space="0" w:color="auto"/>
        <w:bottom w:val="none" w:sz="0" w:space="0" w:color="auto"/>
        <w:right w:val="none" w:sz="0" w:space="0" w:color="auto"/>
      </w:divBdr>
    </w:div>
    <w:div w:id="1890604698">
      <w:bodyDiv w:val="1"/>
      <w:marLeft w:val="0"/>
      <w:marRight w:val="0"/>
      <w:marTop w:val="0"/>
      <w:marBottom w:val="0"/>
      <w:divBdr>
        <w:top w:val="none" w:sz="0" w:space="0" w:color="auto"/>
        <w:left w:val="none" w:sz="0" w:space="0" w:color="auto"/>
        <w:bottom w:val="none" w:sz="0" w:space="0" w:color="auto"/>
        <w:right w:val="none" w:sz="0" w:space="0" w:color="auto"/>
      </w:divBdr>
    </w:div>
    <w:div w:id="194912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Jiapei Yuan</dc:creator>
  <cp:keywords/>
  <dc:description/>
  <cp:lastModifiedBy>Jiapei Yuan</cp:lastModifiedBy>
  <cp:revision>12</cp:revision>
  <dcterms:created xsi:type="dcterms:W3CDTF">2025-11-09T02:06:00Z</dcterms:created>
  <dcterms:modified xsi:type="dcterms:W3CDTF">2026-02-08T05:14:00Z</dcterms:modified>
</cp:coreProperties>
</file>