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16164E">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b/>
          <w:bCs/>
          <w:sz w:val="24"/>
          <w:lang w:val="en-US" w:eastAsia="zh-CN"/>
        </w:rPr>
      </w:pPr>
      <w:r>
        <w:rPr>
          <w:rFonts w:hint="eastAsia" w:ascii="Times New Roman" w:hAnsi="Times New Roman" w:cs="Times New Roman"/>
          <w:b/>
          <w:bCs/>
          <w:sz w:val="24"/>
          <w:lang w:val="en-US" w:eastAsia="zh-CN"/>
        </w:rPr>
        <w:t>Supplementary materials and methods</w:t>
      </w:r>
    </w:p>
    <w:p w14:paraId="670E67B6">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kern w:val="0"/>
          <w:sz w:val="24"/>
          <w14:ligatures w14:val="standardContextual"/>
        </w:rPr>
      </w:pPr>
      <w:r>
        <w:rPr>
          <w:rFonts w:hint="eastAsia" w:ascii="Times New Roman" w:hAnsi="Times New Roman" w:cs="Times New Roman"/>
          <w:b/>
          <w:bCs/>
          <w:sz w:val="24"/>
        </w:rPr>
        <w:t>Isolation of BM CD45</w:t>
      </w:r>
      <w:r>
        <w:rPr>
          <w:rFonts w:hint="eastAsia" w:ascii="Times New Roman" w:hAnsi="Times New Roman" w:cs="Times New Roman"/>
          <w:b/>
          <w:bCs/>
          <w:sz w:val="24"/>
          <w:vertAlign w:val="superscript"/>
        </w:rPr>
        <w:t>+</w:t>
      </w:r>
      <w:r>
        <w:rPr>
          <w:rFonts w:hint="eastAsia" w:ascii="Times New Roman" w:hAnsi="Times New Roman" w:cs="Times New Roman"/>
          <w:b/>
          <w:bCs/>
          <w:sz w:val="24"/>
        </w:rPr>
        <w:t xml:space="preserve"> immune cells from healthy control and AIHA patients</w:t>
      </w:r>
      <w:r>
        <w:rPr>
          <w:rFonts w:hint="eastAsia" w:ascii="Times New Roman" w:hAnsi="Times New Roman" w:cs="Times New Roman"/>
          <w:b/>
          <w:bCs/>
          <w:sz w:val="24"/>
          <w:lang w:val="en-US" w:eastAsia="zh-CN"/>
        </w:rPr>
        <w:t xml:space="preserve">. </w:t>
      </w:r>
      <w:r>
        <w:rPr>
          <w:rFonts w:hint="default" w:ascii="Times New Roman" w:hAnsi="Times New Roman" w:cs="Times New Roman"/>
          <w:kern w:val="0"/>
          <w:sz w:val="24"/>
          <w14:ligatures w14:val="standardContextual"/>
        </w:rPr>
        <w:t>BM mononuclear cells (BMMCs) were collected from healthy donors and AIHA patients. Cells were resuspended in 50 µL of phosphate-buffered saline (PBS) containing 2% fetal bovine serum (FBS) and 2 mM EDTA, then incubated with human CD45 microbeads (Miltenyi Biotec, Cat#:130-045-801) on ice in the dark for 30 min. After washing, CD45⁺ immune cells were positively selected using LS columns following the manufacturer’s instructions.</w:t>
      </w:r>
    </w:p>
    <w:p w14:paraId="3CCA00E7">
      <w:pPr>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cs="Times New Roman"/>
          <w:kern w:val="0"/>
          <w:sz w:val="24"/>
          <w14:ligatures w14:val="standardContextual"/>
        </w:rPr>
      </w:pPr>
      <w:r>
        <w:rPr>
          <w:rFonts w:ascii="Times New Roman" w:hAnsi="Times New Roman" w:cs="Times New Roman"/>
          <w:b/>
          <w:bCs/>
          <w:sz w:val="24"/>
        </w:rPr>
        <w:t>Preparation of single-cell suspension</w:t>
      </w:r>
      <w:r>
        <w:rPr>
          <w:rFonts w:hint="eastAsia" w:ascii="Times New Roman" w:hAnsi="Times New Roman" w:cs="Times New Roman"/>
          <w:b/>
          <w:bCs/>
          <w:sz w:val="24"/>
        </w:rPr>
        <w:t xml:space="preserve"> from human</w:t>
      </w:r>
      <w:r>
        <w:rPr>
          <w:rFonts w:hint="eastAsia" w:ascii="Times New Roman" w:hAnsi="Times New Roman" w:cs="Times New Roman"/>
          <w:b/>
          <w:bCs/>
          <w:sz w:val="24"/>
          <w:lang w:val="en-US" w:eastAsia="zh-CN"/>
        </w:rPr>
        <w:t>,</w:t>
      </w:r>
      <w:r>
        <w:rPr>
          <w:rFonts w:ascii="Times New Roman" w:hAnsi="Times New Roman" w:cs="Times New Roman"/>
          <w:b/>
          <w:bCs/>
          <w:sz w:val="24"/>
        </w:rPr>
        <w:t xml:space="preserve">mouse </w:t>
      </w:r>
      <w:r>
        <w:rPr>
          <w:rFonts w:hint="eastAsia" w:ascii="Times New Roman" w:hAnsi="Times New Roman" w:cs="Times New Roman"/>
          <w:b/>
          <w:bCs/>
          <w:sz w:val="24"/>
        </w:rPr>
        <w:t>and rat</w:t>
      </w:r>
      <w:r>
        <w:rPr>
          <w:rFonts w:ascii="Times New Roman" w:hAnsi="Times New Roman" w:cs="Times New Roman"/>
          <w:b/>
          <w:bCs/>
          <w:sz w:val="24"/>
        </w:rPr>
        <w:t xml:space="preserve">. </w:t>
      </w:r>
      <w:r>
        <w:rPr>
          <w:rFonts w:hint="eastAsia" w:ascii="Times New Roman" w:hAnsi="Times New Roman" w:cs="Times New Roman"/>
          <w:kern w:val="0"/>
          <w:sz w:val="24"/>
          <w14:ligatures w14:val="standardContextual"/>
        </w:rPr>
        <w:t xml:space="preserve">For the isolation of BM, cells were flushed from the tibia and femur of mice using PBS supplemented with 2% FBS and 2 mM EDTA and subsequently passed through a 70 µm cell strainer into a 50 mL centrifuge tube containing cold PBS with 2% FBS and 2 mM EDTA. For spleen isolation, the freshly dissected organ was placed on a 70 µm cell strainer and gently crushed through the strainer into a 50 mL centrifuge tube containing the same cold buffer. The cell suspensions were then centrifuged at 300 </w:t>
      </w:r>
      <w:r>
        <w:rPr>
          <w:rFonts w:hint="default" w:ascii="Times New Roman" w:hAnsi="Times New Roman" w:cs="Times New Roman"/>
          <w:kern w:val="0"/>
          <w:sz w:val="24"/>
          <w14:ligatures w14:val="standardContextual"/>
        </w:rPr>
        <w:t>× g for 5 minutes at 4°C</w:t>
      </w:r>
      <w:r>
        <w:rPr>
          <w:rFonts w:hint="eastAsia" w:ascii="Times New Roman" w:hAnsi="Times New Roman" w:cs="Times New Roman"/>
          <w:kern w:val="0"/>
          <w:sz w:val="24"/>
          <w14:ligatures w14:val="standardContextual"/>
        </w:rPr>
        <w:t>. Following centrifugation, the cell pellet was resuspended in PBS with 2% FBS and 2 mM EDTA buffer for further processing.</w:t>
      </w:r>
    </w:p>
    <w:p w14:paraId="3C8AF59D">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ascii="Times New Roman" w:hAnsi="Times New Roman" w:cs="Times New Roman"/>
          <w:b/>
          <w:bCs/>
          <w:sz w:val="24"/>
        </w:rPr>
        <w:t>Flow cytometry assay</w:t>
      </w:r>
      <w:r>
        <w:rPr>
          <w:rFonts w:hint="eastAsia" w:ascii="Times New Roman" w:hAnsi="Times New Roman" w:cs="Times New Roman"/>
          <w:b/>
          <w:bCs/>
          <w:sz w:val="24"/>
          <w:lang w:val="en-US" w:eastAsia="zh-CN"/>
        </w:rPr>
        <w:t xml:space="preserve">. </w:t>
      </w:r>
      <w:r>
        <w:rPr>
          <w:rFonts w:ascii="Times New Roman" w:hAnsi="Times New Roman" w:cs="Times New Roman"/>
          <w:sz w:val="24"/>
        </w:rPr>
        <w:t>The flow cytometry strategy was assessed as we previously described.</w:t>
      </w:r>
      <w:r>
        <w:rPr>
          <w:rFonts w:ascii="Times New Roman" w:hAnsi="Times New Roman" w:cs="Times New Roman"/>
          <w:b/>
          <w:bCs/>
          <w:sz w:val="24"/>
        </w:rPr>
        <w:fldChar w:fldCharType="begin"/>
      </w:r>
      <w:r>
        <w:rPr>
          <w:rFonts w:ascii="Times New Roman" w:hAnsi="Times New Roman" w:cs="Times New Roman"/>
          <w:b/>
          <w:bCs/>
          <w:sz w:val="24"/>
        </w:rPr>
        <w:instrText xml:space="preserve"> ADDIN ZOTERO_ITEM CSL_CITATION {"citationID":"zIPlqhYn","properties":{"formattedCitation":"\\super [1,2]\\nosupersub{}","plainCitation":"[1,2]","noteIndex":0},"citationItems":[{"id":1410,"uris":["http://zotero.org/users/local/g1c9o22g/items/FHDJ5666"],"itemData":{"id":1410,"type":"article-journal","abstract":"The erythropoietin receptor (EpoR) has traditionally been thought of as an erythroid-specific gene. Notably, accumulating evidence suggests that EpoR is expressed well beyond erythroid cells. However, the expression of EpoR in non-erythroid cells has been controversial. In this study, we generated EpoR-tdTomato-Cre mice and used them to examine the expression of EpoR in tissue macrophages and hematopoietic cells. We show that in marked contrast to the previously available EpoR-eGFPcre mice, in which a very weak eGFP signal was detected in erythroid cells, tdTomato was readily detectable in both fetal liver (FL) and bone marrow (BM) erythroid cells at all developmental stages and exhibited dynamic changes during erythropoiesis. Consistent with our recent finding that erythroblastic island (EBI) macrophages are characterized by the expression of EpoR, tdTomato was readily detected in both FL and BM EBI macrophages. Moreover, tdTomato was also detected in subsets of hematopoietic stem cells, progenitors, megakaryocytes, and B cells in BM as well as in spleen red pulp macrophages and liver Kupffer cells. The expression of EpoR was further shown by the EpoR-tdTomato-Cre-mediated excision of the floxed STOP sequence. Importantly, EPO injection selectively promoted proliferation of the EpoR-expressing cells and induced erythroid lineage bias during hematopoiesis. Our findings imply broad roles for EPO/EpoR in hematopoiesis that warrant further investigation. The EpoR-tdTomato-Cre mouse line provides a powerful tool to facilitate future studies on EpoR expression and regulation in various non-hematopoietic cells and to conditionally manipulate gene expression in EpoR-expressing cells for functional studies.","container-title":"Blood","DOI":"10.1182/blood.2021011410","ISSN":"1528-0020","issue":"20","journalAbbreviation":"Blood","language":"eng","note":"PMID: 34098576\nPMCID: PMC8767788","page":"1986-1997","source":"PubMed","title":"EpoR-tdTomato-Cre mice enable identification of EpoR expression in subsets of tissue macrophages and hematopoietic cells","volume":"138","author":[{"family":"Zhang","given":"Huan"},{"family":"Wang","given":"Shihui"},{"family":"Liu","given":"Donghao"},{"family":"Gao","given":"Chengjie"},{"family":"Han","given":"Yongshuai"},{"family":"Guo","given":"Xinhua"},{"family":"Qu","given":"Xiaoli"},{"family":"Li","given":"Wei"},{"family":"Zhang","given":"Shijie"},{"family":"Geng","given":"Jingyu"},{"family":"Zhang","given":"Linlin"},{"family":"Mendelson","given":"Avital"},{"family":"Yazdanbakhsh","given":"Karina"},{"family":"Chen","given":"Lixiang"},{"family":"An","given":"Xiuli"}],"issued":{"date-parts":[["2021",11,18]]}},"label":"page"},{"id":1983,"uris":["http://zotero.org/users/local/g1c9o22g/items/M5XGQ7KT"],"itemData":{"id":1983,"type":"article-journal","abstract":"Anemia is a significant complication of chronic inflammation and may be related to dysregulated activities among erythroblastic island (EBI) macrophages. GM-CSF was reported to be upregulated and attracted as a therapeutic target in many inflammatory diseases. Among EBIs, we found that the GM-CSF receptor is preferentially and highly expressed among EBI macrophages but not among erythroblasts. GM-CSF treatment significantly decreases human EBI formation in vitro by decreasing the adhesion molecule expression of CD163. RNA-sequence analysis suggests that GM-CSF treatment impairs the supporting function of human EBI macrophages during erythropoiesis. GM-CSF treatment also polarizes human EBI macrophages from M2-like type to M1-like type. In addition, GM-CSF decreases mouse bone marrow (BM) erythroblasts as well as EBI macrophages, leading to a reduction in EBI numbers. In defining the molecular mechanism at work, we found that GM-CSF treatment significantly decreases the adhesion molecule expression of CD163 and Vcam1 in vivo. Importantly, GM-CSF treatment also decreases the phagocytosis rate of EBI macrophages in mouse BM as well as decreases the expression of the engulfment-related molecules Mertk, Axl, and Timd4. In addition, GM-CSF treatment polarizes mouse BM EBI macrophages from M2-like type to M1-like type. Thus, we document that GM-CSF impairs EBI formation in mice and humans. Our findings support that targeting GM-CSF or reprogramming EBI macrophages might be a novel strategy to treat anemia resulting from inflammatory diseases.","container-title":"Journal of Translational Medicine","DOI":"10.1186/s12967-021-03214-5","ISSN":"1479-5876","issue":"1","journalAbbreviation":"J Transl Med","language":"eng","note":"PMID: 34980171\nPMCID: PMC8721478","page":"11","source":"PubMed","title":"GM-CSF impairs erythropoiesis by disrupting erythroblastic island formation via macrophages","volume":"20","author":[{"family":"Cao","given":"Weijie"},{"family":"Fan","given":"Wenjuan"},{"family":"Wang","given":"Fang"},{"family":"Zhang","given":"Yinyin"},{"family":"Wu","given":"Guanghua"},{"family":"Shi","given":"Xiaojing"},{"family":"Shi","given":"Jian Xiang"},{"family":"Gao","given":"Fengcai"},{"family":"Yan","given":"Meimei"},{"family":"Guo","given":"Rong"},{"family":"Li","given":"Yingmei"},{"family":"Li","given":"Wei"},{"family":"Du","given":"Chunyan"},{"family":"Jiang","given":"Zhongxing"}],"issued":{"date-parts":[["2022",1,3]]}},"label":"page"}],"schema":"https://github.com/citation-style-language/schema/raw/master/csl-citation.json"} </w:instrText>
      </w:r>
      <w:r>
        <w:rPr>
          <w:rFonts w:ascii="Times New Roman" w:hAnsi="Times New Roman" w:cs="Times New Roman"/>
          <w:b/>
          <w:bCs/>
          <w:sz w:val="24"/>
        </w:rPr>
        <w:fldChar w:fldCharType="separate"/>
      </w:r>
      <w:r>
        <w:rPr>
          <w:rFonts w:ascii="Times New Roman" w:hAnsi="Times New Roman" w:cs="Times New Roman"/>
          <w:kern w:val="0"/>
          <w:sz w:val="24"/>
          <w:vertAlign w:val="superscript"/>
        </w:rPr>
        <w:t>[1,2]</w:t>
      </w:r>
      <w:r>
        <w:rPr>
          <w:rFonts w:ascii="Times New Roman" w:hAnsi="Times New Roman" w:cs="Times New Roman"/>
          <w:b/>
          <w:bCs/>
          <w:sz w:val="24"/>
        </w:rPr>
        <w:fldChar w:fldCharType="end"/>
      </w:r>
      <w:r>
        <w:rPr>
          <w:rFonts w:ascii="Times New Roman" w:hAnsi="Times New Roman" w:cs="Times New Roman"/>
          <w:sz w:val="24"/>
        </w:rPr>
        <w:t xml:space="preserve"> Briefly, for mouse</w:t>
      </w:r>
      <w:r>
        <w:rPr>
          <w:rFonts w:hint="default" w:ascii="Times New Roman" w:hAnsi="Times New Roman" w:cs="Times New Roman"/>
          <w:sz w:val="24"/>
        </w:rPr>
        <w:t xml:space="preserve"> BFU-E and CFU-E staining, Cells were blocked with anti‑mouse CD16/CD32 (1:100) in PBS/0.5% BSA for 15 min. Surface staining was performed on ice in the dark for 30 min with the following antibodies (per 10⁶ cells): BV421‑Lineage (1 µL), BV421‑CD41 (1 µL), PE‑Cy7‑CD34 (1 µL), PE‑Cy7‑CD16/32 (1 µL), APC‑Cy7‑Scal‑1 (1 µL), APC‑c‑Kit (CD117, 1 µL), and PerCP‑Cy5.5‑CD71 (1 µL). For mouse erythroblast staining, Cells (per 10⁶ cells)</w:t>
      </w:r>
      <w:r>
        <w:rPr>
          <w:rFonts w:hint="default" w:ascii="Times New Roman" w:hAnsi="Times New Roman" w:cs="Times New Roman"/>
          <w:sz w:val="24"/>
          <w:lang w:val="en-US" w:eastAsia="zh-CN"/>
        </w:rPr>
        <w:t xml:space="preserve"> </w:t>
      </w:r>
      <w:r>
        <w:rPr>
          <w:rFonts w:hint="default" w:ascii="Times New Roman" w:hAnsi="Times New Roman" w:cs="Times New Roman"/>
          <w:sz w:val="24"/>
        </w:rPr>
        <w:t>were blocked with anti‑mouse CD16/CD32 (1:100) in PBS/0.5% BSA at 4 °C for 15 min, then stained on ice for 30 min with APC-Cy7 CD11b (0.5µL), APC-Cy7 Gr1 (0.5µL), APC-Cy7 CD45 (0.5µL), PE Ter119 (0.05µL), and APC CD44 (2µL) on ice for</w:t>
      </w:r>
      <w:r>
        <w:rPr>
          <w:rFonts w:ascii="Times New Roman" w:hAnsi="Times New Roman" w:cs="Times New Roman"/>
          <w:sz w:val="24"/>
        </w:rPr>
        <w:t xml:space="preserve"> 30 m</w:t>
      </w:r>
      <w:r>
        <w:rPr>
          <w:rFonts w:hint="default" w:ascii="Times New Roman" w:hAnsi="Times New Roman" w:cs="Times New Roman"/>
          <w:sz w:val="24"/>
        </w:rPr>
        <w:t>inutes. For mouse macrophage staining, BM cells (5×10</w:t>
      </w:r>
      <w:r>
        <w:rPr>
          <w:rFonts w:hint="default" w:ascii="Times New Roman" w:hAnsi="Times New Roman" w:cs="Times New Roman"/>
          <w:sz w:val="24"/>
          <w:vertAlign w:val="superscript"/>
        </w:rPr>
        <w:t>6</w:t>
      </w:r>
      <w:r>
        <w:rPr>
          <w:rFonts w:hint="default" w:ascii="Times New Roman" w:hAnsi="Times New Roman" w:cs="Times New Roman"/>
          <w:sz w:val="24"/>
        </w:rPr>
        <w:t xml:space="preserve"> cells) were blocked with anti‑mouse CD16/CD32 (1:100) in PBS/0.5% BSA/2 mM EDTA, then stained on ice in the dark for 30 min with BV421 Ly6G (0.4µL), AF647 F4/80 (0.8µL cells), Percp-Cy5.5 Ly6C (1µL), and APC-Cy7 CD11b (1µL) on ice in the dark for 30 minutes. Cells were washed once with PBS/0.5% BSA/2 mM EDTA and resuspended</w:t>
      </w:r>
      <w:r>
        <w:rPr>
          <w:rFonts w:hint="eastAsia" w:ascii="Times New Roman" w:hAnsi="Times New Roman" w:cs="Times New Roman"/>
          <w:sz w:val="24"/>
        </w:rPr>
        <w:t xml:space="preserve"> </w:t>
      </w:r>
      <w:r>
        <w:rPr>
          <w:rFonts w:hint="default" w:ascii="Times New Roman" w:hAnsi="Times New Roman" w:cs="Times New Roman"/>
          <w:sz w:val="24"/>
        </w:rPr>
        <w:t xml:space="preserve">in </w:t>
      </w:r>
      <w:r>
        <w:rPr>
          <w:rFonts w:hint="default" w:ascii="Times New Roman" w:hAnsi="Times New Roman" w:cs="Times New Roman"/>
          <w:sz w:val="24"/>
          <w:lang w:val="en-US" w:eastAsia="zh-CN"/>
        </w:rPr>
        <w:t>5</w:t>
      </w:r>
      <w:r>
        <w:rPr>
          <w:rFonts w:hint="default" w:ascii="Times New Roman" w:hAnsi="Times New Roman" w:cs="Times New Roman"/>
          <w:sz w:val="24"/>
        </w:rPr>
        <w:t>00 µL of the same buffer for analysis. Additional antibodies included PE‑Cy7‑Vcam1, BV605‑CD169, PE‑Cy7‑CD163, PE‑Cy7‑Mertk, PE‑Cy7‑Axl, and BV605‑Timd4 (all 1 µL/5×10⁶ cells). 7‑AAD or DAPI was used for viability discrimination. For Hmox1 staining, cells were fixed with 4% PFA for 15 min at RT, permeabilized with 0.2% Tween 20 for 10 min, and incubated with anti‑HMOX1 antibody (1 µL/5×10⁶ cells) followed by anti‑rabbit IgG Alexa Fluor 488 for 20 min.</w:t>
      </w:r>
    </w:p>
    <w:p w14:paraId="08537E63">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lang w:bidi="ar"/>
        </w:rPr>
      </w:pPr>
      <w:r>
        <w:rPr>
          <w:rFonts w:hint="default" w:ascii="Times New Roman" w:hAnsi="Times New Roman" w:cs="Times New Roman"/>
          <w:b w:val="0"/>
          <w:bCs w:val="0"/>
          <w:sz w:val="24"/>
          <w:lang w:bidi="ar"/>
        </w:rPr>
        <w:t xml:space="preserve">Rat flowcytometry: </w:t>
      </w:r>
      <w:r>
        <w:rPr>
          <w:rFonts w:hint="default" w:ascii="Times New Roman" w:hAnsi="Times New Roman" w:cs="Times New Roman"/>
          <w:sz w:val="24"/>
          <w:lang w:bidi="ar"/>
        </w:rPr>
        <w:t>were harvested from the hind legs of SD</w:t>
      </w:r>
      <w:r>
        <w:rPr>
          <w:rFonts w:hint="default" w:ascii="Times New Roman" w:hAnsi="Times New Roman" w:cs="Times New Roman"/>
          <w:sz w:val="24"/>
          <w:lang w:val="en-US" w:eastAsia="zh-CN" w:bidi="ar"/>
        </w:rPr>
        <w:t xml:space="preserve"> </w:t>
      </w:r>
      <w:r>
        <w:rPr>
          <w:rFonts w:hint="default" w:ascii="Times New Roman" w:hAnsi="Times New Roman" w:cs="Times New Roman"/>
          <w:sz w:val="24"/>
          <w:lang w:bidi="ar"/>
        </w:rPr>
        <w:t>rats. Single-cell suspensions were prepared by pipetting and passing through a 70 µm cell strainer (Fisher Scientific, 352340, NH, USA). The following antibodies were used for cell surface and intracellular staining, as previously described.</w:t>
      </w:r>
      <w:r>
        <w:rPr>
          <w:rFonts w:hint="default" w:ascii="Times New Roman" w:hAnsi="Times New Roman" w:cs="Times New Roman"/>
          <w:sz w:val="24"/>
          <w:lang w:bidi="ar"/>
        </w:rPr>
        <w:fldChar w:fldCharType="begin"/>
      </w:r>
      <w:r>
        <w:rPr>
          <w:rFonts w:hint="default" w:ascii="Times New Roman" w:hAnsi="Times New Roman" w:cs="Times New Roman"/>
          <w:sz w:val="24"/>
          <w:lang w:bidi="ar"/>
        </w:rPr>
        <w:instrText xml:space="preserve"> ADDIN ZOTERO_ITEM CSL_CITATION {"citationID":"DiDrSZW6","properties":{"formattedCitation":"\\super [3]\\nosupersub{}","plainCitation":"[3]","noteIndex":0},"citationItems":[{"id":2300,"uris":["http://zotero.org/users/local/g1c9o22g/items/IT4NIKWC"],"itemData":{"id":2300,"type":"article-journal","abstract":"Mouse models are widely used to study human erythropoiesis in vivo. One important caveat using mouse models is that mice often develop significant extramedullary erythropoiesis with anemia, which could mask important phenotypes. To overcome this drawback in mice, here we established in vitro and in vivo rat models for the studies of stress erythropoiesis. Using flow cytometry-based assays, we can monitor terminal erythropoiesis in rats during fetal and adult erythropoiesis under steady state and stress conditions. We used this system to test rat erythropoiesis under phenylhydrazine (PHZ)-induced hemolytic stress. In contrast to mice, rats did not have an increased proportion of early-stage erythroid precursors during terminal differentiation in the spleen or bone marrow. This could be explained by the abundant bone marrow spaces in rats that allow sufficient erythroid proliferation under stress. Consistently, the extent of splenomegaly in rats after PHZ treatment was significantly lower than that in mice. The level of BMP4, which was significantly increased in mouse spleen after PHZ treatment, remained unchanged in rat spleen. We further demonstrated that the bone marrow c-Kit positive progenitor population underwent a phenotype shift and became more CD71 positive and erythroid skewed with the expression of maturing erythroid markers under stress in rats and humans. In contrast, the phenotype shift to an erythroid-skewed progenitor population in mice occurred mainly in the spleen. Our study establishes rat in vitro and in vivo erythropoiesis models that are more appropriate and superior for the study of human stress erythropoiesis than mouse models.","container-title":"Experimental Hematology","DOI":"10.1016/j.exphem.2019.09.021","ISSN":"1873-2399","journalAbbreviation":"Exp Hematol","language":"eng","note":"PMID: 31562902\nPMCID: PMC6925535","page":"21-34.e3","source":"PubMed","title":"Rats provide a superior model of human stress erythropoiesis","volume":"78","author":[{"family":"Zhang","given":"Jingxin"},{"family":"Liu","given":"Yijie"},{"family":"Han","given":"Xu"},{"family":"Mei","given":"Yang"},{"family":"Yang","given":"Jing"},{"family":"Zhang","given":"Zheng J."},{"family":"Lu","given":"Xinyan"},{"family":"Ji","given":"Peng"}],"issued":{"date-parts":[["2019",10]]}}}],"schema":"https://github.com/citation-style-language/schema/raw/master/csl-citation.json"} </w:instrText>
      </w:r>
      <w:r>
        <w:rPr>
          <w:rFonts w:hint="default" w:ascii="Times New Roman" w:hAnsi="Times New Roman" w:cs="Times New Roman"/>
          <w:sz w:val="24"/>
          <w:lang w:bidi="ar"/>
        </w:rPr>
        <w:fldChar w:fldCharType="separate"/>
      </w:r>
      <w:r>
        <w:rPr>
          <w:rFonts w:hint="default" w:ascii="Times New Roman" w:hAnsi="Times New Roman" w:cs="Times New Roman"/>
          <w:kern w:val="0"/>
          <w:sz w:val="24"/>
          <w:vertAlign w:val="superscript"/>
        </w:rPr>
        <w:t>[3]</w:t>
      </w:r>
      <w:r>
        <w:rPr>
          <w:rFonts w:hint="default" w:ascii="Times New Roman" w:hAnsi="Times New Roman" w:cs="Times New Roman"/>
          <w:sz w:val="24"/>
          <w:lang w:bidi="ar"/>
        </w:rPr>
        <w:fldChar w:fldCharType="end"/>
      </w:r>
      <w:r>
        <w:rPr>
          <w:rFonts w:hint="default" w:ascii="Times New Roman" w:hAnsi="Times New Roman" w:cs="Times New Roman"/>
          <w:sz w:val="24"/>
          <w:lang w:bidi="ar"/>
        </w:rPr>
        <w:t xml:space="preserve"> Briefly, for SD rat erythroblast staining, APC-CyTM7 mouse anti-Rat CD45, APC-conjugated anti-CD71, PE-conjugated anti-CD44H, and FITC-conjugated anti-HIS49 were used. Thereafter, </w:t>
      </w:r>
      <w:r>
        <w:rPr>
          <w:rFonts w:hint="default" w:ascii="Times New Roman" w:hAnsi="Times New Roman" w:cs="Times New Roman"/>
          <w:i/>
          <w:iCs/>
          <w:sz w:val="24"/>
          <w:lang w:bidi="ar"/>
        </w:rPr>
        <w:t>Epor</w:t>
      </w:r>
      <w:r>
        <w:rPr>
          <w:rFonts w:hint="default" w:ascii="Times New Roman" w:hAnsi="Times New Roman" w:cs="Times New Roman"/>
          <w:sz w:val="24"/>
          <w:lang w:bidi="ar"/>
        </w:rPr>
        <w:t xml:space="preserve">-eGFP-cre rat was used for SD rat macrophage staining, with the antibodies including RB705 mouse anti-rat CD163, BV421 mouse anti-rat CD11b/c , PE mouse anti-rat CD106 and AF647-conjugated anti-CD169. Cells were stained at room temperature in the dark for 20 minutes. Samples were run on a BD FACS Aria™ III, and Flow Jo was used to analyze the data. </w:t>
      </w:r>
    </w:p>
    <w:p w14:paraId="2C8D541B">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cs="Times New Roman"/>
          <w:sz w:val="24"/>
          <w:lang w:bidi="ar"/>
        </w:rPr>
      </w:pPr>
      <w:r>
        <w:rPr>
          <w:rFonts w:hint="default" w:ascii="Times New Roman" w:hAnsi="Times New Roman" w:cs="Times New Roman"/>
          <w:sz w:val="24"/>
          <w:lang w:bidi="ar"/>
        </w:rPr>
        <w:t xml:space="preserve">Human flowcytometry: </w:t>
      </w:r>
      <w:r>
        <w:rPr>
          <w:rFonts w:hint="default" w:ascii="Times New Roman" w:hAnsi="Times New Roman" w:cs="Times New Roman"/>
          <w:sz w:val="24"/>
        </w:rPr>
        <w:t>Human BM single cells were suspended in cold PBS/2% FBS/2mM EDTA at a concentration of 5×10</w:t>
      </w:r>
      <w:r>
        <w:rPr>
          <w:rFonts w:hint="default" w:ascii="Times New Roman" w:hAnsi="Times New Roman" w:cs="Times New Roman"/>
          <w:sz w:val="24"/>
          <w:vertAlign w:val="superscript"/>
        </w:rPr>
        <w:t>6</w:t>
      </w:r>
      <w:r>
        <w:rPr>
          <w:rFonts w:hint="default" w:ascii="Times New Roman" w:hAnsi="Times New Roman" w:cs="Times New Roman"/>
          <w:sz w:val="24"/>
        </w:rPr>
        <w:t xml:space="preserve"> cells per 100 μL and incubated with anti-human PE Cy7 CD45, anti-human Percp-Cy5.5 CD3, anti-human APC Cy7 CD4, anti-human PE CD19, anti-human PE CD56, anti-human FITC CD14, and anti-human APC CD163 antibodies on ice in the dark for 30 minutes. </w:t>
      </w:r>
      <w:r>
        <w:rPr>
          <w:rFonts w:hint="default" w:ascii="Times New Roman" w:hAnsi="Times New Roman" w:cs="Times New Roman"/>
          <w:sz w:val="24"/>
          <w:lang w:bidi="ar"/>
        </w:rPr>
        <w:t xml:space="preserve">Samples were run on a BD FACS Aria™ III, and Flow Jo was used to analyze the data. </w:t>
      </w:r>
    </w:p>
    <w:p w14:paraId="2E91209C">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lang w:bidi="ar"/>
        </w:rPr>
      </w:pPr>
      <w:r>
        <w:rPr>
          <w:rFonts w:hint="default" w:ascii="Times New Roman" w:hAnsi="Times New Roman" w:cs="Times New Roman"/>
          <w:b/>
          <w:bCs/>
          <w:sz w:val="24"/>
        </w:rPr>
        <w:t>FACS Sorting of BM CD163</w:t>
      </w:r>
      <w:r>
        <w:rPr>
          <w:rFonts w:hint="default" w:ascii="Times New Roman" w:hAnsi="Times New Roman" w:cs="Times New Roman"/>
          <w:b/>
          <w:bCs/>
          <w:sz w:val="24"/>
          <w:vertAlign w:val="superscript"/>
        </w:rPr>
        <w:t>+</w:t>
      </w:r>
      <w:r>
        <w:rPr>
          <w:rFonts w:hint="default" w:ascii="Times New Roman" w:hAnsi="Times New Roman" w:cs="Times New Roman"/>
          <w:b/>
          <w:bCs/>
          <w:sz w:val="24"/>
        </w:rPr>
        <w:t xml:space="preserve"> and CD163</w:t>
      </w:r>
      <w:r>
        <w:rPr>
          <w:rFonts w:hint="default" w:ascii="Times New Roman" w:hAnsi="Times New Roman" w:cs="Times New Roman"/>
          <w:b/>
          <w:bCs/>
          <w:sz w:val="24"/>
          <w:vertAlign w:val="superscript"/>
        </w:rPr>
        <w:t>-</w:t>
      </w:r>
      <w:r>
        <w:rPr>
          <w:rFonts w:hint="default" w:ascii="Times New Roman" w:hAnsi="Times New Roman" w:cs="Times New Roman"/>
          <w:b/>
          <w:bCs/>
          <w:sz w:val="24"/>
        </w:rPr>
        <w:t xml:space="preserve"> macrophages</w:t>
      </w:r>
      <w:r>
        <w:rPr>
          <w:rFonts w:hint="default" w:ascii="Times New Roman" w:hAnsi="Times New Roman" w:cs="Times New Roman"/>
          <w:b/>
          <w:bCs/>
          <w:sz w:val="24"/>
          <w:lang w:val="en-US" w:eastAsia="zh-CN"/>
        </w:rPr>
        <w:t xml:space="preserve">. </w:t>
      </w:r>
      <w:r>
        <w:rPr>
          <w:rFonts w:hint="default" w:ascii="Times New Roman" w:hAnsi="Times New Roman" w:eastAsia="宋体" w:cs="Times New Roman"/>
          <w:sz w:val="24"/>
          <w:lang w:bidi="ar"/>
        </w:rPr>
        <w:t>To isolate mouse BM CD163</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 xml:space="preserve"> and CD163</w:t>
      </w:r>
      <w:r>
        <w:rPr>
          <w:rFonts w:hint="default" w:ascii="Times New Roman" w:hAnsi="Times New Roman" w:eastAsia="宋体" w:cs="Times New Roman"/>
          <w:sz w:val="24"/>
          <w:vertAlign w:val="superscript"/>
          <w:lang w:bidi="ar"/>
        </w:rPr>
        <w:t xml:space="preserve">- </w:t>
      </w:r>
      <w:r>
        <w:rPr>
          <w:rFonts w:hint="default" w:ascii="Times New Roman" w:hAnsi="Times New Roman" w:eastAsia="宋体" w:cs="Times New Roman"/>
          <w:sz w:val="24"/>
          <w:lang w:bidi="ar"/>
        </w:rPr>
        <w:t>macrophages, BM single cells were suspended in cold PBS/2% FBS/2mM EDTA at a concentration of 5×10</w:t>
      </w:r>
      <w:r>
        <w:rPr>
          <w:rFonts w:hint="default" w:ascii="Times New Roman" w:hAnsi="Times New Roman" w:cs="Times New Roman"/>
          <w:sz w:val="24"/>
          <w:vertAlign w:val="superscript"/>
        </w:rPr>
        <w:t>^6</w:t>
      </w:r>
      <w:r>
        <w:rPr>
          <w:rFonts w:hint="default" w:ascii="Times New Roman" w:hAnsi="Times New Roman" w:eastAsia="宋体" w:cs="Times New Roman"/>
          <w:sz w:val="24"/>
          <w:lang w:bidi="ar"/>
        </w:rPr>
        <w:t xml:space="preserve"> cells per 100 μL and incubated with</w:t>
      </w:r>
      <w:r>
        <w:rPr>
          <w:rFonts w:hint="default" w:ascii="Times New Roman" w:hAnsi="Times New Roman" w:cs="Times New Roman"/>
          <w:sz w:val="24"/>
        </w:rPr>
        <w:t xml:space="preserve"> CD16/CD32, </w:t>
      </w:r>
      <w:r>
        <w:rPr>
          <w:rFonts w:hint="default" w:ascii="Times New Roman" w:hAnsi="Times New Roman" w:cs="Times New Roman"/>
          <w:sz w:val="24"/>
          <w:lang w:bidi="ar"/>
        </w:rPr>
        <w:t xml:space="preserve"> </w:t>
      </w:r>
      <w:r>
        <w:rPr>
          <w:rFonts w:hint="default" w:ascii="Times New Roman" w:hAnsi="Times New Roman" w:eastAsia="宋体" w:cs="Times New Roman"/>
          <w:sz w:val="24"/>
          <w:lang w:bidi="ar"/>
        </w:rPr>
        <w:t xml:space="preserve">Ly6G, </w:t>
      </w:r>
      <w:r>
        <w:rPr>
          <w:rFonts w:hint="default" w:ascii="Times New Roman" w:hAnsi="Times New Roman" w:cs="Times New Roman"/>
          <w:sz w:val="24"/>
        </w:rPr>
        <w:t>F4/80,</w:t>
      </w:r>
      <w:r>
        <w:rPr>
          <w:rFonts w:hint="default" w:ascii="Times New Roman" w:hAnsi="Times New Roman" w:cs="Times New Roman"/>
          <w:sz w:val="24"/>
          <w:lang w:bidi="ar"/>
        </w:rPr>
        <w:t xml:space="preserve"> and CD163 </w:t>
      </w:r>
      <w:r>
        <w:rPr>
          <w:rFonts w:hint="default" w:ascii="Times New Roman" w:hAnsi="Times New Roman" w:cs="Times New Roman"/>
          <w:sz w:val="24"/>
        </w:rPr>
        <w:t>antibodies on ice in the dark for 30 minutes</w:t>
      </w:r>
      <w:r>
        <w:rPr>
          <w:rFonts w:hint="default" w:ascii="Times New Roman" w:hAnsi="Times New Roman" w:eastAsia="宋体" w:cs="Times New Roman"/>
          <w:sz w:val="24"/>
          <w:lang w:bidi="ar"/>
        </w:rPr>
        <w:t>. CD163</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 xml:space="preserve"> cells were labeled Ly6G</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F4/80</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CD163</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w:t>
      </w:r>
      <w:r>
        <w:rPr>
          <w:rFonts w:hint="default" w:ascii="Times New Roman" w:hAnsi="Times New Roman" w:eastAsia="宋体" w:cs="Times New Roman"/>
          <w:sz w:val="24"/>
          <w:vertAlign w:val="superscript"/>
          <w:lang w:bidi="ar"/>
        </w:rPr>
        <w:t xml:space="preserve"> </w:t>
      </w:r>
      <w:r>
        <w:rPr>
          <w:rFonts w:hint="default" w:ascii="Times New Roman" w:hAnsi="Times New Roman" w:eastAsia="宋体" w:cs="Times New Roman"/>
          <w:sz w:val="24"/>
          <w:lang w:bidi="ar"/>
        </w:rPr>
        <w:t>while</w:t>
      </w:r>
      <w:r>
        <w:rPr>
          <w:rFonts w:hint="default" w:ascii="Times New Roman" w:hAnsi="Times New Roman" w:eastAsia="宋体" w:cs="Times New Roman"/>
          <w:sz w:val="24"/>
          <w:vertAlign w:val="superscript"/>
          <w:lang w:bidi="ar"/>
        </w:rPr>
        <w:t xml:space="preserve"> </w:t>
      </w:r>
      <w:r>
        <w:rPr>
          <w:rFonts w:hint="default" w:ascii="Times New Roman" w:hAnsi="Times New Roman" w:eastAsia="宋体" w:cs="Times New Roman"/>
          <w:sz w:val="24"/>
          <w:lang w:bidi="ar"/>
        </w:rPr>
        <w:t>CD163</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 xml:space="preserve"> cells were labeled Ly6G</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F4/80</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CD163</w:t>
      </w:r>
      <w:r>
        <w:rPr>
          <w:rFonts w:hint="default" w:ascii="Times New Roman" w:hAnsi="Times New Roman" w:eastAsia="宋体" w:cs="Times New Roman"/>
          <w:sz w:val="24"/>
          <w:vertAlign w:val="superscript"/>
          <w:lang w:bidi="ar"/>
        </w:rPr>
        <w:t>-</w:t>
      </w:r>
      <w:r>
        <w:rPr>
          <w:rFonts w:hint="default" w:ascii="Times New Roman" w:hAnsi="Times New Roman" w:eastAsia="宋体" w:cs="Times New Roman"/>
          <w:sz w:val="24"/>
          <w:lang w:bidi="ar"/>
        </w:rPr>
        <w:t xml:space="preserve">. </w:t>
      </w:r>
    </w:p>
    <w:p w14:paraId="109CC8AE">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hint="default" w:ascii="Times New Roman" w:hAnsi="Times New Roman" w:cs="Times New Roman"/>
          <w:sz w:val="24"/>
        </w:rPr>
        <w:t>Human BM single cells were suspended in cold PBS/2% FBS/2mM EDTA at a concentration of 5×10</w:t>
      </w:r>
      <w:r>
        <w:rPr>
          <w:rFonts w:hint="default" w:ascii="Times New Roman" w:hAnsi="Times New Roman" w:cs="Times New Roman"/>
          <w:sz w:val="24"/>
          <w:vertAlign w:val="superscript"/>
        </w:rPr>
        <w:t>6</w:t>
      </w:r>
      <w:r>
        <w:rPr>
          <w:rFonts w:hint="default" w:ascii="Times New Roman" w:hAnsi="Times New Roman" w:cs="Times New Roman"/>
          <w:sz w:val="24"/>
        </w:rPr>
        <w:t xml:space="preserve"> cells per 100 μL and incubated with CD45, CD3, CD4, CD19, CD56, CD14, and CD163 antibodies on ice in the dark for 30 minutes. CD163</w:t>
      </w:r>
      <w:r>
        <w:rPr>
          <w:rFonts w:hint="default" w:ascii="Times New Roman" w:hAnsi="Times New Roman" w:cs="Times New Roman"/>
          <w:sz w:val="24"/>
          <w:vertAlign w:val="superscript"/>
        </w:rPr>
        <w:t>+</w:t>
      </w:r>
      <w:r>
        <w:rPr>
          <w:rFonts w:hint="default" w:ascii="Times New Roman" w:hAnsi="Times New Roman" w:cs="Times New Roman"/>
          <w:sz w:val="24"/>
        </w:rPr>
        <w:t xml:space="preserve"> cells were labeled CD45</w:t>
      </w:r>
      <w:r>
        <w:rPr>
          <w:rFonts w:hint="default" w:ascii="Times New Roman" w:hAnsi="Times New Roman" w:cs="Times New Roman"/>
          <w:sz w:val="24"/>
          <w:vertAlign w:val="superscript"/>
        </w:rPr>
        <w:t>+</w:t>
      </w:r>
      <w:r>
        <w:rPr>
          <w:rFonts w:hint="default" w:ascii="Times New Roman" w:hAnsi="Times New Roman" w:cs="Times New Roman"/>
          <w:sz w:val="24"/>
        </w:rPr>
        <w:t>CD3</w:t>
      </w:r>
      <w:r>
        <w:rPr>
          <w:rFonts w:hint="default" w:ascii="Times New Roman" w:hAnsi="Times New Roman" w:cs="Times New Roman"/>
          <w:sz w:val="24"/>
          <w:vertAlign w:val="superscript"/>
        </w:rPr>
        <w:t>-</w:t>
      </w:r>
      <w:r>
        <w:rPr>
          <w:rFonts w:hint="default" w:ascii="Times New Roman" w:hAnsi="Times New Roman" w:cs="Times New Roman"/>
          <w:sz w:val="24"/>
        </w:rPr>
        <w:t>CD4</w:t>
      </w:r>
      <w:r>
        <w:rPr>
          <w:rFonts w:hint="default" w:ascii="Times New Roman" w:hAnsi="Times New Roman" w:cs="Times New Roman"/>
          <w:sz w:val="24"/>
          <w:vertAlign w:val="superscript"/>
        </w:rPr>
        <w:t>-</w:t>
      </w:r>
      <w:r>
        <w:rPr>
          <w:rFonts w:hint="default" w:ascii="Times New Roman" w:hAnsi="Times New Roman" w:cs="Times New Roman"/>
          <w:sz w:val="24"/>
        </w:rPr>
        <w:t>CD19</w:t>
      </w:r>
      <w:r>
        <w:rPr>
          <w:rFonts w:hint="default" w:ascii="Times New Roman" w:hAnsi="Times New Roman" w:cs="Times New Roman"/>
          <w:sz w:val="24"/>
          <w:vertAlign w:val="superscript"/>
        </w:rPr>
        <w:t>-</w:t>
      </w:r>
      <w:r>
        <w:rPr>
          <w:rFonts w:hint="default" w:ascii="Times New Roman" w:hAnsi="Times New Roman" w:cs="Times New Roman"/>
          <w:sz w:val="24"/>
        </w:rPr>
        <w:t>CD56</w:t>
      </w:r>
      <w:r>
        <w:rPr>
          <w:rFonts w:hint="default" w:ascii="Times New Roman" w:hAnsi="Times New Roman" w:cs="Times New Roman"/>
          <w:sz w:val="24"/>
          <w:vertAlign w:val="superscript"/>
        </w:rPr>
        <w:t>-</w:t>
      </w:r>
      <w:r>
        <w:rPr>
          <w:rFonts w:hint="default" w:ascii="Times New Roman" w:hAnsi="Times New Roman" w:cs="Times New Roman"/>
          <w:sz w:val="24"/>
        </w:rPr>
        <w:t>CD14</w:t>
      </w:r>
      <w:r>
        <w:rPr>
          <w:rFonts w:hint="default" w:ascii="Times New Roman" w:hAnsi="Times New Roman" w:cs="Times New Roman"/>
          <w:sz w:val="24"/>
          <w:vertAlign w:val="superscript"/>
        </w:rPr>
        <w:t>+</w:t>
      </w:r>
      <w:r>
        <w:rPr>
          <w:rFonts w:hint="default" w:ascii="Times New Roman" w:hAnsi="Times New Roman" w:cs="Times New Roman"/>
          <w:sz w:val="24"/>
        </w:rPr>
        <w:t>CD163</w:t>
      </w:r>
      <w:r>
        <w:rPr>
          <w:rFonts w:hint="default" w:ascii="Times New Roman" w:hAnsi="Times New Roman" w:cs="Times New Roman"/>
          <w:sz w:val="24"/>
          <w:vertAlign w:val="superscript"/>
        </w:rPr>
        <w:t>+</w:t>
      </w:r>
      <w:r>
        <w:rPr>
          <w:rFonts w:hint="default" w:ascii="Times New Roman" w:hAnsi="Times New Roman" w:cs="Times New Roman"/>
          <w:sz w:val="24"/>
        </w:rPr>
        <w:t>, and CD163</w:t>
      </w:r>
      <w:r>
        <w:rPr>
          <w:rFonts w:hint="default" w:ascii="Times New Roman" w:hAnsi="Times New Roman" w:cs="Times New Roman"/>
          <w:sz w:val="24"/>
          <w:vertAlign w:val="superscript"/>
        </w:rPr>
        <w:t>-</w:t>
      </w:r>
      <w:r>
        <w:rPr>
          <w:rFonts w:hint="default" w:ascii="Times New Roman" w:hAnsi="Times New Roman" w:cs="Times New Roman"/>
          <w:sz w:val="24"/>
        </w:rPr>
        <w:t xml:space="preserve"> cells were labeled CD45</w:t>
      </w:r>
      <w:r>
        <w:rPr>
          <w:rFonts w:hint="default" w:ascii="Times New Roman" w:hAnsi="Times New Roman" w:cs="Times New Roman"/>
          <w:sz w:val="24"/>
          <w:vertAlign w:val="superscript"/>
        </w:rPr>
        <w:t>+</w:t>
      </w:r>
      <w:r>
        <w:rPr>
          <w:rFonts w:hint="default" w:ascii="Times New Roman" w:hAnsi="Times New Roman" w:cs="Times New Roman"/>
          <w:sz w:val="24"/>
        </w:rPr>
        <w:t>CD3</w:t>
      </w:r>
      <w:r>
        <w:rPr>
          <w:rFonts w:hint="default" w:ascii="Times New Roman" w:hAnsi="Times New Roman" w:cs="Times New Roman"/>
          <w:sz w:val="24"/>
          <w:vertAlign w:val="superscript"/>
        </w:rPr>
        <w:t>-</w:t>
      </w:r>
      <w:r>
        <w:rPr>
          <w:rFonts w:hint="default" w:ascii="Times New Roman" w:hAnsi="Times New Roman" w:cs="Times New Roman"/>
          <w:sz w:val="24"/>
        </w:rPr>
        <w:t>CD4</w:t>
      </w:r>
      <w:r>
        <w:rPr>
          <w:rFonts w:hint="default" w:ascii="Times New Roman" w:hAnsi="Times New Roman" w:cs="Times New Roman"/>
          <w:sz w:val="24"/>
          <w:vertAlign w:val="superscript"/>
        </w:rPr>
        <w:t>-</w:t>
      </w:r>
      <w:r>
        <w:rPr>
          <w:rFonts w:hint="default" w:ascii="Times New Roman" w:hAnsi="Times New Roman" w:cs="Times New Roman"/>
          <w:sz w:val="24"/>
        </w:rPr>
        <w:t>CD19</w:t>
      </w:r>
      <w:r>
        <w:rPr>
          <w:rFonts w:hint="default" w:ascii="Times New Roman" w:hAnsi="Times New Roman" w:cs="Times New Roman"/>
          <w:sz w:val="24"/>
          <w:vertAlign w:val="superscript"/>
        </w:rPr>
        <w:t>-</w:t>
      </w:r>
      <w:r>
        <w:rPr>
          <w:rFonts w:hint="default" w:ascii="Times New Roman" w:hAnsi="Times New Roman" w:cs="Times New Roman"/>
          <w:sz w:val="24"/>
        </w:rPr>
        <w:t>CD56</w:t>
      </w:r>
      <w:r>
        <w:rPr>
          <w:rFonts w:hint="default" w:ascii="Times New Roman" w:hAnsi="Times New Roman" w:cs="Times New Roman"/>
          <w:sz w:val="24"/>
          <w:vertAlign w:val="superscript"/>
        </w:rPr>
        <w:t>-</w:t>
      </w:r>
      <w:r>
        <w:rPr>
          <w:rFonts w:hint="default" w:ascii="Times New Roman" w:hAnsi="Times New Roman" w:cs="Times New Roman"/>
          <w:sz w:val="24"/>
        </w:rPr>
        <w:t>CD14</w:t>
      </w:r>
      <w:r>
        <w:rPr>
          <w:rFonts w:hint="default" w:ascii="Times New Roman" w:hAnsi="Times New Roman" w:cs="Times New Roman"/>
          <w:sz w:val="24"/>
          <w:vertAlign w:val="superscript"/>
        </w:rPr>
        <w:t>+</w:t>
      </w:r>
      <w:r>
        <w:rPr>
          <w:rFonts w:hint="default" w:ascii="Times New Roman" w:hAnsi="Times New Roman" w:cs="Times New Roman"/>
          <w:sz w:val="24"/>
        </w:rPr>
        <w:t>CD163</w:t>
      </w:r>
      <w:r>
        <w:rPr>
          <w:rFonts w:hint="default" w:ascii="Times New Roman" w:hAnsi="Times New Roman" w:cs="Times New Roman"/>
          <w:sz w:val="24"/>
          <w:vertAlign w:val="superscript"/>
        </w:rPr>
        <w:t>-</w:t>
      </w:r>
      <w:r>
        <w:rPr>
          <w:rFonts w:hint="default" w:ascii="Times New Roman" w:hAnsi="Times New Roman" w:cs="Times New Roman"/>
          <w:sz w:val="24"/>
        </w:rPr>
        <w:t xml:space="preserve">. </w:t>
      </w:r>
    </w:p>
    <w:p w14:paraId="69B7BAC9">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cs="Times New Roman"/>
          <w:sz w:val="24"/>
        </w:rPr>
      </w:pPr>
      <w:r>
        <w:rPr>
          <w:rFonts w:hint="default" w:ascii="Times New Roman" w:hAnsi="Times New Roman" w:cs="Times New Roman"/>
          <w:i/>
          <w:iCs/>
          <w:sz w:val="24"/>
        </w:rPr>
        <w:t>Epor</w:t>
      </w:r>
      <w:r>
        <w:rPr>
          <w:rFonts w:hint="default" w:ascii="Times New Roman" w:hAnsi="Times New Roman" w:cs="Times New Roman"/>
          <w:sz w:val="24"/>
        </w:rPr>
        <w:t>-eGFP-Cre rat BM single cells were suspended in cold PBS/2% FBS/2mM EDTA at a concentration of 5×10</w:t>
      </w:r>
      <w:r>
        <w:rPr>
          <w:rFonts w:hint="default" w:ascii="Times New Roman" w:hAnsi="Times New Roman" w:cs="Times New Roman"/>
          <w:sz w:val="24"/>
          <w:vertAlign w:val="superscript"/>
        </w:rPr>
        <w:t>6</w:t>
      </w:r>
      <w:r>
        <w:rPr>
          <w:rFonts w:hint="default" w:ascii="Times New Roman" w:hAnsi="Times New Roman" w:cs="Times New Roman"/>
          <w:sz w:val="24"/>
        </w:rPr>
        <w:t xml:space="preserve"> cells per 100 μL and incubated with CD45, CD163, and CD11b/c antibodies on ice in the dark for 30 minutes. CD163</w:t>
      </w:r>
      <w:r>
        <w:rPr>
          <w:rFonts w:hint="default" w:ascii="Times New Roman" w:hAnsi="Times New Roman" w:cs="Times New Roman"/>
          <w:sz w:val="24"/>
          <w:vertAlign w:val="superscript"/>
        </w:rPr>
        <w:t>+</w:t>
      </w:r>
      <w:r>
        <w:rPr>
          <w:rFonts w:hint="default" w:ascii="Times New Roman" w:hAnsi="Times New Roman" w:cs="Times New Roman"/>
          <w:sz w:val="24"/>
        </w:rPr>
        <w:t xml:space="preserve"> cells were labeled CD45</w:t>
      </w:r>
      <w:r>
        <w:rPr>
          <w:rFonts w:hint="default" w:ascii="Times New Roman" w:hAnsi="Times New Roman" w:cs="Times New Roman"/>
          <w:sz w:val="24"/>
          <w:vertAlign w:val="superscript"/>
        </w:rPr>
        <w:t>+</w:t>
      </w:r>
      <w:r>
        <w:rPr>
          <w:rFonts w:hint="default" w:ascii="Times New Roman" w:hAnsi="Times New Roman" w:cs="Times New Roman"/>
          <w:sz w:val="24"/>
        </w:rPr>
        <w:t>CD11b/c</w:t>
      </w:r>
      <w:r>
        <w:rPr>
          <w:rFonts w:hint="default" w:ascii="Times New Roman" w:hAnsi="Times New Roman" w:cs="Times New Roman"/>
          <w:sz w:val="24"/>
          <w:vertAlign w:val="superscript"/>
        </w:rPr>
        <w:t>+</w:t>
      </w:r>
      <w:r>
        <w:rPr>
          <w:rFonts w:hint="default" w:ascii="Times New Roman" w:hAnsi="Times New Roman" w:cs="Times New Roman"/>
          <w:sz w:val="24"/>
        </w:rPr>
        <w:t>Epor</w:t>
      </w:r>
      <w:r>
        <w:rPr>
          <w:rFonts w:hint="default" w:ascii="Times New Roman" w:hAnsi="Times New Roman" w:cs="Times New Roman"/>
          <w:sz w:val="24"/>
          <w:vertAlign w:val="superscript"/>
        </w:rPr>
        <w:t>+</w:t>
      </w:r>
      <w:r>
        <w:rPr>
          <w:rFonts w:hint="default" w:ascii="Times New Roman" w:hAnsi="Times New Roman" w:cs="Times New Roman"/>
          <w:sz w:val="24"/>
        </w:rPr>
        <w:t>CD163</w:t>
      </w:r>
      <w:r>
        <w:rPr>
          <w:rFonts w:hint="default" w:ascii="Times New Roman" w:hAnsi="Times New Roman" w:cs="Times New Roman"/>
          <w:sz w:val="24"/>
          <w:vertAlign w:val="superscript"/>
        </w:rPr>
        <w:t>+</w:t>
      </w:r>
      <w:r>
        <w:rPr>
          <w:rFonts w:hint="default" w:ascii="Times New Roman" w:hAnsi="Times New Roman" w:cs="Times New Roman"/>
          <w:sz w:val="24"/>
        </w:rPr>
        <w:t>, and CD163</w:t>
      </w:r>
      <w:r>
        <w:rPr>
          <w:rFonts w:hint="default" w:ascii="Times New Roman" w:hAnsi="Times New Roman" w:cs="Times New Roman"/>
          <w:sz w:val="24"/>
          <w:vertAlign w:val="superscript"/>
        </w:rPr>
        <w:t>-</w:t>
      </w:r>
      <w:r>
        <w:rPr>
          <w:rFonts w:hint="default" w:ascii="Times New Roman" w:hAnsi="Times New Roman" w:cs="Times New Roman"/>
          <w:sz w:val="24"/>
        </w:rPr>
        <w:t xml:space="preserve"> cells were labeled CD45</w:t>
      </w:r>
      <w:r>
        <w:rPr>
          <w:rFonts w:hint="default" w:ascii="Times New Roman" w:hAnsi="Times New Roman" w:cs="Times New Roman"/>
          <w:sz w:val="24"/>
          <w:vertAlign w:val="superscript"/>
        </w:rPr>
        <w:t>+</w:t>
      </w:r>
      <w:r>
        <w:rPr>
          <w:rFonts w:hint="default" w:ascii="Times New Roman" w:hAnsi="Times New Roman" w:cs="Times New Roman"/>
          <w:sz w:val="24"/>
        </w:rPr>
        <w:t>CD11b/c</w:t>
      </w:r>
      <w:r>
        <w:rPr>
          <w:rFonts w:hint="default" w:ascii="Times New Roman" w:hAnsi="Times New Roman" w:cs="Times New Roman"/>
          <w:sz w:val="24"/>
          <w:vertAlign w:val="superscript"/>
        </w:rPr>
        <w:t>+</w:t>
      </w:r>
      <w:r>
        <w:rPr>
          <w:rFonts w:hint="default" w:ascii="Times New Roman" w:hAnsi="Times New Roman" w:cs="Times New Roman"/>
          <w:sz w:val="24"/>
        </w:rPr>
        <w:t>Epor</w:t>
      </w:r>
      <w:r>
        <w:rPr>
          <w:rFonts w:hint="default" w:ascii="Times New Roman" w:hAnsi="Times New Roman" w:cs="Times New Roman"/>
          <w:sz w:val="24"/>
          <w:vertAlign w:val="superscript"/>
        </w:rPr>
        <w:t>+</w:t>
      </w:r>
      <w:r>
        <w:rPr>
          <w:rFonts w:hint="default" w:ascii="Times New Roman" w:hAnsi="Times New Roman" w:cs="Times New Roman"/>
          <w:sz w:val="24"/>
        </w:rPr>
        <w:t>CD163</w:t>
      </w:r>
      <w:r>
        <w:rPr>
          <w:rFonts w:hint="default" w:ascii="Times New Roman" w:hAnsi="Times New Roman" w:cs="Times New Roman"/>
          <w:sz w:val="24"/>
          <w:vertAlign w:val="superscript"/>
        </w:rPr>
        <w:t>-</w:t>
      </w:r>
      <w:r>
        <w:rPr>
          <w:rFonts w:hint="default" w:ascii="Times New Roman" w:hAnsi="Times New Roman" w:cs="Times New Roman"/>
          <w:sz w:val="24"/>
        </w:rPr>
        <w:t xml:space="preserve">. After staining and washing, the cells were suspended in PBS/2% FBS/2mM EDTA containing 7-AAD (1 µL/ml) on ice in the dark for 10 minutes. Finally, the cells were sorted with the use of a BD FACS Aria™ III cell </w:t>
      </w:r>
      <w:r>
        <w:rPr>
          <w:rFonts w:ascii="Times New Roman" w:hAnsi="Times New Roman" w:cs="Times New Roman"/>
          <w:sz w:val="24"/>
        </w:rPr>
        <w:t>sorter.</w:t>
      </w:r>
    </w:p>
    <w:p w14:paraId="3AE1639A">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hint="default" w:ascii="Times New Roman" w:hAnsi="Times New Roman" w:cs="Times New Roman"/>
          <w:b/>
          <w:bCs/>
          <w:sz w:val="24"/>
        </w:rPr>
        <w:t>Elisa assay</w:t>
      </w:r>
      <w:r>
        <w:rPr>
          <w:rFonts w:hint="eastAsia" w:ascii="Times New Roman" w:hAnsi="Times New Roman" w:cs="Times New Roman"/>
          <w:b/>
          <w:bCs/>
          <w:sz w:val="24"/>
          <w:lang w:val="en-US" w:eastAsia="zh-CN"/>
        </w:rPr>
        <w:t xml:space="preserve">. </w:t>
      </w:r>
      <w:r>
        <w:rPr>
          <w:rFonts w:hint="default" w:ascii="Times New Roman" w:hAnsi="Times New Roman" w:cs="Times New Roman"/>
          <w:sz w:val="24"/>
        </w:rPr>
        <w:t>Peripheral blood serum was collected via orbital puncture, allowed to clot at 4 °C for 30 min, and centrifuged at 1,000 × g for 15 min to obtain serum. Serum levels of erythropoietin (EPO), hepcidin, transferrin, and ferritin were quantified using species‑specific ELISA kits (mouse or rat) according to the manufacturer’s instructions. Briefly, 25 μL of standard or sample was added to 100 μL assay buffer per well, and plates were incubated at 37 °C for 60 min. Following three washes, 100 μL HRP‑conjugated detection antibody was added, and plates were incubated at 37 °C for 60 min. After subsequent washes, 90 μL substrate was added and incubated at 37 °C in the dark for 15 min. The reaction was terminated with 50 μL stop solution, and absorbance was measured using a Thermo Scientific Varioskan ALF microplate reader.</w:t>
      </w:r>
    </w:p>
    <w:p w14:paraId="42336606">
      <w:pPr>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cs="Times New Roman"/>
          <w:sz w:val="24"/>
        </w:rPr>
      </w:pPr>
      <w:r>
        <w:rPr>
          <w:rFonts w:ascii="Times New Roman" w:hAnsi="Times New Roman" w:cs="Times New Roman"/>
          <w:b/>
          <w:bCs/>
          <w:i/>
          <w:iCs/>
          <w:sz w:val="24"/>
        </w:rPr>
        <w:t>In vitro</w:t>
      </w:r>
      <w:r>
        <w:rPr>
          <w:rFonts w:ascii="Times New Roman" w:hAnsi="Times New Roman" w:cs="Times New Roman"/>
          <w:b/>
          <w:bCs/>
          <w:sz w:val="24"/>
        </w:rPr>
        <w:t xml:space="preserve"> human EBI formation through co-culture late stages of erythroblasts with CB-CD34</w:t>
      </w:r>
      <w:r>
        <w:rPr>
          <w:rFonts w:ascii="Times New Roman" w:hAnsi="Times New Roman" w:cs="Times New Roman"/>
          <w:b/>
          <w:bCs/>
          <w:sz w:val="24"/>
          <w:vertAlign w:val="superscript"/>
        </w:rPr>
        <w:t>+</w:t>
      </w:r>
      <w:r>
        <w:rPr>
          <w:rFonts w:ascii="Times New Roman" w:hAnsi="Times New Roman" w:cs="Times New Roman"/>
          <w:b/>
          <w:bCs/>
          <w:sz w:val="24"/>
        </w:rPr>
        <w:t>HSC derived macrophages</w:t>
      </w:r>
      <w:r>
        <w:rPr>
          <w:rFonts w:hint="eastAsia" w:ascii="Times New Roman" w:hAnsi="Times New Roman" w:cs="Times New Roman"/>
          <w:b/>
          <w:bCs/>
          <w:sz w:val="24"/>
          <w:lang w:val="en-US" w:eastAsia="zh-CN"/>
        </w:rPr>
        <w:t xml:space="preserve">. </w:t>
      </w:r>
      <w:r>
        <w:rPr>
          <w:rFonts w:ascii="Times New Roman" w:hAnsi="Times New Roman" w:cs="Times New Roman"/>
          <w:sz w:val="24"/>
        </w:rPr>
        <w:t>Erythroblasts were derived from cord blood CD34</w:t>
      </w:r>
      <w:r>
        <w:rPr>
          <w:rFonts w:ascii="Times New Roman" w:hAnsi="Times New Roman" w:cs="Times New Roman"/>
          <w:sz w:val="24"/>
          <w:vertAlign w:val="superscript"/>
        </w:rPr>
        <w:t>+</w:t>
      </w:r>
      <w:r>
        <w:rPr>
          <w:rFonts w:ascii="Times New Roman" w:hAnsi="Times New Roman" w:cs="Times New Roman"/>
          <w:sz w:val="24"/>
        </w:rPr>
        <w:t xml:space="preserve"> HSCs, as previously described. </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{"citationID":"sS9BiJnO","properties":{"formattedCitation":"\\super [4,5]\\nosupersub{}","plainCitation":"[4,5]","noteIndex":0},"citationItems":[{"id":1416,"uris":["http://zotero.org/users/local/g1c9o22g/items/X5FFWKE4"],"itemData":{"id":1416,"type":"article-journal","abstract":"Enhancer of zeste homolog 2 (EZH2) is the lysine methyltransferase of polycomb repressive complex 2 (PRC2) that catalyzes H3K27 tri-methylation. Aberrant expression and loss-of-function mutations of EZH2 have been demonstrated to be tightly associated with the pathogenesis of various myeloid malignancies characterized by ineffective erythropoiesis, such as myelodysplastic syndrome (MDS). However, the function and mechanism of EZH2 in human erythropoiesis still remains largely unknown. Here, we demonstrated that EZH2 regulates human erythropoiesis in a stage-specific, dual-function manner by catalyzing histone and non-histone methylation. During the early erythropoiesis, EZH2 deficiency caused cell cycle arrest in the G1 phase, which impaired cell growth and differentiation. Chromatin immunoprecipitation sequencing and RNA sequencing discovered that EZH2 knockdown caused a reduction of H3K27me3 and upregulation of cell cycle proteindependent kinase inhibitors. In contrast, EZH2 deficiency led to the generation of abnormal nuclear cells and impaired enucleation during the terminal erythropoiesis. Interestingly, EZH2 deficiency downregulated the methylation of HSP70 by directly interacting with HSP70. RNA-sequencing analysis revealed that the expression of AURKB was significantly downregulated in response to EZH2 deficiency. Furthermore, treatment with an AURKB inhibitor and small hairpin RNAmediated AURKB knockdown also led to nuclear malformation and decreased enucleation efficiency. These findings strongly suggest that EZH2 regulates terminal erythropoiesis through a HSP70 methylation-AURKB axis. Our findings have implications for improved understanding of ineffective erythropoiesis with EZH2 dysfunction.","container-title":"Haematologica","DOI":"10.3324/haematol.2022.282016","ISSN":"1592-8721","issue":"9","journalAbbreviation":"Haematologica","language":"eng","note":"PMID: 37021526\nPMCID: PMC10483364","page":"2487-2502","source":"PubMed","title":"Stage-specific dual function: EZH2 regulates human erythropoiesis by eliciting histone and non-histone methylation","title-short":"Stage-specific dual function","volume":"108","author":[{"family":"Li","given":"Mengjia"},{"family":"Liu","given":"Donghao"},{"family":"Xue","given":"Fumin"},{"family":"Zhang","given":"Hengchao"},{"family":"Yang","given":"Qianqian"},{"family":"Sun","given":"Lei"},{"family":"Qu","given":"Xiaoli"},{"family":"Wu","given":"Xiuyun"},{"family":"Zhao","given":"Huizhi"},{"family":"Liu","given":"Jing"},{"family":"Kang","given":"Qiaozhen"},{"family":"Wang","given":"Ting"},{"family":"An","given":"Xiuli"},{"family":"Chen","given":"Lixiang"}],"issued":{"date-parts":[["2023",9,1]]}},"label":"page"},{"id":2280,"uris":["http://zotero.org/users/local/g1c9o22g/items/GFZXH9UR"],"itemData":{"id":2280,"type":"article-journal","abstract":"Histone deacetylases (HDACs) are a group of enzymes that catalyze the removal of acetyl groups from histone and nonhistone proteins. HDACs have been shown to have diverse functions in a wide range of biological processes. However, their roles in mammalian erythropoiesis remain to be fully defined. This study showed that, of the 11 classic HDAC family members, 6 (HDAC1, -2, -3, and HDAC5, -6, -7) are expressed in human erythroid cells, with HDAC5 most significantly upregulated during terminal erythroid differentiation. Knockdown of HDAC5 by either short hairpin RNA or small interfering RNA in human CD34+ cells followed by erythroid cell culture led to increased apoptosis, decreased chromatin condensation, and impaired enucleation of erythroblasts. Biochemical analyses revealed that HDAC5 deficiency resulted in activation of p53 in association with increased acetylation of p53. Furthermore, although acetylation of histone 4 (H4) is decreased during normal terminal erythroid differentiation, HDAC5 deficiency led to increased acetylation of H4 (K12) in late-stage erythroblasts. This increased acetylation was accompanied by decreased chromatin condensation, implying a role for H4 (K12) deacetylation in chromatin condensation. ATAC-seq and RNA sequencing analyses revealed that HDAC5 knockdown leads to increased chromatin accessibility genome-wide and global changes in gene expression. Moreover, pharmacological inhibition of HDAC5 by the inhibitor LMK235 also led to increased H4 acetylation, impaired chromatin condensation, and enucleation. Taken together, our findings have uncovered previously unrecognized roles and molecular mechanisms of action for HDAC5 in human erythropoiesis. These results may provide insights into understanding the anemia associated with HDAC inhibitor treatment.","container-title":"Blood","DOI":"10.1182/blood.2020007401","ISSN":"0006-4971","issue":"17","journalAbbreviation":"Blood","page":"1615-1627","source":"Silverchair","title":"Impairment of human terminal erythroid differentiation by histone deacetylase 5 deficiency","URL":"https://doi.org/10.1182/blood.2020007401","volume":"138","author":[{"family":"Wang","given":"Yaomei"},{"family":"Li","given":"Wei"},{"family":"Schulz","given":"Vincent P."},{"family":"Zhao","given":"Huizhi"},{"family":"Qu","given":"Xiaoli"},{"family":"Qi","given":"Qian"},{"family":"Cheng","given":"Yong"},{"family":"Guo","given":"Xinhua"},{"family":"Zhang","given":"Shijie"},{"family":"Wei","given":"Xin"},{"family":"Liu","given":"Donghao"},{"family":"Yazdanbakhsh","given":"Karina"},{"family":"Hillyer","given":"Christopher D."},{"family":"Mohandas","given":"Narla"},{"family":"Chen","given":"Lixiang"},{"family":"Gallagher","given":"Patrick G."},{"family":"An","given":"Xiuli"}],"accessed":{"date-parts":[["2025",7,9]]},"issued":{"date-parts":[["2021",10,28]]}},"label":"page"}],"schema":"https://github.com/citation-style-language/schema/raw/master/csl-citation.json"}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kern w:val="0"/>
          <w:sz w:val="24"/>
          <w:vertAlign w:val="superscript"/>
        </w:rPr>
        <w:t>[4,5]</w:t>
      </w:r>
      <w:r>
        <w:rPr>
          <w:rFonts w:ascii="Times New Roman" w:hAnsi="Times New Roman" w:cs="Times New Roman"/>
          <w:sz w:val="24"/>
        </w:rPr>
        <w:fldChar w:fldCharType="end"/>
      </w:r>
      <w:r>
        <w:rPr>
          <w:rFonts w:ascii="Times New Roman" w:hAnsi="Times New Roman" w:cs="Times New Roman"/>
          <w:sz w:val="24"/>
        </w:rPr>
        <w:t xml:space="preserve"> Macrophages were also derived from cord blood CD34</w:t>
      </w:r>
      <w:r>
        <w:rPr>
          <w:rFonts w:ascii="Times New Roman" w:hAnsi="Times New Roman" w:cs="Times New Roman"/>
          <w:sz w:val="24"/>
          <w:vertAlign w:val="superscript"/>
        </w:rPr>
        <w:t>+</w:t>
      </w:r>
      <w:r>
        <w:rPr>
          <w:rFonts w:ascii="Times New Roman" w:hAnsi="Times New Roman" w:cs="Times New Roman"/>
          <w:sz w:val="24"/>
        </w:rPr>
        <w:t xml:space="preserve"> cells, as </w:t>
      </w:r>
      <w:r>
        <w:rPr>
          <w:rFonts w:hint="eastAsia" w:ascii="Times New Roman" w:hAnsi="Times New Roman" w:cs="Times New Roman"/>
          <w:sz w:val="24"/>
        </w:rPr>
        <w:t xml:space="preserve">outlined in </w:t>
      </w:r>
      <w:r>
        <w:rPr>
          <w:rFonts w:ascii="Times New Roman" w:hAnsi="Times New Roman" w:cs="Times New Roman"/>
          <w:sz w:val="24"/>
        </w:rPr>
        <w:t xml:space="preserve">our </w:t>
      </w:r>
      <w:r>
        <w:rPr>
          <w:rFonts w:hint="eastAsia" w:ascii="Times New Roman" w:hAnsi="Times New Roman" w:cs="Times New Roman"/>
          <w:sz w:val="24"/>
        </w:rPr>
        <w:t>earlier research</w:t>
      </w: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{"citationID":"kGuFUOuP","properties":{"formattedCitation":"\\super [6]\\nosupersub{}","plainCitation":"[6]","noteIndex":0},"citationItems":[{"id":1375,"uris":["http://zotero.org/users/local/g1c9o22g/items/N9GYU7FK"],"itemData":{"id":1375,"type":"article-journal","abstract":"The erythroblastic island (EBI), composed of a central macrophage and surrounding erythroid cells, was the first hematopoietic niche discovered. The identity of EBI macrophages has thus far remained elusive. Given that Epo is essential for erythropoiesis and that Epor is expressed in numerous nonerythroid cells, we hypothesized that EBI macrophages express Epor so that Epo can act on both erythroid cells and EBI macrophages simultaneously to ensure efficient erythropoiesis. To test this notion, we used Epor-eGFPcre knockin mouse model. We show that in bone marrow (BM) and fetal liver, a subset of macrophages express Epor-eGFP. Imaging flow cytometry analyses revealed that &gt;90% of native EBIs comprised F4/80+Epor-eGFP+ macrophages. Human fetal liver EBIs also comprised EPOR+ macrophages. Gene expression profiles of BM F4/80+Epor-eGFP+ macrophages suggest a specialized function in supporting erythropoiesis. Molecules known to be important for EBI macrophage function such as Vcam1, CD169, Mertk, and Dnase2α were highly expressed in F4/80+Epor-eGFP+ macrophages compared with F4/80+Epor-eGFP- macrophages. Key molecules involved in iron recycling were also highly expressed in BM F4/80+Epor-eGFP+ macrophages, suggesting that EBI macrophages may provide an iron source for erythropoiesis within this niche. Thus, we have characterized EBI macrophages in mouse and man. Our findings provide important resources for future studies of EBI macrophage function during normal as well as disordered erythropoiesis in hematologic diseases such as thalassemia, polycythemia vera, and myelodysplastic syndromes.","container-title":"Blood","DOI":"10.1182/blood.2019000430","ISSN":"1528-0020","issue":"5","journalAbbreviation":"Blood","language":"eng","note":"PMID: 31101625\nPMCID: PMC6676133","page":"480-491","source":"PubMed","title":"Identification and transcriptome analysis of erythroblastic island macrophages","volume":"134","author":[{"family":"Li","given":"Wei"},{"family":"Wang","given":"Yaomei"},{"family":"Zhao","given":"Huizhi"},{"family":"Zhang","given":"Huan"},{"family":"Xu","given":"Yuanlin"},{"family":"Wang","given":"Shihui"},{"family":"Guo","given":"Xinhua"},{"family":"Huang","given":"Yumin"},{"family":"Zhang","given":"Shijie"},{"family":"Han","given":"Yongshuai"},{"family":"Wu","given":"Xianfang"},{"family":"Rice","given":"Charles M."},{"family":"Huang","given":"Gang"},{"family":"Gallagher","given":"Patrick G."},{"family":"Mendelson","given":"Avital"},{"family":"Yazdanbakhsh","given":"Karina"},{"family":"Liu","given":"Jing"},{"family":"Chen","given":"Lixiang"},{"family":"An","given":"Xiuli"}],"issued":{"date-parts":[["2019",8,1]]}}}],"schema":"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kern w:val="0"/>
          <w:sz w:val="24"/>
          <w:vertAlign w:val="superscript"/>
        </w:rPr>
        <w:t>[6]</w:t>
      </w:r>
      <w:r>
        <w:rPr>
          <w:rFonts w:ascii="Times New Roman" w:hAnsi="Times New Roman" w:cs="Times New Roman"/>
          <w:sz w:val="24"/>
        </w:rPr>
        <w:fldChar w:fldCharType="end"/>
      </w:r>
      <w:r>
        <w:rPr>
          <w:rFonts w:ascii="Times New Roman" w:hAnsi="Times New Roman" w:cs="Times New Roman"/>
          <w:sz w:val="24"/>
        </w:rPr>
        <w:t xml:space="preserve"> </w:t>
      </w:r>
      <w:r>
        <w:rPr>
          <w:rFonts w:hint="default" w:ascii="Times New Roman" w:hAnsi="Times New Roman" w:cs="Times New Roman"/>
          <w:sz w:val="24"/>
        </w:rPr>
        <w:t>In brief, CD34+ hematopoietic stem cells were cultured from day 0 to day 7 in IMDM supplemented with 2% human peripheral blood plasma, 3% human AB serum, 3 IU/mL heparin, 10 µg/mL insulin, 10 ng/mL SCF, 1 ng/mL IL‑3, 100 ng/mL M‑CSF, 50 ng/mL FLT3, and 1× penicillin‑streptomycin. The medium was refreshed every four days, and cell density was maintained at 1×10⁵ cells/mL. On day 7, non‑adherent cells were removed, and adherent macrophages were retained. Macrophages were pretreated with 1µM dexamethasone for 24h. Dexamethasone‑pretreated or untreated macrophages were then co‑cultured with day</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11 erythroblasts at a 1:20 ratio for 12 h in IMDM containing 2% human peripheral blood plasma, 3% human AB serum, 1 IU/mL EPO, 3 IU/mL heparin, 10 µg/mL insulin, 200 µg/mL holo‑human transferrin, 5 mM Mg²⁺, and 5 mM Ca²⁺.</w:t>
      </w:r>
    </w:p>
    <w:p w14:paraId="4121F7FF">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eastAsia="宋体" w:cs="Times New Roman"/>
          <w:sz w:val="24"/>
          <w:lang w:bidi="ar"/>
        </w:rPr>
      </w:pPr>
      <w:r>
        <w:rPr>
          <w:rFonts w:ascii="Times New Roman" w:hAnsi="Times New Roman" w:cs="Times New Roman"/>
          <w:b/>
          <w:bCs/>
          <w:sz w:val="24"/>
        </w:rPr>
        <w:t>Culture of Bone marrow-derived macrophages (BMDMs)</w:t>
      </w:r>
      <w:r>
        <w:rPr>
          <w:rFonts w:hint="eastAsia" w:ascii="Times New Roman" w:hAnsi="Times New Roman" w:cs="Times New Roman"/>
          <w:b/>
          <w:bCs/>
          <w:sz w:val="24"/>
          <w:lang w:val="en-US" w:eastAsia="zh-CN"/>
        </w:rPr>
        <w:t xml:space="preserve">. </w:t>
      </w:r>
      <w:r>
        <w:rPr>
          <w:rFonts w:hint="eastAsia" w:ascii="Times New Roman" w:hAnsi="Times New Roman" w:cs="Times New Roman"/>
          <w:sz w:val="24"/>
        </w:rPr>
        <w:t xml:space="preserve">The </w:t>
      </w:r>
      <w:r>
        <w:rPr>
          <w:rFonts w:ascii="Times New Roman" w:hAnsi="Times New Roman" w:cs="Times New Roman"/>
          <w:sz w:val="24"/>
        </w:rPr>
        <w:t>BM</w:t>
      </w:r>
      <w:r>
        <w:rPr>
          <w:rFonts w:ascii="Times New Roman" w:hAnsi="Times New Roman" w:cs="Times New Roman"/>
          <w:b/>
          <w:bCs/>
          <w:sz w:val="24"/>
        </w:rPr>
        <w:t xml:space="preserve"> </w:t>
      </w:r>
      <w:r>
        <w:rPr>
          <w:rFonts w:ascii="Times New Roman" w:hAnsi="Times New Roman" w:cs="Times New Roman"/>
          <w:sz w:val="24"/>
        </w:rPr>
        <w:t xml:space="preserve">single-cell suspension was </w:t>
      </w:r>
      <w:r>
        <w:rPr>
          <w:rFonts w:ascii="Times New Roman" w:hAnsi="Times New Roman" w:eastAsia="宋体" w:cs="Times New Roman"/>
          <w:sz w:val="24"/>
          <w:lang w:bidi="ar"/>
        </w:rPr>
        <w:t xml:space="preserve">centrifuged at 300 g for 5 minutes. Cell pellets were subjected to RBC lysis </w:t>
      </w:r>
      <w:r>
        <w:rPr>
          <w:rFonts w:hint="eastAsia" w:ascii="Times New Roman" w:hAnsi="Times New Roman" w:eastAsia="宋体" w:cs="Times New Roman"/>
          <w:sz w:val="24"/>
          <w:lang w:bidi="ar"/>
        </w:rPr>
        <w:t>at room temperature</w:t>
      </w:r>
      <w:r>
        <w:rPr>
          <w:rFonts w:ascii="Times New Roman" w:hAnsi="Times New Roman" w:eastAsia="宋体" w:cs="Times New Roman"/>
          <w:sz w:val="24"/>
          <w:lang w:bidi="ar"/>
        </w:rPr>
        <w:t xml:space="preserve"> in the dark for 15</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 xml:space="preserve">minutes. After centrifuging, the cells were </w:t>
      </w:r>
      <w:r>
        <w:rPr>
          <w:rFonts w:hint="eastAsia" w:ascii="Times New Roman" w:hAnsi="Times New Roman" w:eastAsia="宋体" w:cs="Times New Roman"/>
          <w:sz w:val="24"/>
          <w:lang w:bidi="ar"/>
        </w:rPr>
        <w:t>re</w:t>
      </w:r>
      <w:r>
        <w:rPr>
          <w:rFonts w:ascii="Times New Roman" w:hAnsi="Times New Roman" w:cs="Times New Roman"/>
          <w:sz w:val="24"/>
        </w:rPr>
        <w:t xml:space="preserve">suspended </w:t>
      </w:r>
      <w:r>
        <w:rPr>
          <w:rFonts w:ascii="Times New Roman" w:hAnsi="Times New Roman" w:eastAsia="宋体" w:cs="Times New Roman"/>
          <w:sz w:val="24"/>
          <w:lang w:bidi="ar"/>
        </w:rPr>
        <w:t xml:space="preserve">with DMEM/10% FBS/M-CSF (1 </w:t>
      </w:r>
      <w:r>
        <w:rPr>
          <w:rFonts w:ascii="Times New Roman" w:hAnsi="Times New Roman" w:cs="Times New Roman"/>
          <w:sz w:val="24"/>
        </w:rPr>
        <w:t>μL</w:t>
      </w:r>
      <w:r>
        <w:rPr>
          <w:rFonts w:ascii="Times New Roman" w:hAnsi="Times New Roman" w:eastAsia="宋体" w:cs="Times New Roman"/>
          <w:sz w:val="24"/>
          <w:lang w:bidi="ar"/>
        </w:rPr>
        <w:t>/m</w:t>
      </w:r>
      <w:r>
        <w:rPr>
          <w:rFonts w:ascii="Times New Roman" w:hAnsi="Times New Roman" w:cs="Times New Roman"/>
          <w:sz w:val="24"/>
        </w:rPr>
        <w:t>L</w:t>
      </w:r>
      <w:r>
        <w:rPr>
          <w:rFonts w:ascii="Times New Roman" w:hAnsi="Times New Roman" w:eastAsia="宋体" w:cs="Times New Roman"/>
          <w:sz w:val="24"/>
          <w:lang w:bidi="ar"/>
        </w:rPr>
        <w:t>) to</w:t>
      </w:r>
      <w:r>
        <w:rPr>
          <w:rFonts w:hint="eastAsia" w:ascii="Times New Roman" w:hAnsi="Times New Roman" w:eastAsia="宋体" w:cs="Times New Roman"/>
          <w:sz w:val="24"/>
          <w:lang w:bidi="ar"/>
        </w:rPr>
        <w:t xml:space="preserve"> achieve</w:t>
      </w:r>
      <w:r>
        <w:rPr>
          <w:rFonts w:ascii="Times New Roman" w:hAnsi="Times New Roman" w:eastAsia="宋体" w:cs="Times New Roman"/>
          <w:sz w:val="24"/>
          <w:lang w:bidi="ar"/>
        </w:rPr>
        <w:t xml:space="preserve"> a cell density of 1</w:t>
      </w:r>
      <w:r>
        <w:rPr>
          <w:rFonts w:ascii="Times New Roman" w:hAnsi="Times New Roman" w:cs="Times New Roman"/>
          <w:sz w:val="24"/>
        </w:rPr>
        <w:t>×</w:t>
      </w:r>
      <w:r>
        <w:rPr>
          <w:rFonts w:ascii="Times New Roman" w:hAnsi="Times New Roman" w:eastAsia="宋体" w:cs="Times New Roman"/>
          <w:sz w:val="24"/>
          <w:lang w:bidi="ar"/>
        </w:rPr>
        <w:t>10</w:t>
      </w:r>
      <w:r>
        <w:rPr>
          <w:rFonts w:ascii="Times New Roman" w:hAnsi="Times New Roman" w:eastAsia="宋体" w:cs="Times New Roman"/>
          <w:sz w:val="24"/>
          <w:vertAlign w:val="superscript"/>
          <w:lang w:bidi="ar"/>
        </w:rPr>
        <w:t>6</w:t>
      </w:r>
      <w:r>
        <w:rPr>
          <w:rFonts w:hint="eastAsia" w:ascii="Times New Roman" w:hAnsi="Times New Roman" w:eastAsia="宋体" w:cs="Times New Roman"/>
          <w:sz w:val="24"/>
          <w:lang w:bidi="ar"/>
        </w:rPr>
        <w:t xml:space="preserve"> cells</w:t>
      </w:r>
      <w:r>
        <w:rPr>
          <w:rFonts w:ascii="Times New Roman" w:hAnsi="Times New Roman" w:eastAsia="宋体" w:cs="Times New Roman"/>
          <w:sz w:val="24"/>
          <w:lang w:bidi="ar"/>
        </w:rPr>
        <w:t xml:space="preserve">/ml. After 5 days, </w:t>
      </w:r>
      <w:r>
        <w:rPr>
          <w:rFonts w:hint="eastAsia" w:ascii="Times New Roman" w:hAnsi="Times New Roman" w:eastAsia="宋体" w:cs="Times New Roman"/>
          <w:sz w:val="24"/>
          <w:lang w:bidi="ar"/>
        </w:rPr>
        <w:t xml:space="preserve">the </w:t>
      </w:r>
      <w:r>
        <w:rPr>
          <w:rFonts w:ascii="Times New Roman" w:hAnsi="Times New Roman" w:eastAsia="宋体" w:cs="Times New Roman"/>
          <w:sz w:val="24"/>
          <w:lang w:bidi="ar"/>
        </w:rPr>
        <w:t xml:space="preserve">cells </w:t>
      </w:r>
      <w:r>
        <w:rPr>
          <w:rFonts w:ascii="Times New Roman" w:hAnsi="Times New Roman" w:cs="Times New Roman"/>
          <w:sz w:val="24"/>
        </w:rPr>
        <w:t xml:space="preserve">were </w:t>
      </w:r>
      <w:r>
        <w:rPr>
          <w:rFonts w:ascii="Times New Roman" w:hAnsi="Times New Roman" w:eastAsia="宋体" w:cs="Times New Roman"/>
          <w:sz w:val="24"/>
          <w:lang w:bidi="ar"/>
        </w:rPr>
        <w:t xml:space="preserve">centrifuged at 300 g for 5 minutes. Half </w:t>
      </w:r>
      <w:r>
        <w:rPr>
          <w:rFonts w:hint="eastAsia" w:ascii="Times New Roman" w:hAnsi="Times New Roman" w:eastAsia="宋体" w:cs="Times New Roman"/>
          <w:sz w:val="24"/>
          <w:lang w:bidi="ar"/>
        </w:rPr>
        <w:t xml:space="preserve">of the </w:t>
      </w:r>
      <w:r>
        <w:rPr>
          <w:rFonts w:ascii="Times New Roman" w:hAnsi="Times New Roman" w:eastAsia="宋体" w:cs="Times New Roman"/>
          <w:sz w:val="24"/>
          <w:lang w:bidi="ar"/>
        </w:rPr>
        <w:t xml:space="preserve">cells were </w:t>
      </w:r>
      <w:r>
        <w:rPr>
          <w:rFonts w:hint="eastAsia" w:ascii="Times New Roman" w:hAnsi="Times New Roman" w:eastAsia="宋体" w:cs="Times New Roman"/>
          <w:sz w:val="24"/>
          <w:lang w:bidi="ar"/>
        </w:rPr>
        <w:t>re</w:t>
      </w:r>
      <w:r>
        <w:rPr>
          <w:rFonts w:ascii="Times New Roman" w:hAnsi="Times New Roman" w:cs="Times New Roman"/>
          <w:sz w:val="24"/>
        </w:rPr>
        <w:t xml:space="preserve">suspended </w:t>
      </w:r>
      <w:r>
        <w:rPr>
          <w:rFonts w:hint="eastAsia" w:ascii="Times New Roman" w:hAnsi="Times New Roman" w:eastAsia="宋体" w:cs="Times New Roman"/>
          <w:sz w:val="24"/>
          <w:lang w:bidi="ar"/>
        </w:rPr>
        <w:t>in</w:t>
      </w:r>
      <w:r>
        <w:rPr>
          <w:rFonts w:ascii="Times New Roman" w:hAnsi="Times New Roman" w:eastAsia="宋体" w:cs="Times New Roman"/>
          <w:sz w:val="24"/>
          <w:lang w:bidi="ar"/>
        </w:rPr>
        <w:t xml:space="preserve"> DMEM/10% FBS for</w:t>
      </w:r>
      <w:r>
        <w:rPr>
          <w:rFonts w:hint="eastAsia" w:ascii="Times New Roman" w:hAnsi="Times New Roman" w:eastAsia="宋体" w:cs="Times New Roman"/>
          <w:sz w:val="24"/>
          <w:lang w:bidi="ar"/>
        </w:rPr>
        <w:t xml:space="preserve"> the</w:t>
      </w:r>
      <w:r>
        <w:rPr>
          <w:rFonts w:ascii="Times New Roman" w:hAnsi="Times New Roman" w:eastAsia="宋体" w:cs="Times New Roman"/>
          <w:sz w:val="24"/>
          <w:lang w:bidi="ar"/>
        </w:rPr>
        <w:t xml:space="preserve"> control group, </w:t>
      </w:r>
      <w:r>
        <w:rPr>
          <w:rFonts w:hint="eastAsia" w:ascii="Times New Roman" w:hAnsi="Times New Roman" w:eastAsia="宋体" w:cs="Times New Roman"/>
          <w:sz w:val="24"/>
          <w:lang w:bidi="ar"/>
        </w:rPr>
        <w:t>while the remaining cells were resuspended in DMEM/10% FBS/DEX for the DEX group</w:t>
      </w:r>
      <w:r>
        <w:rPr>
          <w:rFonts w:ascii="Times New Roman" w:hAnsi="Times New Roman" w:eastAsia="宋体" w:cs="Times New Roman"/>
          <w:sz w:val="24"/>
          <w:lang w:bidi="ar"/>
        </w:rPr>
        <w:t>.</w:t>
      </w:r>
    </w:p>
    <w:p w14:paraId="70144589">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ascii="Times New Roman" w:hAnsi="Times New Roman" w:cs="Times New Roman"/>
          <w:b/>
          <w:bCs/>
          <w:sz w:val="24"/>
        </w:rPr>
        <w:t>Serum iron</w:t>
      </w:r>
      <w:r>
        <w:rPr>
          <w:rFonts w:hint="eastAsia" w:ascii="Times New Roman" w:hAnsi="Times New Roman" w:cs="Times New Roman"/>
          <w:b/>
          <w:bCs/>
          <w:sz w:val="24"/>
          <w:lang w:val="en-US" w:eastAsia="zh-CN"/>
        </w:rPr>
        <w:t xml:space="preserve">. </w:t>
      </w:r>
      <w:r>
        <w:rPr>
          <w:rFonts w:hint="default" w:ascii="Times New Roman" w:hAnsi="Times New Roman" w:cs="Times New Roman"/>
          <w:sz w:val="24"/>
        </w:rPr>
        <w:t>Serum iron levels were determined using a 96‑well plate assay. Each well was prepared as follows: 100 µL of iron buffer was added, followed by 20 µL of deionized water (blank), standard solution (standard), or sample. The initial absorbance (A₁) at 560 nm was recorded with the blank set to zero. After adding 2 µL of iron color reagent, the plate was incubated at 37 °C for 10 min, and the absorbance (A₂) was measured. Serum iron concentration (µg/dL) was calculated as: (A₂sample – A₁sample)/(A₂standard – A₁standard) × standard concentration.</w:t>
      </w:r>
    </w:p>
    <w:p w14:paraId="04B833ED">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hint="default" w:ascii="Times New Roman" w:hAnsi="Times New Roman" w:cs="Times New Roman"/>
          <w:b/>
          <w:bCs/>
          <w:sz w:val="24"/>
        </w:rPr>
        <w:t>Unsaturated iron-binding capacity (UIBC) and total iron binding capacity (TIBC) detection</w:t>
      </w:r>
      <w:r>
        <w:rPr>
          <w:rFonts w:hint="default" w:ascii="Times New Roman" w:hAnsi="Times New Roman" w:cs="Times New Roman"/>
          <w:b/>
          <w:bCs/>
          <w:sz w:val="24"/>
          <w:lang w:val="en-US" w:eastAsia="zh-CN"/>
        </w:rPr>
        <w:t xml:space="preserve">. </w:t>
      </w:r>
      <w:r>
        <w:rPr>
          <w:rFonts w:hint="default" w:ascii="Times New Roman" w:hAnsi="Times New Roman" w:cs="Times New Roman"/>
          <w:sz w:val="24"/>
        </w:rPr>
        <w:t>For unsaturated iron‑binding capacity (UIBC) measurement, 80 µL of UIBC buffer was added to each well. The blank well received 40 µL of deionized water; the standard well received 20 µL of deionized water and 20 µL of standard; the sample well received 20 µL of standard and 20 µL of sample. Absorbance readings (A₁ and A₂) were taken as described above. UIBC (µg/dL) was calculated as: UIBC = C_std –[(A₂sample–A₁sample)/(A₂standard – A₁standard) × C_std]. Total iron‑binding capacity (TIBC) was obtained by adding the serum iron value to the UIBC value.</w:t>
      </w:r>
    </w:p>
    <w:p w14:paraId="5E5D21FF">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hint="eastAsia" w:ascii="Times New Roman" w:hAnsi="Times New Roman" w:cs="Times New Roman"/>
          <w:b/>
          <w:bCs/>
          <w:sz w:val="24"/>
        </w:rPr>
        <w:t>BM tissues iron quantification.</w:t>
      </w:r>
      <w:r>
        <w:rPr>
          <w:rFonts w:hint="eastAsia" w:ascii="Times New Roman" w:hAnsi="Times New Roman" w:cs="Times New Roman"/>
          <w:sz w:val="24"/>
        </w:rPr>
        <w:t xml:space="preserve"> </w:t>
      </w:r>
      <w:r>
        <w:rPr>
          <w:rFonts w:hint="default" w:ascii="Times New Roman" w:hAnsi="Times New Roman" w:cs="Times New Roman"/>
          <w:sz w:val="24"/>
        </w:rPr>
        <w:t>BM</w:t>
      </w:r>
      <w:r>
        <w:rPr>
          <w:rFonts w:hint="default" w:ascii="Times New Roman" w:hAnsi="Times New Roman" w:cs="Times New Roman"/>
          <w:sz w:val="24"/>
          <w:lang w:val="en-US" w:eastAsia="zh-CN"/>
        </w:rPr>
        <w:t xml:space="preserve"> </w:t>
      </w:r>
      <w:r>
        <w:rPr>
          <w:rFonts w:hint="default" w:ascii="Times New Roman" w:hAnsi="Times New Roman" w:cs="Times New Roman"/>
          <w:sz w:val="24"/>
        </w:rPr>
        <w:t>and spleen tissues were digested in 1 mL of tissue digestion solution at 65 °C for 50 h to ensure complete dispersion. Digested samples (10 µL) were mixed with 200 µL of iron staining working solution in a 96‑well plate. Each plate included blanks (10 µL ddH₂O), tissue digestion solution blanks (10 µL), iron standards (10 µL of 500 µg/dL solution), and sample digests (10 µL, n = 3 replicates). After thorough mixing and incubation at room temperature for 10 min, absorbance was measured at 535 nm using a microplate reader. Tissue iron content (µg/g wet weight) was calculated as follows: (sample OD – blank OD) / (standard OD – blank OD) × 7.5 / tissue weight.</w:t>
      </w:r>
    </w:p>
    <w:p w14:paraId="0BAD344D">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p>
    <w:p w14:paraId="186A450A">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cs="Times New Roman"/>
          <w:sz w:val="24"/>
        </w:rPr>
      </w:pPr>
      <w:r>
        <w:rPr>
          <w:rFonts w:hint="default" w:ascii="Times New Roman" w:hAnsi="Times New Roman" w:cs="Times New Roman"/>
          <w:b/>
          <w:bCs/>
          <w:sz w:val="24"/>
        </w:rPr>
        <w:t>EBI enrichment and cytospins,</w:t>
      </w:r>
      <w:r>
        <w:rPr>
          <w:rFonts w:hint="default" w:ascii="Times New Roman" w:hAnsi="Times New Roman" w:cs="Times New Roman"/>
          <w:b/>
          <w:bCs/>
          <w:color w:val="000000" w:themeColor="text1"/>
          <w:sz w:val="24"/>
          <w14:textFill>
            <w14:solidFill>
              <w14:schemeClr w14:val="tx1"/>
            </w14:solidFill>
          </w14:textFill>
        </w:rPr>
        <w:t>Giemsa staining and quantification</w:t>
      </w:r>
      <w:r>
        <w:rPr>
          <w:rFonts w:hint="default" w:ascii="Times New Roman" w:hAnsi="Times New Roman" w:cs="Times New Roman"/>
          <w:b/>
          <w:bCs/>
          <w:sz w:val="24"/>
          <w:lang w:val="en-US" w:eastAsia="zh-CN"/>
        </w:rPr>
        <w:t xml:space="preserve">. </w:t>
      </w:r>
      <w:r>
        <w:rPr>
          <w:rFonts w:hint="default" w:ascii="Times New Roman" w:hAnsi="Times New Roman" w:cs="Times New Roman"/>
          <w:sz w:val="24"/>
        </w:rPr>
        <w:t>EBIs in mouse BM were enriched and quantified, as per our previous study.</w:t>
      </w:r>
      <w:r>
        <w:rPr>
          <w:rFonts w:hint="default" w:ascii="Times New Roman" w:hAnsi="Times New Roman" w:cs="Times New Roman"/>
          <w:sz w:val="24"/>
        </w:rPr>
        <w:fldChar w:fldCharType="begin"/>
      </w:r>
      <w:r>
        <w:rPr>
          <w:rFonts w:hint="default" w:ascii="Times New Roman" w:hAnsi="Times New Roman" w:cs="Times New Roman"/>
          <w:sz w:val="24"/>
        </w:rPr>
        <w:instrText xml:space="preserve"> ADDIN ZOTERO_ITEM CSL_CITATION {"citationID":"QTonCfdJ","properties":{"formattedCitation":"\\super [2,6]\\nosupersub{}","plainCitation":"[2,6]","noteIndex":0},"citationItems":[{"id":1375,"uris":["http://zotero.org/users/local/g1c9o22g/items/N9GYU7FK"],"itemData":{"id":1375,"type":"article-journal","abstract":"The erythroblastic island (EBI), composed of a central macrophage and surrounding erythroid cells, was the first hematopoietic niche discovered. The identity of EBI macrophages has thus far remained elusive. Given that Epo is essential for erythropoiesis and that Epor is expressed in numerous nonerythroid cells, we hypothesized that EBI macrophages express Epor so that Epo can act on both erythroid cells and EBI macrophages simultaneously to ensure efficient erythropoiesis. To test this notion, we used Epor-eGFPcre knockin mouse model. We show that in bone marrow (BM) and fetal liver, a subset of macrophages express Epor-eGFP. Imaging flow cytometry analyses revealed that &gt;90% of native EBIs comprised F4/80+Epor-eGFP+ macrophages. Human fetal liver EBIs also comprised EPOR+ macrophages. Gene expression profiles of BM F4/80+Epor-eGFP+ macrophages suggest a specialized function in supporting erythropoiesis. Molecules known to be important for EBI macrophage function such as Vcam1, CD169, Mertk, and Dnase2α were highly expressed in F4/80+Epor-eGFP+ macrophages compared with F4/80+Epor-eGFP- macrophages. Key molecules involved in iron recycling were also highly expressed in BM F4/80+Epor-eGFP+ macrophages, suggesting that EBI macrophages may provide an iron source for erythropoiesis within this niche. Thus, we have characterized EBI macrophages in mouse and man. Our findings provide important resources for future studies of EBI macrophage function during normal as well as disordered erythropoiesis in hematologic diseases such as thalassemia, polycythemia vera, and myelodysplastic syndromes.","container-title":"Blood","DOI":"10.1182/blood.2019000430","ISSN":"1528-0020","issue":"5","journalAbbreviation":"Blood","language":"eng","note":"PMID: 31101625\nPMCID: PMC6676133","page":"480-491","source":"PubMed","title":"Identification and transcriptome analysis of erythroblastic island macrophages","volume":"134","author":[{"family":"Li","given":"Wei"},{"family":"Wang","given":"Yaomei"},{"family":"Zhao","given":"Huizhi"},{"family":"Zhang","given":"Huan"},{"family":"Xu","given":"Yuanlin"},{"family":"Wang","given":"Shihui"},{"family":"Guo","given":"Xinhua"},{"family":"Huang","given":"Yumin"},{"family":"Zhang","given":"Shijie"},{"family":"Han","given":"Yongshuai"},{"family":"Wu","given":"Xianfang"},{"family":"Rice","given":"Charles M."},{"family":"Huang","given":"Gang"},{"family":"Gallagher","given":"Patrick G."},{"family":"Mendelson","given":"Avital"},{"family":"Yazdanbakhsh","given":"Karina"},{"family":"Liu","given":"Jing"},{"family":"Chen","given":"Lixiang"},{"family":"An","given":"Xiuli"}],"issued":{"date-parts":[["2019",8,1]]}},"label":"page"},{"id":1983,"uris":["http://zotero.org/users/local/g1c9o22g/items/M5XGQ7KT"],"itemData":{"id":1983,"type":"article-journal","abstract":"Anemia is a significant complication of chronic inflammation and may be related to dysregulated activities among erythroblastic island (EBI) macrophages. GM-CSF was reported to be upregulated and attracted as a therapeutic target in many inflammatory diseases. Among EBIs, we found that the GM-CSF receptor is preferentially and highly expressed among EBI macrophages but not among erythroblasts. GM-CSF treatment significantly decreases human EBI formation in vitro by decreasing the adhesion molecule expression of CD163. RNA-sequence analysis suggests that GM-CSF treatment impairs the supporting function of human EBI macrophages during erythropoiesis. GM-CSF treatment also polarizes human EBI macrophages from M2-like type to M1-like type. In addition, GM-CSF decreases mouse bone marrow (BM) erythroblasts as well as EBI macrophages, leading to a reduction in EBI numbers. In defining the molecular mechanism at work, we found that GM-CSF treatment significantly decreases the adhesion molecule expression of CD163 and Vcam1 in vivo. Importantly, GM-CSF treatment also decreases the phagocytosis rate of EBI macrophages in mouse BM as well as decreases the expression of the engulfment-related molecules Mertk, Axl, and Timd4. In addition, GM-CSF treatment polarizes mouse BM EBI macrophages from M2-like type to M1-like type. Thus, we document that GM-CSF impairs EBI formation in mice and humans. Our findings support that targeting GM-CSF or reprogramming EBI macrophages might be a novel strategy to treat anemia resulting from inflammatory diseases.","container-title":"Journal of Translational Medicine","DOI":"10.1186/s12967-021-03214-5","ISSN":"1479-5876","issue":"1","journalAbbreviation":"J Transl Med","language":"eng","note":"PMID: 34980171\nPMCID: PMC8721478","page":"11","source":"PubMed","title":"GM-CSF impairs erythropoiesis by disrupting erythroblastic island formation via macrophages","volume":"20","author":[{"family":"Cao","given":"Weijie"},{"family":"Fan","given":"Wenjuan"},{"family":"Wang","given":"Fang"},{"family":"Zhang","given":"Yinyin"},{"family":"Wu","given":"Guanghua"},{"family":"Shi","given":"Xiaojing"},{"family":"Shi","given":"Jian Xiang"},{"family":"Gao","given":"Fengcai"},{"family":"Yan","given":"Meimei"},{"family":"Guo","given":"Rong"},{"family":"Li","given":"Yingmei"},{"family":"Li","given":"Wei"},{"family":"Du","given":"Chunyan"},{"family":"Jiang","given":"Zhongxing"}],"issued":{"date-parts":[["2022",1,3]]}},"label":"page"}],"schema":"https://github.com/citation-style-language/schema/raw/master/csl-citation.json"} </w:instrText>
      </w:r>
      <w:r>
        <w:rPr>
          <w:rFonts w:hint="default" w:ascii="Times New Roman" w:hAnsi="Times New Roman" w:cs="Times New Roman"/>
          <w:sz w:val="24"/>
        </w:rPr>
        <w:fldChar w:fldCharType="separate"/>
      </w:r>
      <w:r>
        <w:rPr>
          <w:rFonts w:hint="default" w:ascii="Times New Roman" w:hAnsi="Times New Roman" w:cs="Times New Roman"/>
          <w:kern w:val="0"/>
          <w:sz w:val="24"/>
          <w:vertAlign w:val="superscript"/>
        </w:rPr>
        <w:t>[2,6]</w:t>
      </w:r>
      <w:r>
        <w:rPr>
          <w:rFonts w:hint="default" w:ascii="Times New Roman" w:hAnsi="Times New Roman" w:cs="Times New Roman"/>
          <w:sz w:val="24"/>
        </w:rPr>
        <w:fldChar w:fldCharType="end"/>
      </w:r>
      <w:r>
        <w:rPr>
          <w:rFonts w:hint="default" w:ascii="Times New Roman" w:hAnsi="Times New Roman" w:cs="Times New Roman"/>
          <w:sz w:val="24"/>
        </w:rPr>
        <w:t xml:space="preserve"> Briefly, a three‑layer density gradient was prepared by sequentially layering 5 mL of 3%, 5 mL of 1.5%, and 5 mL of 0% density gradient solution in a 50 mL centrifuge tube. BM cells flushed from two femurs and two tibias were resuspended in 5 mL of 0% solution, gently overlaid onto the gradient, and kept at room temperature for 30 min. The interface containing the 0% and 1.5% layers was collected, </w:t>
      </w:r>
      <w:r>
        <w:rPr>
          <w:rFonts w:ascii="Times New Roman" w:hAnsi="Times New Roman" w:cs="Times New Roman"/>
          <w:sz w:val="24"/>
        </w:rPr>
        <w:t xml:space="preserve">EBIs were collected by centrifuged 3% layer at 300g, at 4℃ for 10 minutes. Cytospins were performed using 3% of mouse BM layers on slides, which were placed in a </w:t>
      </w:r>
      <w:r>
        <w:rPr>
          <w:rFonts w:hint="eastAsia" w:ascii="Times New Roman" w:hAnsi="Times New Roman" w:cs="Times New Roman"/>
          <w:sz w:val="24"/>
        </w:rPr>
        <w:t>l</w:t>
      </w:r>
      <w:r>
        <w:rPr>
          <w:rFonts w:ascii="Times New Roman" w:hAnsi="Times New Roman" w:cs="Times New Roman"/>
          <w:sz w:val="24"/>
        </w:rPr>
        <w:t>ow-speed centrifugal cytospin (Baioukeji,</w:t>
      </w:r>
      <w:r>
        <w:rPr>
          <w:rFonts w:hint="eastAsia" w:ascii="Times New Roman" w:hAnsi="Times New Roman" w:cs="Times New Roman"/>
          <w:sz w:val="24"/>
        </w:rPr>
        <w:t xml:space="preserve"> </w:t>
      </w:r>
      <w:r>
        <w:rPr>
          <w:rFonts w:ascii="Times New Roman" w:hAnsi="Times New Roman" w:cs="Times New Roman"/>
          <w:sz w:val="24"/>
        </w:rPr>
        <w:t>TDL-40B); Giemsa staining and Prussian blue staining were then performed.</w:t>
      </w:r>
      <w:r>
        <w:rPr>
          <w:rFonts w:hint="eastAsia" w:ascii="Times New Roman" w:hAnsi="Times New Roman" w:cs="Times New Roman"/>
          <w:sz w:val="24"/>
        </w:rPr>
        <w:t xml:space="preserve"> </w:t>
      </w:r>
    </w:p>
    <w:p w14:paraId="5A9AB16B">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cs="Times New Roman"/>
          <w:sz w:val="24"/>
        </w:rPr>
      </w:pPr>
      <w:r>
        <w:rPr>
          <w:rFonts w:ascii="Times New Roman" w:hAnsi="Times New Roman" w:cs="Times New Roman"/>
          <w:b/>
          <w:bCs/>
          <w:sz w:val="24"/>
        </w:rPr>
        <w:t>EBI macrophage Giemsa staining and quantification</w:t>
      </w:r>
      <w:r>
        <w:rPr>
          <w:rFonts w:hint="eastAsia" w:ascii="Times New Roman" w:hAnsi="Times New Roman" w:cs="Times New Roman"/>
          <w:b/>
          <w:bCs/>
          <w:sz w:val="24"/>
          <w:lang w:val="en-US" w:eastAsia="zh-CN"/>
        </w:rPr>
        <w:t xml:space="preserve">. </w:t>
      </w:r>
      <w:r>
        <w:rPr>
          <w:rFonts w:hint="default" w:ascii="Times New Roman" w:hAnsi="Times New Roman" w:cs="Times New Roman"/>
          <w:sz w:val="24"/>
        </w:rPr>
        <w:t>The slides were stained with 500 µL of Wright–Giemsa solution A (Baso Diagnostics Inc., Zhuhai) for 1 minute. Thereafter, 1 mL of Wright–Giemsa solution B was added to solution A two to three times, and the mixture was thoroughly mixed with a rubber pipette. The staining process lasted for 5–10 minutes. Afterwards, the slides were gently rinsed with water, dried, and the results were observed under a microscope (Olympus BX53). The number of EBIs in each group was quantified at least 300 cells.</w:t>
      </w:r>
    </w:p>
    <w:p w14:paraId="1FA311A0">
      <w:pPr>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cs="Times New Roman"/>
          <w:sz w:val="24"/>
        </w:rPr>
      </w:pPr>
      <w:r>
        <w:rPr>
          <w:rFonts w:ascii="Times New Roman" w:hAnsi="Times New Roman" w:cs="Times New Roman"/>
          <w:b/>
          <w:bCs/>
          <w:sz w:val="24"/>
        </w:rPr>
        <w:t>BM tissues and EBI macrophage Prussian blue staining</w:t>
      </w:r>
      <w:r>
        <w:rPr>
          <w:rFonts w:hint="eastAsia" w:ascii="Times New Roman" w:hAnsi="Times New Roman" w:cs="Times New Roman"/>
          <w:b/>
          <w:bCs/>
          <w:sz w:val="24"/>
          <w:lang w:val="en-US" w:eastAsia="zh-CN"/>
        </w:rPr>
        <w:t xml:space="preserve">. </w:t>
      </w:r>
      <w:r>
        <w:rPr>
          <w:rFonts w:hint="default" w:ascii="Times New Roman" w:hAnsi="Times New Roman" w:cs="Times New Roman"/>
          <w:sz w:val="24"/>
        </w:rPr>
        <w:t>Tissue sections were deparaffinized and rehydrated by sequential immersion in: dewaxing solution I (5 min), dewaxing solution II (5 min), absolute ethanol I (2 min), absolute ethanol II (2 min), 95% ethanol I (2 min), 95% ethanol II (2 min), and 75% ethanol (2 min), followed by a distilled water rinse. Sections were then incubated in a 1:1 mixture of potassium ferricyanide and hydrochloric acid solutions at room temperature for 20–30 min. After washing, nuclei were counterstained with nuclear fast red for 2 min. Finally, slides were dehydrated, cleared, mounted, and imaged under an Olympus BX53 microscope.</w:t>
      </w:r>
    </w:p>
    <w:p w14:paraId="648464CA">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rPr>
      </w:pPr>
      <w:r>
        <w:rPr>
          <w:rFonts w:ascii="Times New Roman" w:hAnsi="Times New Roman" w:cs="Times New Roman"/>
          <w:b/>
          <w:bCs/>
          <w:sz w:val="24"/>
        </w:rPr>
        <w:t>EBI macrophage iron quantification</w:t>
      </w:r>
      <w:r>
        <w:rPr>
          <w:rFonts w:hint="eastAsia" w:ascii="Times New Roman" w:hAnsi="Times New Roman" w:cs="Times New Roman"/>
          <w:b/>
          <w:bCs/>
          <w:sz w:val="24"/>
          <w:lang w:val="en-US" w:eastAsia="zh-CN"/>
        </w:rPr>
        <w:t xml:space="preserve">. </w:t>
      </w:r>
      <w:r>
        <w:rPr>
          <w:rFonts w:ascii="Times New Roman" w:hAnsi="Times New Roman" w:cs="Times New Roman"/>
          <w:sz w:val="24"/>
        </w:rPr>
        <w:t>After the EBIs were iron stained, 300 were randomly selected under the microscope and divided into intracellular iron containing EBIs and membrane iron EBIs for absolute quantification according to the manifestation of iron on EBI macrophages. Ultimately, the respective percentages of intracellular iron EBIs and membrane iron EBIs in the 300 EBIs were calculated according to the results of the absolute quantification and analyzed statistically.</w:t>
      </w:r>
    </w:p>
    <w:p w14:paraId="249EEB6C">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rPr>
      </w:pPr>
      <w:r>
        <w:rPr>
          <w:rFonts w:hint="default" w:ascii="Times New Roman" w:hAnsi="Times New Roman" w:cs="Times New Roman"/>
          <w:b/>
          <w:bCs/>
          <w:sz w:val="24"/>
          <w:szCs w:val="24"/>
        </w:rPr>
        <w:t>Immunofluorescen</w:t>
      </w:r>
      <w:r>
        <w:rPr>
          <w:rFonts w:hint="default" w:ascii="Times New Roman" w:hAnsi="Times New Roman" w:cs="Times New Roman"/>
          <w:b/>
          <w:bCs/>
          <w:sz w:val="24"/>
          <w:szCs w:val="24"/>
          <w:lang w:val="en-US" w:eastAsia="zh-CN"/>
        </w:rPr>
        <w:t>ce</w:t>
      </w:r>
      <w:r>
        <w:rPr>
          <w:rFonts w:hint="default" w:ascii="Times New Roman" w:hAnsi="Times New Roman" w:cs="Times New Roman"/>
          <w:b/>
          <w:bCs/>
          <w:sz w:val="24"/>
          <w:szCs w:val="24"/>
        </w:rPr>
        <w:t xml:space="preserve"> staining of paraffin embedded bone marrow cells.</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color w:val="000000" w:themeColor="text1"/>
          <w:sz w:val="24"/>
          <w:szCs w:val="24"/>
          <w14:textFill>
            <w14:solidFill>
              <w14:schemeClr w14:val="tx1"/>
            </w14:solidFill>
          </w14:textFill>
        </w:rPr>
        <w:t>Formalin-fixed, paraffin-embedded (FFPE) bone marrow tissues from patients were sectioned at 4–5 µm. Sections were floated on a 40 °C water bath, mounted on slides, and dried for 12h. The sections were dehydrated through a graded series of ethanol (70%, 90%, 100%) and finally cleared in xylene. Antigen retrieval was carried out in 10 mM citrate buffer (pH 6.0) at 95–100 °C for 10 min, and slides were blocked with 3% BSA in PBS (25 °C, 30 min). Primary antibody incubation was performed at 4 °C overnight, followed by secondary antibody incubation at 25 °C for 30 min. Nuclei were stained with Hoechst 33342. Primary antibodies used are listed below:CD68 Monoclonal Antibody(FA-11), CD163 Polyclonal antibody. Secondary antibodies were Donkey anti-Rabbit or Donkey anti-Rat labeled with Alexa Fluor™ 647 or Plus 555. Pannoramic MIDI (3DHISTECH) slice scanner was used to acquire images.</w:t>
      </w:r>
    </w:p>
    <w:p w14:paraId="55D2AEED">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rPr>
      </w:pPr>
      <w:r>
        <w:rPr>
          <w:rFonts w:hint="eastAsia" w:ascii="Times New Roman" w:hAnsi="Times New Roman" w:cs="Times New Roman"/>
          <w:b/>
          <w:bCs/>
          <w:sz w:val="24"/>
        </w:rPr>
        <w:t xml:space="preserve">RNA seq. </w:t>
      </w:r>
      <w:r>
        <w:rPr>
          <w:rFonts w:ascii="Times New Roman" w:hAnsi="Times New Roman" w:cs="Times New Roman"/>
          <w:sz w:val="24"/>
        </w:rPr>
        <w:t>The RN</w:t>
      </w:r>
      <w:r>
        <w:rPr>
          <w:rFonts w:ascii="Times New Roman" w:hAnsi="Times New Roman" w:cs="Times New Roman"/>
          <w:color w:val="000000" w:themeColor="text1"/>
          <w:sz w:val="24"/>
          <w14:textFill>
            <w14:solidFill>
              <w14:schemeClr w14:val="tx1"/>
            </w14:solidFill>
          </w14:textFill>
        </w:rPr>
        <w:t xml:space="preserve">A-seq were prepared by Huada Gene Technology Service Co., Ltd. Briefly, RNA was extracted from </w:t>
      </w:r>
      <w:r>
        <w:rPr>
          <w:rFonts w:hint="eastAsia" w:ascii="Times New Roman" w:hAnsi="Times New Roman" w:cs="Times New Roman"/>
          <w:color w:val="000000" w:themeColor="text1"/>
          <w:sz w:val="24"/>
          <w:lang w:val="en-US" w:eastAsia="zh-CN"/>
          <w14:textFill>
            <w14:solidFill>
              <w14:schemeClr w14:val="tx1"/>
            </w14:solidFill>
          </w14:textFill>
        </w:rPr>
        <w:t>DEX</w:t>
      </w:r>
      <w:r>
        <w:rPr>
          <w:rFonts w:ascii="Times New Roman" w:hAnsi="Times New Roman" w:cs="Times New Roman"/>
          <w:color w:val="000000" w:themeColor="text1"/>
          <w:sz w:val="24"/>
          <w14:textFill>
            <w14:solidFill>
              <w14:schemeClr w14:val="tx1"/>
            </w14:solidFill>
          </w14:textFill>
        </w:rPr>
        <w:t>-treated human CB-derived “EBI-like” macrophages and control human CB-derived macrophages</w:t>
      </w:r>
      <w:r>
        <w:rPr>
          <w:rFonts w:hint="eastAsia" w:ascii="Times New Roman" w:hAnsi="Times New Roman" w:cs="Times New Roman"/>
          <w:color w:val="000000" w:themeColor="text1"/>
          <w:sz w:val="24"/>
          <w14:textFill>
            <w14:solidFill>
              <w14:schemeClr w14:val="tx1"/>
            </w14:solidFill>
          </w14:textFill>
        </w:rPr>
        <w:t xml:space="preserve"> and BMDM </w:t>
      </w:r>
      <w:r>
        <w:rPr>
          <w:rFonts w:ascii="Times New Roman" w:hAnsi="Times New Roman" w:cs="Times New Roman"/>
          <w:color w:val="000000" w:themeColor="text1"/>
          <w:sz w:val="24"/>
          <w14:textFill>
            <w14:solidFill>
              <w14:schemeClr w14:val="tx1"/>
            </w14:solidFill>
          </w14:textFill>
        </w:rPr>
        <w:t xml:space="preserve">from </w:t>
      </w:r>
      <w:r>
        <w:rPr>
          <w:rFonts w:hint="eastAsia" w:ascii="Times New Roman" w:hAnsi="Times New Roman" w:cs="Times New Roman"/>
          <w:color w:val="000000" w:themeColor="text1"/>
          <w:sz w:val="24"/>
          <w:lang w:val="en-US" w:eastAsia="zh-CN"/>
          <w14:textFill>
            <w14:solidFill>
              <w14:schemeClr w14:val="tx1"/>
            </w14:solidFill>
          </w14:textFill>
        </w:rPr>
        <w:t>DEX</w:t>
      </w:r>
      <w:r>
        <w:rPr>
          <w:rFonts w:ascii="Times New Roman" w:hAnsi="Times New Roman" w:cs="Times New Roman"/>
          <w:color w:val="000000" w:themeColor="text1"/>
          <w:sz w:val="24"/>
          <w14:textFill>
            <w14:solidFill>
              <w14:schemeClr w14:val="tx1"/>
            </w14:solidFill>
          </w14:textFill>
        </w:rPr>
        <w:t>-treated</w:t>
      </w:r>
      <w:r>
        <w:rPr>
          <w:rFonts w:hint="eastAsia" w:ascii="Times New Roman" w:hAnsi="Times New Roman" w:cs="Times New Roman"/>
          <w:color w:val="000000" w:themeColor="text1"/>
          <w:sz w:val="24"/>
          <w14:textFill>
            <w14:solidFill>
              <w14:schemeClr w14:val="tx1"/>
            </w14:solidFill>
          </w14:textFill>
        </w:rPr>
        <w:t xml:space="preserve"> and control</w:t>
      </w:r>
      <w:r>
        <w:rPr>
          <w:rFonts w:ascii="Times New Roman" w:hAnsi="Times New Roman" w:cs="Times New Roman"/>
          <w:color w:val="000000" w:themeColor="text1"/>
          <w:sz w:val="24"/>
          <w14:textFill>
            <w14:solidFill>
              <w14:schemeClr w14:val="tx1"/>
            </w14:solidFill>
          </w14:textFill>
        </w:rPr>
        <w:t xml:space="preserve">. Libraries were prepared using Illumina TruSeq kit and sequenced on an Illumina HiSeq 4000, with ~160 million 150bp pair-end reads produced for each sample. Raw data were filtered by Trim Galore for quality control and mapped to human (UCSC GRCh38 h) genome by subread. Gene expression and differentially expressed genes were estimated by Deseq2 package. Data representation and statistics were conducted by R, and principal component analysis was performed on expressed genes in </w:t>
      </w:r>
      <w:r>
        <w:rPr>
          <w:rFonts w:hint="eastAsia" w:ascii="Times New Roman" w:hAnsi="Times New Roman" w:cs="Times New Roman"/>
          <w:color w:val="000000" w:themeColor="text1"/>
          <w:sz w:val="24"/>
          <w:lang w:eastAsia="zh-CN"/>
          <w14:textFill>
            <w14:solidFill>
              <w14:schemeClr w14:val="tx1"/>
            </w14:solidFill>
          </w14:textFill>
        </w:rPr>
        <w:t>DEX</w:t>
      </w:r>
      <w:r>
        <w:rPr>
          <w:rFonts w:ascii="Times New Roman" w:hAnsi="Times New Roman" w:cs="Times New Roman"/>
          <w:color w:val="000000" w:themeColor="text1"/>
          <w:sz w:val="24"/>
          <w14:textFill>
            <w14:solidFill>
              <w14:schemeClr w14:val="tx1"/>
            </w14:solidFill>
          </w14:textFill>
        </w:rPr>
        <w:t>-treated macrophages and control macrophages. Gene set enrichment analysis (GSEA) was performed using the Molecular Signatures D</w:t>
      </w:r>
      <w:r>
        <w:rPr>
          <w:rFonts w:ascii="Times New Roman" w:hAnsi="Times New Roman" w:cs="Times New Roman"/>
          <w:sz w:val="24"/>
        </w:rPr>
        <w:t xml:space="preserve">atabase (MSigDB) version 6.0. </w:t>
      </w:r>
    </w:p>
    <w:p w14:paraId="25D24B9F">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hint="default" w:ascii="Times New Roman" w:hAnsi="Times New Roman" w:cs="Times New Roman"/>
          <w:b/>
          <w:bCs/>
          <w:sz w:val="24"/>
          <w:lang w:val="en-US" w:eastAsia="zh-CN"/>
        </w:rPr>
        <w:t>s</w:t>
      </w:r>
      <w:r>
        <w:rPr>
          <w:rFonts w:hint="default" w:ascii="Times New Roman" w:hAnsi="Times New Roman" w:cs="Times New Roman"/>
          <w:b/>
          <w:bCs/>
          <w:sz w:val="24"/>
        </w:rPr>
        <w:t>cRNA-seq</w:t>
      </w:r>
      <w:r>
        <w:rPr>
          <w:rFonts w:hint="default" w:ascii="Times New Roman" w:hAnsi="Times New Roman" w:cs="Times New Roman"/>
          <w:b/>
          <w:bCs/>
          <w:sz w:val="24"/>
          <w:lang w:eastAsia="zh-CN"/>
        </w:rPr>
        <w:t>：</w:t>
      </w:r>
      <w:r>
        <w:rPr>
          <w:rFonts w:hint="default" w:ascii="Times New Roman" w:hAnsi="Times New Roman" w:cs="Times New Roman"/>
          <w:sz w:val="24"/>
          <w:lang w:val="en-US" w:eastAsia="zh-CN"/>
        </w:rPr>
        <w:t>s</w:t>
      </w:r>
      <w:r>
        <w:rPr>
          <w:rFonts w:hint="default" w:ascii="Times New Roman" w:hAnsi="Times New Roman" w:cs="Times New Roman"/>
          <w:sz w:val="24"/>
        </w:rPr>
        <w:t>cRNA-seq data of HCs were downloaded from the GEO database GSE120221. ScRNA-seq data (mouse, rat, AIHA patients) have been deposited in the NODE database (https://www.biosino.org/node/index).</w:t>
      </w:r>
    </w:p>
    <w:p w14:paraId="3395FCAA">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hint="default" w:ascii="Times New Roman" w:hAnsi="Times New Roman" w:cs="Times New Roman"/>
          <w:b/>
          <w:bCs/>
          <w:sz w:val="24"/>
        </w:rPr>
        <w:t>Library preparation and sequencing of scRNA-seq</w:t>
      </w:r>
      <w:r>
        <w:rPr>
          <w:rFonts w:hint="default" w:ascii="Times New Roman" w:hAnsi="Times New Roman" w:cs="Times New Roman"/>
          <w:b/>
          <w:bCs/>
          <w:sz w:val="24"/>
          <w:lang w:val="en-US" w:eastAsia="zh-CN"/>
        </w:rPr>
        <w:t xml:space="preserve">. </w:t>
      </w:r>
      <w:r>
        <w:rPr>
          <w:rFonts w:hint="default" w:ascii="Times New Roman" w:hAnsi="Times New Roman" w:cs="Times New Roman"/>
          <w:sz w:val="24"/>
        </w:rPr>
        <w:t>Mouse F4/80⁺ macrophages, as well as rat and human CD45⁺ single‑cell suspensions, were sorted for sequencing. Cells were washed twice in PBS containing 0.1% BSA, counted (Halo Counter HD‑4FL), and approximately 10,000 cells per lane were loaded onto a Chromium™ Single Cell A Chip using the Chromium™ Single Cell 3′ Library &amp; Gel Bead Kit v2 (10X Genomics). Gel bead‑emulsion generation, cell lysis, barcoded reverse transcription, cDNA amplification, fragmentation, and adapter ligation were performed on the Chromium™ instrument according to the manufacturer’s instructions. Libraries were sequenced on an Illumina platform (PE150) by Annoroad Gene Technology (Beijing, China).</w:t>
      </w:r>
    </w:p>
    <w:p w14:paraId="4CBAC270">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hint="default" w:ascii="Times New Roman" w:hAnsi="Times New Roman" w:cs="Times New Roman"/>
          <w:b/>
          <w:bCs/>
          <w:sz w:val="24"/>
        </w:rPr>
        <w:t>Data processing</w:t>
      </w:r>
      <w:r>
        <w:rPr>
          <w:rFonts w:hint="default" w:ascii="Times New Roman" w:hAnsi="Times New Roman" w:cs="Times New Roman"/>
          <w:sz w:val="24"/>
        </w:rPr>
        <w:t>. Raw sequencing data were processed with Cell Ranger (v8.0.1) using default parameters. Reads were aligned to reference genomes GRCm39 (mouse), mRatBN7.2 (rat), or GRCh38 (human). A gene‑expression matrix was generated from confidently mapped reads containing valid barcodes and UMIs.</w:t>
      </w:r>
    </w:p>
    <w:p w14:paraId="2DA7156E">
      <w:pPr>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cs="Times New Roman"/>
          <w:sz w:val="24"/>
        </w:rPr>
      </w:pPr>
      <w:r>
        <w:rPr>
          <w:rFonts w:hint="eastAsia" w:ascii="Times New Roman" w:hAnsi="Times New Roman" w:cs="Times New Roman"/>
          <w:b/>
          <w:bCs/>
          <w:sz w:val="24"/>
        </w:rPr>
        <w:t>Quality Control and Normalization</w:t>
      </w:r>
    </w:p>
    <w:p w14:paraId="080FECA7">
      <w:pPr>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cs="Times New Roman"/>
          <w:sz w:val="24"/>
        </w:rPr>
      </w:pPr>
      <w:r>
        <w:rPr>
          <w:rFonts w:hint="default" w:ascii="Times New Roman" w:hAnsi="Times New Roman" w:cs="Times New Roman"/>
          <w:sz w:val="24"/>
        </w:rPr>
        <w:t>Gene‑count matrices were imported into R (v4.4.3) and analyzed with Seurat (v5.1.3). Genes detected in fewer than three cells and cells expressing fewer than 500 genes were excluded. Cells with &gt;10% mitochondrial gene content were also removed. Expression values were normalized using the NormalizeDatafunction and scaled with ScaleData. The top 2,000 highly variable genes were identified (FindVariableFeatures, selection.method = “vst”). Principal component analysis (PCA) was performed using RunPCA.</w:t>
      </w:r>
    </w:p>
    <w:p w14:paraId="7553467A">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hint="eastAsia" w:ascii="Times New Roman" w:hAnsi="Times New Roman" w:cs="Times New Roman"/>
          <w:b/>
          <w:bCs/>
          <w:sz w:val="24"/>
        </w:rPr>
        <w:t>Batch correction</w:t>
      </w:r>
      <w:r>
        <w:rPr>
          <w:rFonts w:hint="eastAsia" w:ascii="Times New Roman" w:hAnsi="Times New Roman" w:cs="Times New Roman"/>
          <w:sz w:val="24"/>
        </w:rPr>
        <w:t>. The PCA embedding were adjusted for batch effects by applying alternative algorithms to the same Seurat object through Harmony(v 1.2.3 ) with the first 20 PCA dimensions and the default theta parameter.</w:t>
      </w:r>
    </w:p>
    <w:p w14:paraId="047FABFC">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EBI</w:t>
      </w:r>
      <w:r>
        <w:rPr>
          <w:rFonts w:hint="default" w:ascii="Times New Roman" w:hAnsi="Times New Roman" w:cs="Times New Roman"/>
          <w:b/>
          <w:bCs/>
          <w:color w:val="000000" w:themeColor="text1"/>
          <w:sz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14:textFill>
            <w14:solidFill>
              <w14:schemeClr w14:val="tx1"/>
            </w14:solidFill>
          </w14:textFill>
        </w:rPr>
        <w:t>Macrophage Signature Score Analysis</w:t>
      </w:r>
    </w:p>
    <w:p w14:paraId="1B299327">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The EBI macrophage signature score was calculated based on the expression levels of 13 genes that are established markers of erythroblastic island macrophages and are critically involved in their core functions, including adhesion, iron recycling, phagocytosis. The gene set includes</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SPIC, MARCO, CD163, HMOX1, T</w:t>
      </w:r>
      <w:r>
        <w:rPr>
          <w:rFonts w:hint="default" w:ascii="Times New Roman" w:hAnsi="Times New Roman" w:cs="Times New Roman"/>
          <w:color w:val="000000" w:themeColor="text1"/>
          <w:sz w:val="24"/>
          <w:lang w:val="en-US" w:eastAsia="zh-CN"/>
          <w14:textFill>
            <w14:solidFill>
              <w14:schemeClr w14:val="tx1"/>
            </w14:solidFill>
          </w14:textFill>
        </w:rPr>
        <w:t>R</w:t>
      </w:r>
      <w:r>
        <w:rPr>
          <w:rFonts w:hint="default" w:ascii="Times New Roman" w:hAnsi="Times New Roman" w:cs="Times New Roman"/>
          <w:color w:val="000000" w:themeColor="text1"/>
          <w:sz w:val="24"/>
          <w14:textFill>
            <w14:solidFill>
              <w14:schemeClr w14:val="tx1"/>
            </w14:solidFill>
          </w14:textFill>
        </w:rPr>
        <w:t>F, SLC40A1, FTH1, MERTK, TIMD4, NR1H3, NCOA4, LRP1, and</w:t>
      </w:r>
      <w:r>
        <w:rPr>
          <w:rFonts w:hint="default"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SLC48A1.</w:t>
      </w:r>
    </w:p>
    <w:p w14:paraId="2673E302">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sz w:val="24"/>
        </w:rPr>
      </w:pPr>
      <w:r>
        <w:rPr>
          <w:rFonts w:hint="default" w:ascii="Times New Roman" w:hAnsi="Times New Roman" w:eastAsia="等线" w:cs="Times New Roman"/>
          <w:b/>
          <w:bCs/>
          <w:color w:val="000000" w:themeColor="text1"/>
          <w:sz w:val="24"/>
          <w14:textFill>
            <w14:solidFill>
              <w14:schemeClr w14:val="tx1"/>
            </w14:solidFill>
          </w14:textFill>
        </w:rPr>
        <w:t xml:space="preserve">Assay for Transposase-Accessible Chromatin with high throughput sequencing analysis. </w:t>
      </w:r>
      <w:r>
        <w:rPr>
          <w:rFonts w:hint="default" w:ascii="Times New Roman" w:hAnsi="Times New Roman" w:cs="Times New Roman"/>
          <w:color w:val="000000" w:themeColor="text1"/>
          <w:sz w:val="24"/>
          <w:lang w:val="en-US" w:eastAsia="zh-CN"/>
          <w14:textFill>
            <w14:solidFill>
              <w14:schemeClr w14:val="tx1"/>
            </w14:solidFill>
          </w14:textFill>
        </w:rPr>
        <w:t>Publicly available ATAC</w:t>
      </w:r>
      <w:r>
        <w:rPr>
          <w:rFonts w:hint="default" w:ascii="Times New Roman" w:hAnsi="Times New Roman" w:cs="Times New Roman"/>
          <w:color w:val="000000" w:themeColor="text1"/>
          <w:sz w:val="24"/>
          <w:lang w:val="en-US" w:eastAsia="zh-CN"/>
          <w14:textFill>
            <w14:solidFill>
              <w14:schemeClr w14:val="tx1"/>
            </w14:solidFill>
          </w14:textFill>
        </w:rPr>
        <w:noBreakHyphen/>
      </w:r>
      <w:r>
        <w:rPr>
          <w:rFonts w:hint="default" w:ascii="Times New Roman" w:hAnsi="Times New Roman" w:cs="Times New Roman"/>
          <w:color w:val="000000" w:themeColor="text1"/>
          <w:sz w:val="24"/>
          <w:lang w:val="en-US" w:eastAsia="zh-CN"/>
          <w14:textFill>
            <w14:solidFill>
              <w14:schemeClr w14:val="tx1"/>
            </w14:solidFill>
          </w14:textFill>
        </w:rPr>
        <w:t xml:space="preserve">seq data (GSE248042) were obtained from </w:t>
      </w:r>
      <w:r>
        <w:rPr>
          <w:rFonts w:hint="default" w:ascii="Times New Roman" w:hAnsi="Times New Roman" w:cs="Times New Roman"/>
          <w:sz w:val="24"/>
          <w:lang w:val="en-US" w:eastAsia="zh-CN"/>
        </w:rPr>
        <w:t>the Gene Expression Omnibus (GEO). Peaks were called using MACS2 (v2.1.1) with a q</w:t>
      </w:r>
      <w:r>
        <w:rPr>
          <w:rFonts w:hint="default" w:ascii="Times New Roman" w:hAnsi="Times New Roman" w:cs="Times New Roman"/>
          <w:sz w:val="24"/>
          <w:lang w:val="en-US" w:eastAsia="zh-CN"/>
        </w:rPr>
        <w:noBreakHyphen/>
      </w:r>
      <w:r>
        <w:rPr>
          <w:rFonts w:hint="default" w:ascii="Times New Roman" w:hAnsi="Times New Roman" w:cs="Times New Roman"/>
          <w:sz w:val="24"/>
          <w:lang w:val="en-US" w:eastAsia="zh-CN"/>
        </w:rPr>
        <w:t>value cutoff of &lt;0.05. Peak annotation was performed with ChIPseeker (v1.20.0). For promoter</w:t>
      </w:r>
      <w:r>
        <w:rPr>
          <w:rFonts w:hint="default" w:ascii="Times New Roman" w:hAnsi="Times New Roman" w:cs="Times New Roman"/>
          <w:sz w:val="24"/>
          <w:lang w:val="en-US" w:eastAsia="zh-CN"/>
        </w:rPr>
        <w:noBreakHyphen/>
      </w:r>
      <w:r>
        <w:rPr>
          <w:rFonts w:hint="default" w:ascii="Times New Roman" w:hAnsi="Times New Roman" w:cs="Times New Roman"/>
          <w:sz w:val="24"/>
          <w:lang w:val="en-US" w:eastAsia="zh-CN"/>
        </w:rPr>
        <w:t>associated accessibility, regions within 3 kb of transcription start sites (TSS) were considered promoter peaks. Differential accessibility analysis was performed with DiffBind (v3.8.4) using DESeq2. BigWig</w:t>
      </w:r>
      <w:r>
        <w:rPr>
          <w:rFonts w:hint="default" w:ascii="Times New Roman" w:hAnsi="Times New Roman" w:cs="Times New Roman"/>
          <w:sz w:val="24"/>
          <w:lang w:val="en-US" w:eastAsia="zh-CN"/>
        </w:rPr>
        <w:noBreakHyphen/>
      </w:r>
      <w:r>
        <w:rPr>
          <w:rFonts w:hint="default" w:ascii="Times New Roman" w:hAnsi="Times New Roman" w:cs="Times New Roman"/>
          <w:sz w:val="24"/>
          <w:lang w:val="en-US" w:eastAsia="zh-CN"/>
        </w:rPr>
        <w:t>format signal tracks were generated with deepTools (v2.5.7) and normalized to 1 million reads for visualization. Read coverage and sequencing depth were quantified using SAMtools (v1.6)</w:t>
      </w:r>
      <w:r>
        <w:rPr>
          <w:rFonts w:hint="default" w:ascii="Times New Roman" w:hAnsi="Times New Roman" w:cs="Times New Roman"/>
          <w:sz w:val="24"/>
          <w:vertAlign w:val="superscript"/>
        </w:rPr>
        <w:fldChar w:fldCharType="begin"/>
      </w:r>
      <w:r>
        <w:rPr>
          <w:rFonts w:hint="default" w:ascii="Times New Roman" w:hAnsi="Times New Roman" w:cs="Times New Roman"/>
          <w:sz w:val="24"/>
          <w:vertAlign w:val="superscript"/>
        </w:rPr>
        <w:instrText xml:space="preserve"> ADDIN ZOTERO_ITEM CSL_CITATION {"citationID":"NWpRB2Uy","properties":{"formattedCitation":"\\super [10]\\nosupersub{}","plainCitation":"[10]","noteIndex":0},"citationItems":[{"id":1438,"uris":["http://zotero.org/users/local/g1c9o22g/items/NM8WR8MA"],"itemData":{"id":1438,"type":"article-journal","abstract":"ChIPseeker is an R package for annotating ChIP-seq data analysis. It supports annotating ChIP peaks and provides functions to visualize ChIP peaks coverage over chromosomes and profiles of peaks binding to TSS regions. Comparison of ChIP peak profiles and annotation are also supported. Moreover, it supports evaluating significant overlap among ChIP-seq datasets. Currently, ChIPseeker contains 15 000 bed file information from GEO database. These datasets can be downloaded and compare with user's own data to explore significant overlap datasets for inferring co-regulation or transcription factor complex for further investigation.\nAVAILABILITY AND IMPLEMENTATION: ChIPseeker is released under Artistic-2.0 License. The source code and documents are freely available through Bioconductor (http://www.bioconductor.org/packages/release/bioc/html/ChIPseeker.html).","container-title":"Bioinformatics (Oxford, England)","DOI":"10.1093/bioinformatics/btv145","ISSN":"1367-4811","issue":"14","journalAbbreviation":"Bioinformatics","language":"eng","note":"PMID: 25765347","page":"2382-2383","source":"PubMed","title":"ChIPseeker: an R/Bioconductor package for ChIP peak annotation, comparison and visualization","title-short":"ChIPseeker","volume":"31","author":[{"family":"Yu","given":"Guangchuang"},{"family":"Wang","given":"Li-Gen"},{"family":"He","given":"Qing-Yu"}],"issued":{"date-parts":[["2015",7,15]]}}}],"schema":"https://github.com/citation-style-language/schema/raw/master/csl-citation.json"} </w:instrText>
      </w:r>
      <w:r>
        <w:rPr>
          <w:rFonts w:hint="default" w:ascii="Times New Roman" w:hAnsi="Times New Roman" w:cs="Times New Roman"/>
          <w:sz w:val="24"/>
          <w:vertAlign w:val="superscript"/>
        </w:rPr>
        <w:fldChar w:fldCharType="separate"/>
      </w:r>
      <w:r>
        <w:rPr>
          <w:rFonts w:hint="default" w:ascii="Times New Roman" w:hAnsi="Times New Roman" w:cs="Times New Roman"/>
          <w:sz w:val="24"/>
          <w:vertAlign w:val="superscript"/>
        </w:rPr>
        <w:t>[</w:t>
      </w:r>
      <w:r>
        <w:rPr>
          <w:rFonts w:hint="default" w:ascii="Times New Roman" w:hAnsi="Times New Roman" w:cs="Times New Roman"/>
          <w:sz w:val="24"/>
          <w:vertAlign w:val="superscript"/>
          <w:lang w:val="en-US" w:eastAsia="zh-CN"/>
        </w:rPr>
        <w:t>7-</w:t>
      </w:r>
      <w:r>
        <w:rPr>
          <w:rFonts w:hint="default" w:ascii="Times New Roman" w:hAnsi="Times New Roman" w:cs="Times New Roman"/>
          <w:sz w:val="24"/>
          <w:vertAlign w:val="superscript"/>
        </w:rPr>
        <w:t>10]</w:t>
      </w:r>
      <w:r>
        <w:rPr>
          <w:rFonts w:hint="default" w:ascii="Times New Roman" w:hAnsi="Times New Roman" w:cs="Times New Roman"/>
          <w:sz w:val="24"/>
          <w:vertAlign w:val="superscript"/>
        </w:rPr>
        <w:fldChar w:fldCharType="end"/>
      </w:r>
      <w:r>
        <w:rPr>
          <w:rFonts w:hint="default" w:ascii="Times New Roman" w:hAnsi="Times New Roman" w:cs="Times New Roman"/>
          <w:sz w:val="24"/>
          <w:vertAlign w:val="baseline"/>
          <w:lang w:val="en-US" w:eastAsia="zh-CN"/>
        </w:rPr>
        <w:t>.</w:t>
      </w:r>
    </w:p>
    <w:p w14:paraId="5E8B5F4E">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sz w:val="24"/>
        </w:rPr>
      </w:pPr>
      <w:bookmarkStart w:id="0" w:name="OLE_LINK28"/>
      <w:r>
        <w:rPr>
          <w:rFonts w:hint="default" w:ascii="Times New Roman" w:hAnsi="Times New Roman" w:cs="Times New Roman"/>
          <w:b/>
          <w:bCs/>
          <w:sz w:val="24"/>
        </w:rPr>
        <w:t xml:space="preserve">CUT&amp;Tag. </w:t>
      </w:r>
      <w:r>
        <w:rPr>
          <w:rFonts w:hint="default" w:ascii="Times New Roman" w:hAnsi="Times New Roman" w:eastAsia="等线" w:cs="Times New Roman"/>
          <w:sz w:val="24"/>
        </w:rPr>
        <w:t xml:space="preserve">The </w:t>
      </w:r>
      <w:r>
        <w:rPr>
          <w:rFonts w:hint="default" w:ascii="Times New Roman" w:hAnsi="Times New Roman" w:cs="Times New Roman"/>
          <w:sz w:val="24"/>
        </w:rPr>
        <w:t>CUT&amp;Tag</w:t>
      </w:r>
      <w:r>
        <w:rPr>
          <w:rFonts w:hint="default" w:ascii="Times New Roman" w:hAnsi="Times New Roman" w:eastAsia="等线" w:cs="Times New Roman"/>
          <w:sz w:val="24"/>
        </w:rPr>
        <w:t xml:space="preserve"> data (</w:t>
      </w:r>
      <w:r>
        <w:rPr>
          <w:rFonts w:hint="default" w:ascii="Times New Roman" w:hAnsi="Times New Roman" w:cs="Times New Roman"/>
          <w:sz w:val="24"/>
        </w:rPr>
        <w:t>GSE250376</w:t>
      </w:r>
      <w:r>
        <w:rPr>
          <w:rFonts w:hint="default" w:ascii="Times New Roman" w:hAnsi="Times New Roman" w:eastAsia="等线" w:cs="Times New Roman"/>
          <w:sz w:val="24"/>
        </w:rPr>
        <w:t>) were downloaded from the GEO database. MACS2 version 2.1.1 (https://pypi.org/project/MACS2/) was us</w:t>
      </w:r>
      <w:r>
        <w:rPr>
          <w:rFonts w:ascii="Times New Roman" w:hAnsi="Times New Roman" w:eastAsia="等线" w:cs="Times New Roman"/>
          <w:sz w:val="24"/>
        </w:rPr>
        <w:t>ed to identify peaks q value of &lt;0.05.</w:t>
      </w:r>
      <w:r>
        <w:rPr>
          <w:rFonts w:ascii="Times New Roman" w:hAnsi="Times New Roman" w:eastAsia="等线" w:cs="Times New Roman"/>
          <w:sz w:val="24"/>
        </w:rPr>
        <w:fldChar w:fldCharType="begin"/>
      </w:r>
      <w:r>
        <w:rPr>
          <w:rFonts w:ascii="Times New Roman" w:hAnsi="Times New Roman" w:eastAsia="等线" w:cs="Times New Roman"/>
          <w:sz w:val="24"/>
        </w:rPr>
        <w:instrText xml:space="preserve"> ADDIN ZOTERO_ITEM CSL_CITATION {"citationID":"VLtQDiEm","properties":{"formattedCitation":"\\super [9]\\nosupersub{}","plainCitation":"[9]","noteIndex":0},"citationItems":[{"id":1435,"uris":["http://zotero.org/users/local/g1c9o22g/items/XXIW34LA"],"itemData":{"id":1435,"type":"article-journal","abstract":"We present Model-based Analysis of ChIP-Seq data, MACS, which analyzes data generated by short read sequencers such as Solexa's Genome Analyzer. MACS empirically models the shift size of ChIP-Seq tags, and uses it to improve the spatial resolution of predicted binding sites. MACS also uses a dynamic Poisson distribution to effectively capture local biases in the genome, allowing for more robust predictions. MACS compares favorably to existing ChIP-Seq peak-finding algorithms, and is freely available.","container-title":"Genome Biology","DOI":"10.1186/gb-2008-9-9-r137","ISSN":"1474-760X","issue":"9","journalAbbreviation":"Genome Biol","language":"eng","note":"PMID: 18798982\nPMCID: PMC2592715","page":"R137","source":"PubMed","title":"Model-based analysis of ChIP-Seq (MACS)","volume":"9","author":[{"family":"Zhang","given":"Yong"},{"family":"Liu","given":"Tao"},{"family":"Meyer","given":"Clifford A."},{"family":"Eeckhoute","given":"Jérôme"},{"family":"Johnson","given":"David S."},{"family":"Bernstein","given":"Bradley E."},{"family":"Nusbaum","given":"Chad"},{"family":"Myers","given":"Richard M."},{"family":"Brown","given":"Myles"},{"family":"Li","given":"Wei"},{"family":"Liu","given":"X. Shirley"}],"issued":{"date-parts":[["2008"]]}}}],"schema":"https://github.com/citation-style-language/schema/raw/master/csl-citation.json"} </w:instrText>
      </w:r>
      <w:r>
        <w:rPr>
          <w:rFonts w:ascii="Times New Roman" w:hAnsi="Times New Roman" w:eastAsia="等线" w:cs="Times New Roman"/>
          <w:sz w:val="24"/>
        </w:rPr>
        <w:fldChar w:fldCharType="separate"/>
      </w:r>
      <w:r>
        <w:rPr>
          <w:rFonts w:ascii="Times New Roman" w:hAnsi="Times New Roman" w:cs="Times New Roman"/>
          <w:kern w:val="0"/>
          <w:sz w:val="24"/>
          <w:vertAlign w:val="superscript"/>
        </w:rPr>
        <w:t>[9]</w:t>
      </w:r>
      <w:r>
        <w:rPr>
          <w:rFonts w:ascii="Times New Roman" w:hAnsi="Times New Roman" w:eastAsia="等线" w:cs="Times New Roman"/>
          <w:sz w:val="24"/>
        </w:rPr>
        <w:fldChar w:fldCharType="end"/>
      </w:r>
      <w:r>
        <w:rPr>
          <w:rFonts w:ascii="Times New Roman" w:hAnsi="Times New Roman" w:eastAsia="等线" w:cs="Times New Roman"/>
          <w:sz w:val="24"/>
        </w:rPr>
        <w:t xml:space="preserve"> The annotation of peaks was performed using </w:t>
      </w:r>
      <w:r>
        <w:rPr>
          <w:rFonts w:hint="default" w:ascii="Times New Roman" w:hAnsi="Times New Roman" w:eastAsia="等线" w:cs="Times New Roman"/>
          <w:sz w:val="24"/>
        </w:rPr>
        <w:t xml:space="preserve">ChIPseeker </w:t>
      </w:r>
      <w:r>
        <w:rPr>
          <w:rFonts w:hint="eastAsia" w:ascii="Times New Roman" w:hAnsi="Times New Roman" w:eastAsia="等线" w:cs="Times New Roman"/>
          <w:sz w:val="24"/>
          <w:lang w:val="en-US" w:eastAsia="zh-CN"/>
        </w:rPr>
        <w:t>(</w:t>
      </w:r>
      <w:r>
        <w:rPr>
          <w:rFonts w:hint="default" w:ascii="Times New Roman" w:hAnsi="Times New Roman" w:eastAsia="等线" w:cs="Times New Roman"/>
          <w:sz w:val="24"/>
        </w:rPr>
        <w:t>v1.20.0</w:t>
      </w:r>
      <w:r>
        <w:rPr>
          <w:rFonts w:hint="eastAsia" w:ascii="Times New Roman" w:hAnsi="Times New Roman" w:eastAsia="等线" w:cs="Times New Roman"/>
          <w:sz w:val="24"/>
          <w:lang w:val="en-US" w:eastAsia="zh-CN"/>
        </w:rPr>
        <w:t>)</w:t>
      </w:r>
      <w:r>
        <w:rPr>
          <w:rFonts w:hint="default" w:ascii="Times New Roman" w:hAnsi="Times New Roman" w:eastAsia="等线" w:cs="Times New Roman"/>
          <w:sz w:val="24"/>
        </w:rPr>
        <w:t xml:space="preserve"> </w:t>
      </w:r>
      <w:r>
        <w:rPr>
          <w:rFonts w:hint="default" w:ascii="Times New Roman" w:hAnsi="Times New Roman" w:eastAsia="等线" w:cs="Times New Roman"/>
          <w:sz w:val="24"/>
        </w:rPr>
        <w:fldChar w:fldCharType="begin"/>
      </w:r>
      <w:r>
        <w:rPr>
          <w:rFonts w:hint="default" w:ascii="Times New Roman" w:hAnsi="Times New Roman" w:eastAsia="等线" w:cs="Times New Roman"/>
          <w:sz w:val="24"/>
        </w:rPr>
        <w:instrText xml:space="preserve"> ADDIN ZOTERO_ITEM CSL_CITATION {"citationID":"AgUShuaA","properties":{"formattedCitation":"\\super [10]\\nosupersub{}","plainCitation":"[10]","noteIndex":0},"citationItems":[{"id":1438,"uris":["http://zotero.org/users/local/g1c9o22g/items/NM8WR8MA"],"itemData":{"id":1438,"type":"article-journal","abstract":"ChIPseeker is an R package for annotating ChIP-seq data analysis. It supports annotating ChIP peaks and provides functions to visualize ChIP peaks coverage over chromosomes and profiles of peaks binding to TSS regions. Comparison of ChIP peak profiles and annotation are also supported. Moreover, it supports evaluating significant overlap among ChIP-seq datasets. Currently, ChIPseeker contains 15 000 bed file information from GEO database. These datasets can be downloaded and compare with user's own data to explore significant overlap datasets for inferring co-regulation or transcription factor complex for further investigation.\nAVAILABILITY AND IMPLEMENTATION: ChIPseeker is released under Artistic-2.0 License. The source code and documents are freely available through Bioconductor (http://www.bioconductor.org/packages/release/bioc/html/ChIPseeker.html).","container-title":"Bioinformatics (Oxford, England)","DOI":"10.1093/bioinformatics/btv145","ISSN":"1367-4811","issue":"14","journalAbbreviation":"Bioinformatics","language":"eng","note":"PMID: 25765347","page":"2382-2383","source":"PubMed","title":"ChIPseeker: an R/Bioconductor package for ChIP peak annotation, comparison and visualization","title-short":"ChIPseeker","volume":"31","author":[{"family":"Yu","given":"Guangchuang"},{"family":"Wang","given":"Li-Gen"},{"family":"He","given":"Qing-Yu"}],"issued":{"date-parts":[["2015",7,15]]}}}],"schema":"https://github.com/citation-style-language/schema/raw/master/csl-citation.json"} </w:instrText>
      </w:r>
      <w:r>
        <w:rPr>
          <w:rFonts w:hint="default" w:ascii="Times New Roman" w:hAnsi="Times New Roman" w:eastAsia="等线" w:cs="Times New Roman"/>
          <w:sz w:val="24"/>
        </w:rPr>
        <w:fldChar w:fldCharType="separate"/>
      </w:r>
      <w:r>
        <w:rPr>
          <w:rFonts w:hint="default" w:ascii="Times New Roman" w:hAnsi="Times New Roman" w:cs="Times New Roman"/>
          <w:kern w:val="0"/>
          <w:sz w:val="24"/>
          <w:vertAlign w:val="superscript"/>
        </w:rPr>
        <w:t>[10]</w:t>
      </w:r>
      <w:r>
        <w:rPr>
          <w:rFonts w:hint="default" w:ascii="Times New Roman" w:hAnsi="Times New Roman" w:eastAsia="等线" w:cs="Times New Roman"/>
          <w:sz w:val="24"/>
        </w:rPr>
        <w:fldChar w:fldCharType="end"/>
      </w:r>
      <w:r>
        <w:rPr>
          <w:rFonts w:hint="eastAsia" w:ascii="Times New Roman" w:hAnsi="Times New Roman" w:eastAsia="等线" w:cs="Times New Roman"/>
          <w:sz w:val="24"/>
          <w:lang w:val="en-US" w:eastAsia="zh-CN"/>
        </w:rPr>
        <w:t>.</w:t>
      </w:r>
    </w:p>
    <w:bookmarkEnd w:id="0"/>
    <w:p w14:paraId="5260178C">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sz w:val="24"/>
          <w:lang w:val="en-US" w:eastAsia="zh-CN"/>
        </w:rPr>
      </w:pPr>
      <w:r>
        <w:rPr>
          <w:rFonts w:hint="default" w:ascii="Times New Roman" w:hAnsi="Times New Roman" w:cs="Times New Roman"/>
          <w:b/>
          <w:bCs/>
          <w:sz w:val="24"/>
        </w:rPr>
        <w:t xml:space="preserve">ChIP-seq. </w:t>
      </w:r>
      <w:r>
        <w:rPr>
          <w:rFonts w:hint="eastAsia" w:ascii="Times New Roman" w:hAnsi="Times New Roman" w:cs="Times New Roman"/>
          <w:sz w:val="24"/>
          <w:lang w:val="en-US" w:eastAsia="zh-CN"/>
        </w:rPr>
        <w:t>Publicly available ChIP</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seq data (GSE247447) were downloaded from the GEO database. Reads were aligned to the reference genome using Bowtie2 (v2.3.5.1). Uniquely mapped, non</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duplicate reads were retained for downstream analysis. Peaks were called using MACS2 (v2.1.1) in broad</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peak mode with a q</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value cutoff &lt;0.01. Peak annotation was performed with ChIPseeker (v1.20.0).</w:t>
      </w:r>
    </w:p>
    <w:p w14:paraId="47EC547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sz w:val="24"/>
          <w:lang w:val="en-US" w:eastAsia="zh-CN"/>
        </w:rPr>
      </w:pPr>
    </w:p>
    <w:p w14:paraId="0870E37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rPr>
      </w:pPr>
      <w:r>
        <w:rPr>
          <w:rFonts w:ascii="Times New Roman" w:hAnsi="Times New Roman" w:cs="Times New Roman"/>
          <w:b/>
          <w:bCs/>
          <w:sz w:val="24"/>
        </w:rPr>
        <w:t xml:space="preserve">Graph-based clustering and differential gene expression analyses. </w:t>
      </w:r>
      <w:r>
        <w:rPr>
          <w:rFonts w:hint="default" w:ascii="Times New Roman" w:hAnsi="Times New Roman" w:cs="Times New Roman"/>
          <w:sz w:val="24"/>
        </w:rPr>
        <w:t>Cell clusters were identified with the Louvain algorithm using the FindClustersfunction. Two‑dimensional embeddings were generated by t‑SNE and UMAP. Cluster‑specific genes were detected via FindAllMarkers(only.pos=FALSE, min.pct=0.1), and differentially expressed genes (DEGs) were identified with FindMarkers(only.pos= FALSE, min.pct=0.1, logfc.threshold&gt;0.1). For erythroblastic island (EBI) signature scoring, the AddModuleScore_UCellfunction from the UCell package was applied. Iron‑metabolism and phagocytosis‑related pathways were obtained from the Gene Ontology and KEGG databases.</w:t>
      </w:r>
    </w:p>
    <w:p w14:paraId="2E6F5CA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ascii="Times New Roman" w:hAnsi="Times New Roman" w:cs="Times New Roman"/>
          <w:sz w:val="24"/>
          <w:szCs w:val="24"/>
        </w:rPr>
      </w:pPr>
    </w:p>
    <w:p w14:paraId="0B664F64">
      <w:pPr>
        <w:spacing w:line="360" w:lineRule="auto"/>
        <w:rPr>
          <w:rFonts w:hint="eastAsia" w:ascii="Times New Roman" w:hAnsi="Times New Roman" w:cs="Times New Roman"/>
          <w:b/>
          <w:bCs/>
          <w:sz w:val="24"/>
        </w:rPr>
      </w:pPr>
      <w:r>
        <w:rPr>
          <w:rFonts w:hint="eastAsia" w:ascii="Times New Roman" w:hAnsi="Times New Roman" w:cs="Times New Roman"/>
          <w:b/>
          <w:bCs/>
          <w:sz w:val="24"/>
        </w:rPr>
        <w:t>Reference:</w:t>
      </w:r>
    </w:p>
    <w:p w14:paraId="59818EA7">
      <w:pPr>
        <w:pStyle w:val="8"/>
        <w:spacing w:line="440" w:lineRule="exact"/>
        <w:rPr>
          <w:rFonts w:ascii="Times New Roman" w:hAnsi="Times New Roman" w:cs="Times New Roman"/>
          <w:sz w:val="24"/>
        </w:rPr>
      </w:pPr>
      <w:r>
        <w:rPr>
          <w14:ligatures w14:val="standardContextual"/>
        </w:rPr>
        <w:fldChar w:fldCharType="begin"/>
      </w:r>
      <w:r>
        <w:rPr>
          <w14:ligatures w14:val="standardContextual"/>
        </w:rPr>
        <w:instrText xml:space="preserve"> ADDIN ZOTERO_BIBL {"uncited":[],"omitted":[],"custom":[]} CSL_BIBLIOGRAPHY </w:instrText>
      </w:r>
      <w:r>
        <w:rPr>
          <w14:ligatures w14:val="standardContextual"/>
        </w:rPr>
        <w:fldChar w:fldCharType="separate"/>
      </w: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ZHANG H, WANG S, LIU D, et al. EpoR-tdTomato-Cre mice enable identification of EpoR expression in subsets of tissue macrophages and hematopoietic cells[J]. Blood, 2021, 138(20): 1986-1997.</w:t>
      </w:r>
    </w:p>
    <w:p w14:paraId="5A4A90CE">
      <w:pPr>
        <w:pStyle w:val="8"/>
        <w:spacing w:line="440" w:lineRule="exact"/>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CAO W, FAN W, WANG F, et al. GM-CSF impairs erythropoiesis by disrupting erythroblastic island formation via macrophages[J]. Journal of Translational Medicine, 2022, 20(1): 11.</w:t>
      </w:r>
    </w:p>
    <w:p w14:paraId="79A21D80">
      <w:pPr>
        <w:pStyle w:val="8"/>
        <w:spacing w:line="440" w:lineRule="exact"/>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ZHANG J, LIU Y, HAN X, et al. Rats provide a superior model of human stress erythropoiesis[J]. Experimental Hematology, 2019, 78: 21-34.e3.</w:t>
      </w:r>
    </w:p>
    <w:p w14:paraId="5B52C291">
      <w:pPr>
        <w:pStyle w:val="8"/>
        <w:spacing w:line="440" w:lineRule="exact"/>
        <w:rPr>
          <w:rFonts w:ascii="Times New Roman" w:hAnsi="Times New Roman" w:cs="Times New Roman"/>
          <w:sz w:val="24"/>
        </w:rPr>
      </w:pPr>
      <w:r>
        <w:rPr>
          <w:rFonts w:ascii="Times New Roman" w:hAnsi="Times New Roman" w:cs="Times New Roman"/>
          <w:sz w:val="24"/>
          <w:lang w:val="it-IT"/>
        </w:rPr>
        <w:t>[4]</w:t>
      </w:r>
      <w:r>
        <w:rPr>
          <w:rFonts w:ascii="Times New Roman" w:hAnsi="Times New Roman" w:cs="Times New Roman"/>
          <w:sz w:val="24"/>
          <w:lang w:val="it-IT"/>
        </w:rPr>
        <w:tab/>
      </w:r>
      <w:r>
        <w:rPr>
          <w:rFonts w:ascii="Times New Roman" w:hAnsi="Times New Roman" w:cs="Times New Roman"/>
          <w:sz w:val="24"/>
          <w:lang w:val="it-IT"/>
        </w:rPr>
        <w:t xml:space="preserve">LI M, LIU D, XUE F, et al. </w:t>
      </w:r>
      <w:r>
        <w:rPr>
          <w:rFonts w:ascii="Times New Roman" w:hAnsi="Times New Roman" w:cs="Times New Roman"/>
          <w:sz w:val="24"/>
        </w:rPr>
        <w:t>Stage-specific dual function: EZH2 regulates human erythropoiesis by eliciting histone and non-histone methylation[J]. Haematologica, 2023, 108(9): 2487-2502.</w:t>
      </w:r>
    </w:p>
    <w:p w14:paraId="10FF1350">
      <w:pPr>
        <w:pStyle w:val="8"/>
        <w:spacing w:line="440" w:lineRule="exact"/>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WANG Y, LI W, SCHULZ V P, et al. Impairment of human terminal erythroid differentiation by histone deacetylase 5 deficiency[J/OL]. Blood, 2021, 138(17): 1615-1627.</w:t>
      </w:r>
    </w:p>
    <w:p w14:paraId="2494A75A">
      <w:pPr>
        <w:pStyle w:val="8"/>
        <w:spacing w:line="440" w:lineRule="exact"/>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LI W, WANG Y, ZHAO H, et al. Identification and transcriptome analysis of erythroblastic island macrophages[J]. Blood, 2019, 134(5): 480-491.</w:t>
      </w:r>
    </w:p>
    <w:p w14:paraId="75E4DF84">
      <w:pPr>
        <w:pStyle w:val="8"/>
        <w:spacing w:line="440" w:lineRule="exact"/>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ROSS-INNES C S, STARK R, TESCHENDORFF A E, et al. Differential oestrogen receptor binding is associated with clinical outcome in breast cancer[J]. Nature, 2012, 481(7381): 389-393.</w:t>
      </w:r>
    </w:p>
    <w:p w14:paraId="685FB127">
      <w:pPr>
        <w:pStyle w:val="8"/>
        <w:spacing w:line="440" w:lineRule="exact"/>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r>
      <w:r>
        <w:rPr>
          <w:rFonts w:ascii="Times New Roman" w:hAnsi="Times New Roman" w:cs="Times New Roman"/>
          <w:sz w:val="24"/>
        </w:rPr>
        <w:t>RAMÍREZ F, DÜNDAR F, DIEHL S, et al. deepTools: a flexible platform for exploring deep-sequencing data[J]. Nucleic Acids Research, 2014, 42(Web Server issue): W187-191.</w:t>
      </w:r>
    </w:p>
    <w:p w14:paraId="3A1C1C14">
      <w:pPr>
        <w:pStyle w:val="8"/>
        <w:spacing w:line="440" w:lineRule="exact"/>
        <w:rPr>
          <w:rFonts w:ascii="Times New Roman" w:hAnsi="Times New Roman" w:cs="Times New Roman"/>
          <w:sz w:val="24"/>
        </w:rPr>
      </w:pPr>
      <w:r>
        <w:rPr>
          <w:rFonts w:ascii="Times New Roman" w:hAnsi="Times New Roman" w:cs="Times New Roman"/>
          <w:sz w:val="24"/>
        </w:rPr>
        <w:t>[9]</w:t>
      </w:r>
      <w:r>
        <w:rPr>
          <w:rFonts w:ascii="Times New Roman" w:hAnsi="Times New Roman" w:cs="Times New Roman"/>
          <w:sz w:val="24"/>
        </w:rPr>
        <w:tab/>
      </w:r>
      <w:r>
        <w:rPr>
          <w:rFonts w:ascii="Times New Roman" w:hAnsi="Times New Roman" w:cs="Times New Roman"/>
          <w:sz w:val="24"/>
        </w:rPr>
        <w:t>ZHANG Y, LIU T, MEYER C A, et al. Model-based analysis of ChIP-Seq (MACS)[J]. Genome Biology, 2008, 9(9): R137.</w:t>
      </w:r>
    </w:p>
    <w:p w14:paraId="636E0F38">
      <w:pPr>
        <w:pStyle w:val="8"/>
        <w:spacing w:line="440" w:lineRule="exact"/>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sz w:val="24"/>
        </w:rPr>
        <w:tab/>
      </w:r>
      <w:r>
        <w:rPr>
          <w:rFonts w:ascii="Times New Roman" w:hAnsi="Times New Roman" w:cs="Times New Roman"/>
          <w:sz w:val="24"/>
        </w:rPr>
        <w:t>YU G, WANG L G, HE Q Y. ChIPseeker: an R/Bioconductor package for ChIP peak annotation, comparison and visualization[J]. Bioinformatics (Oxford, England), 2015, 31(14): 2382-2383.</w:t>
      </w:r>
    </w:p>
    <w:p w14:paraId="02B1DFEA">
      <w:pPr>
        <w:rPr>
          <w:rFonts w:ascii="Times New Roman" w:hAnsi="Times New Roman" w:cs="Times New Roman"/>
          <w:sz w:val="24"/>
        </w:rPr>
      </w:pPr>
    </w:p>
    <w:p w14:paraId="1A0C841A">
      <w:pPr>
        <w:rPr>
          <w:rFonts w:ascii="Times New Roman" w:hAnsi="Times New Roman" w:cs="Times New Roman"/>
          <w:sz w:val="24"/>
        </w:rPr>
      </w:pPr>
    </w:p>
    <w:p w14:paraId="5B6646FB">
      <w:pPr>
        <w:rPr>
          <w:rFonts w:ascii="Times New Roman" w:hAnsi="Times New Roman" w:cs="Times New Roman"/>
          <w:sz w:val="24"/>
        </w:rPr>
      </w:pPr>
    </w:p>
    <w:p w14:paraId="174E78B3">
      <w:pPr>
        <w:rPr>
          <w:rFonts w:ascii="Times New Roman" w:hAnsi="Times New Roman" w:cs="Times New Roman"/>
          <w:sz w:val="24"/>
        </w:rPr>
      </w:pPr>
    </w:p>
    <w:p w14:paraId="56A9585B">
      <w:pPr>
        <w:rPr>
          <w:rFonts w:ascii="Times New Roman" w:hAnsi="Times New Roman" w:cs="Times New Roman"/>
          <w:sz w:val="24"/>
        </w:rPr>
      </w:pPr>
    </w:p>
    <w:p w14:paraId="1ECA3ACD">
      <w:pPr>
        <w:rPr>
          <w:rFonts w:ascii="Times New Roman" w:hAnsi="Times New Roman" w:cs="Times New Roman"/>
          <w:sz w:val="24"/>
        </w:rPr>
      </w:pPr>
    </w:p>
    <w:p w14:paraId="3B5AC79E">
      <w:pPr>
        <w:rPr>
          <w:rFonts w:ascii="Times New Roman" w:hAnsi="Times New Roman" w:cs="Times New Roman"/>
          <w:sz w:val="24"/>
        </w:rPr>
      </w:pPr>
    </w:p>
    <w:p w14:paraId="43884CD3">
      <w:pPr>
        <w:rPr>
          <w:rFonts w:ascii="Times New Roman" w:hAnsi="Times New Roman" w:cs="Times New Roman"/>
          <w:sz w:val="24"/>
        </w:rPr>
      </w:pPr>
    </w:p>
    <w:p w14:paraId="01026C5B">
      <w:pPr>
        <w:rPr>
          <w:rFonts w:ascii="Times New Roman" w:hAnsi="Times New Roman" w:cs="Times New Roman"/>
          <w:sz w:val="24"/>
        </w:rPr>
      </w:pPr>
    </w:p>
    <w:p w14:paraId="7B317BB8">
      <w:pPr>
        <w:rPr>
          <w:rFonts w:ascii="Times New Roman" w:hAnsi="Times New Roman" w:cs="Times New Roman"/>
          <w:sz w:val="24"/>
        </w:rPr>
      </w:pPr>
    </w:p>
    <w:p w14:paraId="7785F37B">
      <w:pPr>
        <w:rPr>
          <w:rFonts w:ascii="Times New Roman" w:hAnsi="Times New Roman" w:cs="Times New Roman"/>
          <w:sz w:val="24"/>
        </w:rPr>
      </w:pPr>
    </w:p>
    <w:p w14:paraId="28D8DF73">
      <w:pPr>
        <w:rPr>
          <w:rFonts w:ascii="Times New Roman" w:hAnsi="Times New Roman" w:cs="Times New Roman"/>
          <w:sz w:val="24"/>
        </w:rPr>
      </w:pPr>
    </w:p>
    <w:p w14:paraId="086484F1">
      <w:pPr>
        <w:rPr>
          <w:rFonts w:ascii="Times New Roman" w:hAnsi="Times New Roman" w:cs="Times New Roman"/>
          <w:sz w:val="24"/>
        </w:rPr>
      </w:pPr>
    </w:p>
    <w:p w14:paraId="461F4ACA">
      <w:pPr>
        <w:rPr>
          <w:rFonts w:ascii="Times New Roman" w:hAnsi="Times New Roman" w:cs="Times New Roman"/>
          <w:sz w:val="24"/>
        </w:rPr>
      </w:pPr>
    </w:p>
    <w:p w14:paraId="44910F19">
      <w:pPr>
        <w:rPr>
          <w:rFonts w:ascii="Times New Roman" w:hAnsi="Times New Roman" w:cs="Times New Roman"/>
          <w:sz w:val="24"/>
        </w:rPr>
      </w:pPr>
    </w:p>
    <w:p w14:paraId="22A63B81">
      <w:pPr>
        <w:rPr>
          <w:rFonts w:ascii="Times New Roman" w:hAnsi="Times New Roman" w:cs="Times New Roman"/>
          <w:sz w:val="24"/>
        </w:rPr>
      </w:pPr>
    </w:p>
    <w:p w14:paraId="0503AB9B">
      <w:pPr>
        <w:rPr>
          <w:rFonts w:ascii="Times New Roman" w:hAnsi="Times New Roman" w:cs="Times New Roman"/>
          <w:sz w:val="24"/>
        </w:rPr>
      </w:pPr>
    </w:p>
    <w:p w14:paraId="67CF0D24">
      <w:pPr>
        <w:rPr>
          <w:rFonts w:ascii="Times New Roman" w:hAnsi="Times New Roman" w:cs="Times New Roman"/>
          <w:sz w:val="24"/>
        </w:rPr>
      </w:pPr>
    </w:p>
    <w:p w14:paraId="418CBB36">
      <w:pPr>
        <w:rPr>
          <w:rFonts w:ascii="Times New Roman" w:hAnsi="Times New Roman" w:cs="Times New Roman"/>
          <w:sz w:val="24"/>
        </w:rPr>
      </w:pPr>
    </w:p>
    <w:p w14:paraId="08C803F6">
      <w:pPr>
        <w:rPr>
          <w:rFonts w:ascii="Times New Roman" w:hAnsi="Times New Roman" w:cs="Times New Roman"/>
          <w:sz w:val="24"/>
        </w:rPr>
      </w:pPr>
    </w:p>
    <w:p w14:paraId="735ECEC0">
      <w:pPr>
        <w:rPr>
          <w:rFonts w:ascii="Times New Roman" w:hAnsi="Times New Roman" w:cs="Times New Roman"/>
          <w:sz w:val="24"/>
        </w:rPr>
      </w:pPr>
    </w:p>
    <w:p w14:paraId="2862CACE">
      <w:pPr>
        <w:rPr>
          <w:rFonts w:ascii="Times New Roman" w:hAnsi="Times New Roman" w:cs="Times New Roman"/>
          <w:sz w:val="24"/>
        </w:rPr>
      </w:pPr>
    </w:p>
    <w:p w14:paraId="37408984">
      <w:pPr>
        <w:rPr>
          <w:rFonts w:ascii="Times New Roman" w:hAnsi="Times New Roman" w:cs="Times New Roman"/>
          <w:sz w:val="24"/>
        </w:rPr>
      </w:pPr>
    </w:p>
    <w:p w14:paraId="0108800D">
      <w:pPr>
        <w:rPr>
          <w:rFonts w:ascii="Times New Roman" w:hAnsi="Times New Roman" w:cs="Times New Roman"/>
          <w:sz w:val="24"/>
        </w:rPr>
      </w:pPr>
    </w:p>
    <w:p w14:paraId="3A1C08A6">
      <w:pPr>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67960" cy="7880350"/>
            <wp:effectExtent l="0" t="0" r="2540" b="6350"/>
            <wp:docPr id="3" name="图片 3"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1"/>
                    <pic:cNvPicPr>
                      <a:picLocks noChangeAspect="1"/>
                    </pic:cNvPicPr>
                  </pic:nvPicPr>
                  <pic:blipFill>
                    <a:blip r:embed="rId4"/>
                    <a:stretch>
                      <a:fillRect/>
                    </a:stretch>
                  </pic:blipFill>
                  <pic:spPr>
                    <a:xfrm>
                      <a:off x="0" y="0"/>
                      <a:ext cx="5267960" cy="7880350"/>
                    </a:xfrm>
                    <a:prstGeom prst="rect">
                      <a:avLst/>
                    </a:prstGeom>
                  </pic:spPr>
                </pic:pic>
              </a:graphicData>
            </a:graphic>
          </wp:inline>
        </w:drawing>
      </w:r>
    </w:p>
    <w:p w14:paraId="5D1E3543">
      <w:pPr>
        <w:rPr>
          <w:rFonts w:ascii="Times New Roman" w:hAnsi="Times New Roman" w:cs="Times New Roman"/>
          <w:sz w:val="24"/>
        </w:rPr>
      </w:pPr>
    </w:p>
    <w:p w14:paraId="156A298C">
      <w:pPr>
        <w:rPr>
          <w:rFonts w:ascii="Times New Roman" w:hAnsi="Times New Roman" w:cs="Times New Roman"/>
          <w:sz w:val="24"/>
        </w:rPr>
      </w:pPr>
    </w:p>
    <w:p w14:paraId="7C1C06B4">
      <w:pPr>
        <w:rPr>
          <w:rFonts w:ascii="Times New Roman" w:hAnsi="Times New Roman" w:cs="Times New Roman"/>
          <w:sz w:val="24"/>
        </w:rPr>
      </w:pPr>
    </w:p>
    <w:p w14:paraId="39B161F9">
      <w:pPr>
        <w:keepNext w:val="0"/>
        <w:keepLines w:val="0"/>
        <w:pageBreakBefore w:val="0"/>
        <w:widowControl/>
        <w:kinsoku/>
        <w:wordWrap/>
        <w:overflowPunct/>
        <w:topLinePunct w:val="0"/>
        <w:autoSpaceDE/>
        <w:autoSpaceDN/>
        <w:bidi w:val="0"/>
        <w:adjustRightInd/>
        <w:snapToGrid/>
        <w:spacing w:after="200" w:line="480" w:lineRule="auto"/>
        <w:textAlignment w:val="auto"/>
        <w:rPr>
          <w:rFonts w:ascii="Times New Roman" w:hAnsi="Times New Roman" w:cs="Times New Roman"/>
          <w:b/>
          <w:bCs/>
        </w:rPr>
      </w:pPr>
      <w:r>
        <w:rPr>
          <w:rFonts w:ascii="Times New Roman" w:hAnsi="Times New Roman" w:cs="Times New Roman"/>
          <w:kern w:val="0"/>
          <w:sz w:val="24"/>
          <w14:ligatures w14:val="standardContextual"/>
        </w:rPr>
        <w:fldChar w:fldCharType="end"/>
      </w:r>
      <w:r>
        <w:rPr>
          <w:rFonts w:ascii="Times New Roman" w:hAnsi="Times New Roman" w:cs="Times New Roman"/>
          <w:b/>
          <w:bCs/>
        </w:rPr>
        <w:t>Supplementary Figure 1</w:t>
      </w:r>
      <w:r>
        <w:rPr>
          <w:rFonts w:hint="eastAsia" w:ascii="Times New Roman" w:hAnsi="Times New Roman" w:cs="Times New Roman"/>
          <w:b/>
          <w:bCs/>
        </w:rPr>
        <w:t xml:space="preserve"> </w:t>
      </w:r>
      <w:r>
        <w:rPr>
          <w:rFonts w:ascii="Times New Roman" w:hAnsi="Times New Roman" w:cs="Times New Roman"/>
          <w:b/>
          <w:bCs/>
        </w:rPr>
        <w:t>Flow cytometry gating strategies for F4/80⁺ macrophages, erythroid progenitors, and erythroblasts.</w:t>
      </w:r>
    </w:p>
    <w:p w14:paraId="65085C81">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Flow cytometry analysis of F4/80⁺macrophages in PBS or DEX treated </w:t>
      </w:r>
      <w:r>
        <w:rPr>
          <w:rFonts w:hint="eastAsia" w:ascii="Times New Roman" w:hAnsi="Times New Roman" w:cs="Times New Roman"/>
          <w:color w:val="000000" w:themeColor="text1"/>
          <w:sz w:val="24"/>
          <w:szCs w:val="24"/>
          <w:lang w:val="en-US" w:eastAsia="zh-CN"/>
          <w14:textFill>
            <w14:solidFill>
              <w14:schemeClr w14:val="tx1"/>
            </w14:solidFill>
          </w14:textFill>
        </w:rPr>
        <w:t>control-</w:t>
      </w:r>
      <w:r>
        <w:rPr>
          <w:rFonts w:hint="eastAsia" w:ascii="Times New Roman" w:hAnsi="Times New Roman" w:cs="Times New Roman"/>
          <w:color w:val="000000" w:themeColor="text1"/>
          <w:sz w:val="24"/>
          <w:szCs w:val="24"/>
          <w14:textFill>
            <w14:solidFill>
              <w14:schemeClr w14:val="tx1"/>
            </w14:solidFill>
          </w14:textFill>
        </w:rPr>
        <w:t>Lip and clodronate-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Lip </w:t>
      </w:r>
      <w:r>
        <w:rPr>
          <w:rFonts w:ascii="Times New Roman" w:hAnsi="Times New Roman" w:cs="Times New Roman"/>
          <w:color w:val="000000" w:themeColor="text1"/>
          <w:sz w:val="24"/>
          <w14:textFill>
            <w14:solidFill>
              <w14:schemeClr w14:val="tx1"/>
            </w14:solidFill>
          </w14:textFill>
        </w:rPr>
        <w:t>pretreated mice on days 4 and 7.</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bCs/>
          <w:color w:val="000000" w:themeColor="text1"/>
          <w:sz w:val="24"/>
          <w:szCs w:val="24"/>
          <w14:textFill>
            <w14:solidFill>
              <w14:schemeClr w14:val="tx1"/>
            </w14:solidFill>
          </w14:textFill>
        </w:rPr>
        <w:t xml:space="preserve">(B) </w:t>
      </w:r>
      <w:r>
        <w:rPr>
          <w:rFonts w:ascii="Times New Roman" w:hAnsi="Times New Roman" w:cs="Times New Roman"/>
          <w:color w:val="000000" w:themeColor="text1"/>
          <w:sz w:val="24"/>
          <w14:textFill>
            <w14:solidFill>
              <w14:schemeClr w14:val="tx1"/>
            </w14:solidFill>
          </w14:textFill>
        </w:rPr>
        <w:t>Percentage of F4/80</w:t>
      </w:r>
      <w:r>
        <w:rPr>
          <w:rFonts w:ascii="Times New Roman" w:hAnsi="Times New Roman" w:cs="Times New Roman"/>
          <w:color w:val="000000" w:themeColor="text1"/>
          <w:sz w:val="24"/>
          <w:vertAlign w:val="superscript"/>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macrophages in PBS or DEX treated </w:t>
      </w:r>
      <w:r>
        <w:rPr>
          <w:rFonts w:hint="eastAsia" w:ascii="Times New Roman" w:hAnsi="Times New Roman" w:cs="Times New Roman"/>
          <w:color w:val="000000" w:themeColor="text1"/>
          <w:sz w:val="24"/>
          <w:szCs w:val="24"/>
          <w:lang w:val="en-US" w:eastAsia="zh-CN"/>
          <w14:textFill>
            <w14:solidFill>
              <w14:schemeClr w14:val="tx1"/>
            </w14:solidFill>
          </w14:textFill>
        </w:rPr>
        <w:t>control-</w:t>
      </w:r>
      <w:r>
        <w:rPr>
          <w:rFonts w:hint="eastAsia" w:ascii="Times New Roman" w:hAnsi="Times New Roman" w:cs="Times New Roman"/>
          <w:color w:val="000000" w:themeColor="text1"/>
          <w:sz w:val="24"/>
          <w:szCs w:val="24"/>
          <w14:textFill>
            <w14:solidFill>
              <w14:schemeClr w14:val="tx1"/>
            </w14:solidFill>
          </w14:textFill>
        </w:rPr>
        <w:t>Lip and clodronate-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Lip </w:t>
      </w:r>
      <w:r>
        <w:rPr>
          <w:rFonts w:ascii="Times New Roman" w:hAnsi="Times New Roman" w:cs="Times New Roman"/>
          <w:color w:val="000000" w:themeColor="text1"/>
          <w:sz w:val="24"/>
          <w14:textFill>
            <w14:solidFill>
              <w14:schemeClr w14:val="tx1"/>
            </w14:solidFill>
          </w14:textFill>
        </w:rPr>
        <w:t xml:space="preserve">pretreated mice on days 4 and 7. </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(C) </w:t>
      </w:r>
      <w:r>
        <w:rPr>
          <w:rFonts w:ascii="Times New Roman" w:hAnsi="Times New Roman" w:cs="Times New Roman"/>
          <w:color w:val="000000" w:themeColor="text1"/>
          <w:sz w:val="24"/>
          <w:szCs w:val="24"/>
          <w14:textFill>
            <w14:solidFill>
              <w14:schemeClr w14:val="tx1"/>
            </w14:solidFill>
          </w14:textFill>
        </w:rPr>
        <w:t xml:space="preserve">Representative images of </w:t>
      </w:r>
      <w:r>
        <w:rPr>
          <w:rFonts w:hint="eastAsia" w:ascii="Times New Roman" w:hAnsi="Times New Roman" w:cs="Times New Roman"/>
          <w:color w:val="000000" w:themeColor="text1"/>
          <w:sz w:val="24"/>
          <w:szCs w:val="24"/>
          <w14:textFill>
            <w14:solidFill>
              <w14:schemeClr w14:val="tx1"/>
            </w14:solidFill>
          </w14:textFill>
        </w:rPr>
        <w:t xml:space="preserve">the </w:t>
      </w:r>
      <w:r>
        <w:rPr>
          <w:rFonts w:ascii="Times New Roman" w:hAnsi="Times New Roman" w:cs="Times New Roman"/>
          <w:color w:val="000000" w:themeColor="text1"/>
          <w:sz w:val="24"/>
          <w:szCs w:val="24"/>
          <w14:textFill>
            <w14:solidFill>
              <w14:schemeClr w14:val="tx1"/>
            </w14:solidFill>
          </w14:textFill>
        </w:rPr>
        <w:t xml:space="preserve">spleen </w:t>
      </w:r>
      <w:r>
        <w:rPr>
          <w:rFonts w:hint="eastAsia" w:ascii="Times New Roman" w:hAnsi="Times New Roman" w:cs="Times New Roman"/>
          <w:color w:val="000000" w:themeColor="text1"/>
          <w:sz w:val="24"/>
          <w:szCs w:val="24"/>
          <w14:textFill>
            <w14:solidFill>
              <w14:schemeClr w14:val="tx1"/>
            </w14:solidFill>
          </w14:textFill>
        </w:rPr>
        <w:t>in</w:t>
      </w:r>
      <w:r>
        <w:rPr>
          <w:rFonts w:hint="eastAsia"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control-</w:t>
      </w:r>
      <w:r>
        <w:rPr>
          <w:rFonts w:hint="eastAsia" w:ascii="Times New Roman" w:hAnsi="Times New Roman" w:cs="Times New Roman"/>
          <w:color w:val="000000" w:themeColor="text1"/>
          <w:sz w:val="24"/>
          <w:szCs w:val="24"/>
          <w14:textFill>
            <w14:solidFill>
              <w14:schemeClr w14:val="tx1"/>
            </w14:solidFill>
          </w14:textFill>
        </w:rPr>
        <w:t>Lip and clodronate-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Lip </w:t>
      </w:r>
      <w:r>
        <w:rPr>
          <w:rFonts w:hint="eastAsia" w:ascii="Times New Roman" w:hAnsi="Times New Roman" w:cs="Times New Roman"/>
          <w:color w:val="000000" w:themeColor="text1"/>
          <w:sz w:val="24"/>
          <w:szCs w:val="24"/>
          <w14:textFill>
            <w14:solidFill>
              <w14:schemeClr w14:val="tx1"/>
            </w14:solidFill>
          </w14:textFill>
        </w:rPr>
        <w:t xml:space="preserve">pretreated mice treated with PBS and DEX on days 4 and 7. </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(D) </w:t>
      </w:r>
      <w:r>
        <w:rPr>
          <w:rFonts w:ascii="Times New Roman" w:hAnsi="Times New Roman" w:cs="Times New Roman"/>
          <w:color w:val="000000" w:themeColor="text1"/>
          <w:sz w:val="24"/>
          <w:szCs w:val="24"/>
          <w14:textFill>
            <w14:solidFill>
              <w14:schemeClr w14:val="tx1"/>
            </w14:solidFill>
          </w14:textFill>
        </w:rPr>
        <w:t xml:space="preserve">Statistical analysis of </w:t>
      </w:r>
      <w:r>
        <w:rPr>
          <w:rFonts w:hint="eastAsia" w:ascii="Times New Roman" w:hAnsi="Times New Roman" w:cs="Times New Roman"/>
          <w:color w:val="000000" w:themeColor="text1"/>
          <w:sz w:val="24"/>
          <w:szCs w:val="24"/>
          <w14:textFill>
            <w14:solidFill>
              <w14:schemeClr w14:val="tx1"/>
            </w14:solidFill>
          </w14:textFill>
        </w:rPr>
        <w:t>SP-to-body weight rati</w:t>
      </w:r>
      <w:r>
        <w:rPr>
          <w:rFonts w:hint="eastAsia" w:ascii="Times New Roman" w:hAnsi="Times New Roman" w:cs="Times New Roman"/>
          <w:color w:val="000000" w:themeColor="text1"/>
          <w:sz w:val="24"/>
          <w14:textFill>
            <w14:solidFill>
              <w14:schemeClr w14:val="tx1"/>
            </w14:solidFill>
          </w14:textFill>
        </w:rPr>
        <w:t>o</w:t>
      </w:r>
      <w:r>
        <w:rPr>
          <w:rFonts w:ascii="Times New Roman" w:hAnsi="Times New Roman" w:cs="Times New Roman"/>
          <w:color w:val="000000" w:themeColor="text1"/>
          <w:sz w:val="24"/>
          <w14:textFill>
            <w14:solidFill>
              <w14:schemeClr w14:val="tx1"/>
            </w14:solidFill>
          </w14:textFill>
        </w:rPr>
        <w:t xml:space="preserve"> of</w:t>
      </w:r>
      <w:r>
        <w:rPr>
          <w:rFonts w:hint="eastAsia"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control-</w:t>
      </w:r>
      <w:r>
        <w:rPr>
          <w:rFonts w:hint="eastAsia" w:ascii="Times New Roman" w:hAnsi="Times New Roman" w:cs="Times New Roman"/>
          <w:color w:val="000000" w:themeColor="text1"/>
          <w:sz w:val="24"/>
          <w:szCs w:val="24"/>
          <w14:textFill>
            <w14:solidFill>
              <w14:schemeClr w14:val="tx1"/>
            </w14:solidFill>
          </w14:textFill>
        </w:rPr>
        <w:t>Lip and clodronate-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Lip </w:t>
      </w:r>
      <w:r>
        <w:rPr>
          <w:rFonts w:hint="eastAsia" w:ascii="Times New Roman" w:hAnsi="Times New Roman" w:cs="Times New Roman"/>
          <w:color w:val="000000" w:themeColor="text1"/>
          <w:sz w:val="24"/>
          <w:szCs w:val="24"/>
          <w14:textFill>
            <w14:solidFill>
              <w14:schemeClr w14:val="tx1"/>
            </w14:solidFill>
          </w14:textFill>
        </w:rPr>
        <w:t>pretreated mice treated with PBS and DEX on days 4 and 7</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(E) </w:t>
      </w:r>
      <w:r>
        <w:rPr>
          <w:rFonts w:ascii="Times New Roman" w:hAnsi="Times New Roman" w:cs="Times New Roman"/>
          <w:color w:val="000000" w:themeColor="text1"/>
          <w:sz w:val="24"/>
          <w14:textFill>
            <w14:solidFill>
              <w14:schemeClr w14:val="tx1"/>
            </w14:solidFill>
          </w14:textFill>
        </w:rPr>
        <w:t xml:space="preserve">Representative gating for </w:t>
      </w:r>
      <w:r>
        <w:rPr>
          <w:rFonts w:hint="eastAsia" w:ascii="Times New Roman" w:hAnsi="Times New Roman" w:cs="Times New Roman"/>
          <w:color w:val="000000" w:themeColor="text1"/>
          <w:sz w:val="24"/>
          <w:lang w:val="en-US" w:eastAsia="zh-CN"/>
          <w14:textFill>
            <w14:solidFill>
              <w14:schemeClr w14:val="tx1"/>
            </w14:solidFill>
          </w14:textFill>
        </w:rPr>
        <w:t xml:space="preserve">SP </w:t>
      </w:r>
      <w:r>
        <w:rPr>
          <w:rFonts w:ascii="Times New Roman" w:hAnsi="Times New Roman" w:cs="Times New Roman"/>
          <w:color w:val="000000" w:themeColor="text1"/>
          <w:sz w:val="24"/>
          <w14:textFill>
            <w14:solidFill>
              <w14:schemeClr w14:val="tx1"/>
            </w14:solidFill>
          </w14:textFill>
        </w:rPr>
        <w:t>erythroid stage enrichment for Pro-E, Baso-E, Poly-E, Ortho-E, Retic, and RBC, the plot of CD44 versus FSC from Ter119</w:t>
      </w:r>
      <w:r>
        <w:rPr>
          <w:rFonts w:ascii="Times New Roman" w:hAnsi="Times New Roman" w:cs="Times New Roman"/>
          <w:color w:val="000000" w:themeColor="text1"/>
          <w:sz w:val="24"/>
          <w:vertAlign w:val="superscript"/>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cells, showing different erythroid stages in PBS or DEX treated </w:t>
      </w:r>
      <w:r>
        <w:rPr>
          <w:rFonts w:hint="eastAsia" w:ascii="Times New Roman" w:hAnsi="Times New Roman" w:cs="Times New Roman"/>
          <w:color w:val="000000" w:themeColor="text1"/>
          <w:sz w:val="24"/>
          <w:szCs w:val="24"/>
          <w:lang w:val="en-US" w:eastAsia="zh-CN"/>
          <w14:textFill>
            <w14:solidFill>
              <w14:schemeClr w14:val="tx1"/>
            </w14:solidFill>
          </w14:textFill>
        </w:rPr>
        <w:t>control-</w:t>
      </w:r>
      <w:r>
        <w:rPr>
          <w:rFonts w:hint="eastAsia" w:ascii="Times New Roman" w:hAnsi="Times New Roman" w:cs="Times New Roman"/>
          <w:color w:val="000000" w:themeColor="text1"/>
          <w:sz w:val="24"/>
          <w:szCs w:val="24"/>
          <w14:textFill>
            <w14:solidFill>
              <w14:schemeClr w14:val="tx1"/>
            </w14:solidFill>
          </w14:textFill>
        </w:rPr>
        <w:t>Lip and clodronate-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Lip </w:t>
      </w:r>
      <w:r>
        <w:rPr>
          <w:rFonts w:ascii="Times New Roman" w:hAnsi="Times New Roman" w:cs="Times New Roman"/>
          <w:color w:val="000000" w:themeColor="text1"/>
          <w:sz w:val="24"/>
          <w14:textFill>
            <w14:solidFill>
              <w14:schemeClr w14:val="tx1"/>
            </w14:solidFill>
          </w14:textFill>
        </w:rPr>
        <w:t>pretreated mice on days 4 and 7.</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(F)</w:t>
      </w:r>
      <w:r>
        <w:rPr>
          <w:rFonts w:ascii="Times New Roman" w:hAnsi="Times New Roman" w:cs="Times New Roman"/>
          <w:b/>
          <w:bCs/>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 xml:space="preserve">Representative gating strategy for BM BFU‑E/CFU‑E isolation cells: CD71 vs. c‑Kit plot derived from 7‑AAD⁻ Lineage⁻ CD16/32⁻ CD41⁻ CD34⁻ Sca‑1⁻ cells, showing three distinct populations in PBS or DEX treated </w:t>
      </w:r>
      <w:r>
        <w:rPr>
          <w:rFonts w:hint="eastAsia" w:ascii="Times New Roman" w:hAnsi="Times New Roman" w:cs="Times New Roman"/>
          <w:color w:val="000000" w:themeColor="text1"/>
          <w:sz w:val="24"/>
          <w:szCs w:val="24"/>
          <w:lang w:val="en-US" w:eastAsia="zh-CN"/>
          <w14:textFill>
            <w14:solidFill>
              <w14:schemeClr w14:val="tx1"/>
            </w14:solidFill>
          </w14:textFill>
        </w:rPr>
        <w:t>control-</w:t>
      </w:r>
      <w:r>
        <w:rPr>
          <w:rFonts w:hint="eastAsia" w:ascii="Times New Roman" w:hAnsi="Times New Roman" w:cs="Times New Roman"/>
          <w:color w:val="000000" w:themeColor="text1"/>
          <w:sz w:val="24"/>
          <w:szCs w:val="24"/>
          <w14:textFill>
            <w14:solidFill>
              <w14:schemeClr w14:val="tx1"/>
            </w14:solidFill>
          </w14:textFill>
        </w:rPr>
        <w:t>Lip and clodronate-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Lip </w:t>
      </w:r>
      <w:r>
        <w:rPr>
          <w:rFonts w:ascii="Times New Roman" w:hAnsi="Times New Roman" w:cs="Times New Roman"/>
          <w:color w:val="000000" w:themeColor="text1"/>
          <w:sz w:val="24"/>
          <w14:textFill>
            <w14:solidFill>
              <w14:schemeClr w14:val="tx1"/>
            </w14:solidFill>
          </w14:textFill>
        </w:rPr>
        <w:t>pretreated mice on days 4 and 7.</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 (G) </w:t>
      </w:r>
      <w:r>
        <w:rPr>
          <w:rFonts w:ascii="Times New Roman" w:hAnsi="Times New Roman" w:cs="Times New Roman"/>
          <w:color w:val="000000" w:themeColor="text1"/>
          <w:sz w:val="24"/>
          <w14:textFill>
            <w14:solidFill>
              <w14:schemeClr w14:val="tx1"/>
            </w14:solidFill>
          </w14:textFill>
        </w:rPr>
        <w:t>Representative gating for BM</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erythroid stage enrichment for Pro-E, Baso-E, Poly-E, Ortho-E, Retic, and RBC, the plot of CD44 versus FSC from Ter119</w:t>
      </w:r>
      <w:r>
        <w:rPr>
          <w:rFonts w:ascii="Times New Roman" w:hAnsi="Times New Roman" w:cs="Times New Roman"/>
          <w:color w:val="000000" w:themeColor="text1"/>
          <w:sz w:val="24"/>
          <w:vertAlign w:val="superscript"/>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cells, showing different erythroid stages in PBS or DEX treated </w:t>
      </w:r>
      <w:r>
        <w:rPr>
          <w:rFonts w:hint="eastAsia" w:ascii="Times New Roman" w:hAnsi="Times New Roman" w:cs="Times New Roman"/>
          <w:color w:val="000000" w:themeColor="text1"/>
          <w:sz w:val="24"/>
          <w:szCs w:val="24"/>
          <w:lang w:val="en-US" w:eastAsia="zh-CN"/>
          <w14:textFill>
            <w14:solidFill>
              <w14:schemeClr w14:val="tx1"/>
            </w14:solidFill>
          </w14:textFill>
        </w:rPr>
        <w:t>control-</w:t>
      </w:r>
      <w:r>
        <w:rPr>
          <w:rFonts w:hint="eastAsia" w:ascii="Times New Roman" w:hAnsi="Times New Roman" w:cs="Times New Roman"/>
          <w:color w:val="000000" w:themeColor="text1"/>
          <w:sz w:val="24"/>
          <w:szCs w:val="24"/>
          <w14:textFill>
            <w14:solidFill>
              <w14:schemeClr w14:val="tx1"/>
            </w14:solidFill>
          </w14:textFill>
        </w:rPr>
        <w:t>Lip and clodronate-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Lip </w:t>
      </w:r>
      <w:r>
        <w:rPr>
          <w:rFonts w:ascii="Times New Roman" w:hAnsi="Times New Roman" w:cs="Times New Roman"/>
          <w:color w:val="000000" w:themeColor="text1"/>
          <w:sz w:val="24"/>
          <w14:textFill>
            <w14:solidFill>
              <w14:schemeClr w14:val="tx1"/>
            </w14:solidFill>
          </w14:textFill>
        </w:rPr>
        <w:t>pretreated mice on days 4 and 7.* p &lt; 0.05, ** p &lt; 0.01, *** p &lt; 0.001. NS, not significant.</w:t>
      </w:r>
    </w:p>
    <w:p w14:paraId="0CD75506">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ascii="Times New Roman" w:hAnsi="Times New Roman" w:cs="Times New Roman"/>
          <w:sz w:val="24"/>
        </w:rPr>
      </w:pPr>
    </w:p>
    <w:p w14:paraId="608540CD">
      <w:pPr>
        <w:widowControl w:val="0"/>
        <w:numPr>
          <w:ilvl w:val="0"/>
          <w:numId w:val="0"/>
        </w:numPr>
        <w:spacing w:line="480" w:lineRule="auto"/>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1135" cy="4241800"/>
            <wp:effectExtent l="0" t="0" r="12065" b="0"/>
            <wp:docPr id="1" name="图片 1"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2"/>
                    <pic:cNvPicPr>
                      <a:picLocks noChangeAspect="1"/>
                    </pic:cNvPicPr>
                  </pic:nvPicPr>
                  <pic:blipFill>
                    <a:blip r:embed="rId5"/>
                    <a:stretch>
                      <a:fillRect/>
                    </a:stretch>
                  </pic:blipFill>
                  <pic:spPr>
                    <a:xfrm>
                      <a:off x="0" y="0"/>
                      <a:ext cx="5271135" cy="4241800"/>
                    </a:xfrm>
                    <a:prstGeom prst="rect">
                      <a:avLst/>
                    </a:prstGeom>
                  </pic:spPr>
                </pic:pic>
              </a:graphicData>
            </a:graphic>
          </wp:inline>
        </w:drawing>
      </w:r>
    </w:p>
    <w:p w14:paraId="0CD1B2E8">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b/>
          <w:bCs/>
        </w:rPr>
      </w:pPr>
      <w:r>
        <w:rPr>
          <w:rFonts w:ascii="Times New Roman" w:hAnsi="Times New Roman" w:cs="Times New Roman"/>
          <w:b/>
          <w:bCs/>
        </w:rPr>
        <w:t xml:space="preserve">Supplementary Figure </w:t>
      </w:r>
      <w:r>
        <w:rPr>
          <w:rFonts w:hint="eastAsia" w:ascii="Times New Roman" w:hAnsi="Times New Roman" w:cs="Times New Roman"/>
          <w:b/>
          <w:bCs/>
        </w:rPr>
        <w:t>2</w:t>
      </w:r>
      <w:r>
        <w:rPr>
          <w:rFonts w:ascii="Times New Roman" w:hAnsi="Times New Roman" w:cs="Times New Roman"/>
          <w:b/>
          <w:bCs/>
        </w:rPr>
        <w:t>.</w:t>
      </w:r>
      <w:r>
        <w:rPr>
          <w:rFonts w:hint="eastAsia" w:ascii="Times New Roman" w:hAnsi="Times New Roman" w:cs="Times New Roman"/>
          <w:b/>
          <w:bCs/>
        </w:rPr>
        <w:t xml:space="preserve"> RNA-seq analysis.</w:t>
      </w:r>
    </w:p>
    <w:p w14:paraId="63C9334A">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ascii="Times New Roman" w:hAnsi="Times New Roman" w:cs="Times New Roman"/>
          <w:sz w:val="24"/>
          <w:szCs w:val="24"/>
        </w:rPr>
      </w:pPr>
      <w:r>
        <w:rPr>
          <w:rFonts w:ascii="Times New Roman" w:hAnsi="Times New Roman" w:cs="Times New Roman"/>
          <w:sz w:val="24"/>
          <w:szCs w:val="24"/>
        </w:rPr>
        <w:t xml:space="preserve">Principal component analysis </w:t>
      </w:r>
      <w:r>
        <w:rPr>
          <w:rFonts w:hint="eastAsia" w:ascii="Times New Roman" w:hAnsi="Times New Roman" w:cs="Times New Roman"/>
          <w:sz w:val="24"/>
          <w:szCs w:val="24"/>
        </w:rPr>
        <w:t xml:space="preserve">(PCA) </w:t>
      </w:r>
      <w:r>
        <w:rPr>
          <w:rFonts w:ascii="Times New Roman" w:hAnsi="Times New Roman" w:cs="Times New Roman"/>
          <w:sz w:val="24"/>
          <w:szCs w:val="24"/>
        </w:rPr>
        <w:t xml:space="preserve">of samples </w:t>
      </w:r>
      <w:r>
        <w:rPr>
          <w:rFonts w:hint="eastAsia" w:ascii="Times New Roman" w:hAnsi="Times New Roman" w:cs="Times New Roman"/>
          <w:sz w:val="24"/>
          <w:szCs w:val="24"/>
        </w:rPr>
        <w:t xml:space="preserve">from </w:t>
      </w:r>
      <w:r>
        <w:rPr>
          <w:rFonts w:ascii="Times New Roman" w:hAnsi="Times New Roman" w:cs="Times New Roman"/>
          <w:sz w:val="24"/>
          <w:szCs w:val="24"/>
        </w:rPr>
        <w:t>three biologic</w:t>
      </w:r>
      <w:r>
        <w:rPr>
          <w:rFonts w:hint="eastAsia" w:ascii="Times New Roman" w:hAnsi="Times New Roman" w:cs="Times New Roman"/>
          <w:sz w:val="24"/>
          <w:szCs w:val="24"/>
        </w:rPr>
        <w:t>al</w:t>
      </w:r>
      <w:r>
        <w:rPr>
          <w:rFonts w:ascii="Times New Roman" w:hAnsi="Times New Roman" w:cs="Times New Roman"/>
          <w:sz w:val="24"/>
          <w:szCs w:val="24"/>
        </w:rPr>
        <w:t xml:space="preserve"> replicates</w:t>
      </w:r>
      <w:r>
        <w:rPr>
          <w:rFonts w:hint="eastAsia" w:ascii="Times New Roman" w:hAnsi="Times New Roman" w:cs="Times New Roman"/>
          <w:sz w:val="24"/>
          <w:szCs w:val="24"/>
        </w:rPr>
        <w:t xml:space="preserve"> of control and DEX-treated human CD34</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 xml:space="preserve">HSCs-derived macrophages. </w:t>
      </w:r>
      <w:r>
        <w:rPr>
          <w:rFonts w:ascii="Times New Roman" w:hAnsi="Times New Roman" w:cs="Times New Roman"/>
          <w:b/>
          <w:bCs/>
          <w:sz w:val="24"/>
          <w:szCs w:val="24"/>
        </w:rPr>
        <w:t>(</w:t>
      </w:r>
      <w:r>
        <w:rPr>
          <w:rFonts w:hint="eastAsia" w:ascii="Times New Roman" w:hAnsi="Times New Roman" w:cs="Times New Roman"/>
          <w:b/>
          <w:bCs/>
          <w:sz w:val="24"/>
          <w:szCs w:val="24"/>
        </w:rPr>
        <w:t>B</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 xml:space="preserve">Pearson correlation analysis of </w:t>
      </w:r>
      <w:r>
        <w:rPr>
          <w:rFonts w:ascii="Times New Roman" w:hAnsi="Times New Roman" w:cs="Times New Roman"/>
          <w:sz w:val="24"/>
          <w:szCs w:val="24"/>
        </w:rPr>
        <w:t xml:space="preserve">samples </w:t>
      </w:r>
      <w:r>
        <w:rPr>
          <w:rFonts w:hint="eastAsia" w:ascii="Times New Roman" w:hAnsi="Times New Roman" w:cs="Times New Roman"/>
          <w:sz w:val="24"/>
          <w:szCs w:val="24"/>
        </w:rPr>
        <w:t xml:space="preserve">from </w:t>
      </w:r>
      <w:r>
        <w:rPr>
          <w:rFonts w:ascii="Times New Roman" w:hAnsi="Times New Roman" w:cs="Times New Roman"/>
          <w:sz w:val="24"/>
          <w:szCs w:val="24"/>
        </w:rPr>
        <w:t>three biologic</w:t>
      </w:r>
      <w:r>
        <w:rPr>
          <w:rFonts w:hint="eastAsia" w:ascii="Times New Roman" w:hAnsi="Times New Roman" w:cs="Times New Roman"/>
          <w:sz w:val="24"/>
          <w:szCs w:val="24"/>
        </w:rPr>
        <w:t>al</w:t>
      </w:r>
      <w:r>
        <w:rPr>
          <w:rFonts w:ascii="Times New Roman" w:hAnsi="Times New Roman" w:cs="Times New Roman"/>
          <w:sz w:val="24"/>
          <w:szCs w:val="24"/>
        </w:rPr>
        <w:t xml:space="preserve"> replicates</w:t>
      </w:r>
      <w:r>
        <w:rPr>
          <w:rFonts w:hint="eastAsia" w:ascii="Times New Roman" w:hAnsi="Times New Roman" w:cs="Times New Roman"/>
          <w:sz w:val="24"/>
          <w:szCs w:val="24"/>
        </w:rPr>
        <w:t xml:space="preserve"> of control or DEX-treated human CD34</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 xml:space="preserve">HSCs-derived macrophages. </w:t>
      </w:r>
      <w:r>
        <w:rPr>
          <w:rFonts w:ascii="Times New Roman" w:hAnsi="Times New Roman" w:cs="Times New Roman"/>
          <w:sz w:val="24"/>
          <w:szCs w:val="24"/>
        </w:rPr>
        <w:t>(</w:t>
      </w:r>
      <w:r>
        <w:rPr>
          <w:rFonts w:hint="eastAsia" w:ascii="Times New Roman" w:hAnsi="Times New Roman" w:cs="Times New Roman"/>
          <w:b/>
          <w:bCs/>
          <w:sz w:val="24"/>
          <w:szCs w:val="24"/>
        </w:rPr>
        <w:t>C</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ascii="Times New Roman" w:hAnsi="Times New Roman" w:cs="Times New Roman"/>
          <w:sz w:val="24"/>
          <w:szCs w:val="24"/>
        </w:rPr>
        <w:t>Heatmap</w:t>
      </w:r>
      <w:r>
        <w:rPr>
          <w:rFonts w:hint="eastAsia" w:ascii="Times New Roman" w:hAnsi="Times New Roman" w:cs="Times New Roman"/>
          <w:sz w:val="24"/>
          <w:szCs w:val="24"/>
        </w:rPr>
        <w:t>s</w:t>
      </w:r>
      <w:r>
        <w:rPr>
          <w:rFonts w:ascii="Times New Roman" w:hAnsi="Times New Roman" w:cs="Times New Roman"/>
          <w:sz w:val="24"/>
          <w:szCs w:val="24"/>
        </w:rPr>
        <w:t xml:space="preserve"> </w:t>
      </w:r>
      <w:r>
        <w:rPr>
          <w:rFonts w:hint="eastAsia" w:ascii="Times New Roman" w:hAnsi="Times New Roman" w:cs="Times New Roman"/>
          <w:sz w:val="24"/>
          <w:szCs w:val="24"/>
        </w:rPr>
        <w:t>illustrating the</w:t>
      </w:r>
      <w:r>
        <w:rPr>
          <w:rFonts w:ascii="Times New Roman" w:hAnsi="Times New Roman" w:cs="Times New Roman"/>
          <w:sz w:val="24"/>
          <w:szCs w:val="24"/>
        </w:rPr>
        <w:t xml:space="preserve"> expression </w:t>
      </w:r>
      <w:r>
        <w:rPr>
          <w:rFonts w:hint="eastAsia" w:ascii="Times New Roman" w:hAnsi="Times New Roman" w:cs="Times New Roman"/>
          <w:sz w:val="24"/>
          <w:szCs w:val="24"/>
        </w:rPr>
        <w:t>level</w:t>
      </w:r>
      <w:r>
        <w:rPr>
          <w:rFonts w:ascii="Times New Roman" w:hAnsi="Times New Roman" w:cs="Times New Roman"/>
          <w:sz w:val="24"/>
          <w:szCs w:val="24"/>
        </w:rPr>
        <w:t>s of DEGs</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between </w:t>
      </w:r>
      <w:r>
        <w:rPr>
          <w:rFonts w:hint="eastAsia" w:ascii="Times New Roman" w:hAnsi="Times New Roman" w:cs="Times New Roman"/>
          <w:sz w:val="24"/>
          <w:szCs w:val="24"/>
        </w:rPr>
        <w:t>control or DEX-treated human CD34</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 xml:space="preserve">HSCs-derived macrophages. </w:t>
      </w:r>
      <w:r>
        <w:rPr>
          <w:rFonts w:ascii="Times New Roman" w:hAnsi="Times New Roman" w:cs="Times New Roman"/>
          <w:sz w:val="24"/>
          <w:szCs w:val="24"/>
        </w:rPr>
        <w:t>(</w:t>
      </w:r>
      <w:r>
        <w:rPr>
          <w:rFonts w:hint="eastAsia" w:ascii="Times New Roman" w:hAnsi="Times New Roman" w:cs="Times New Roman"/>
          <w:b/>
          <w:bCs/>
          <w:sz w:val="24"/>
          <w:szCs w:val="24"/>
        </w:rPr>
        <w:t>D</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ascii="Times New Roman" w:hAnsi="Times New Roman" w:cs="Times New Roman"/>
          <w:sz w:val="24"/>
          <w:szCs w:val="24"/>
        </w:rPr>
        <w:t xml:space="preserve">Volcano </w:t>
      </w:r>
      <w:r>
        <w:rPr>
          <w:rFonts w:hint="eastAsia" w:ascii="Times New Roman" w:hAnsi="Times New Roman" w:cs="Times New Roman"/>
          <w:sz w:val="24"/>
          <w:szCs w:val="24"/>
        </w:rPr>
        <w:t>plot</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displaying </w:t>
      </w:r>
      <w:r>
        <w:rPr>
          <w:rFonts w:ascii="Times New Roman" w:hAnsi="Times New Roman" w:cs="Times New Roman"/>
          <w:sz w:val="24"/>
          <w:szCs w:val="24"/>
        </w:rPr>
        <w:t>up</w:t>
      </w:r>
      <w:r>
        <w:rPr>
          <w:rFonts w:hint="eastAsia" w:ascii="Times New Roman" w:hAnsi="Times New Roman" w:cs="Times New Roman"/>
          <w:sz w:val="24"/>
          <w:szCs w:val="24"/>
        </w:rPr>
        <w:t>-</w:t>
      </w:r>
      <w:r>
        <w:rPr>
          <w:rFonts w:ascii="Times New Roman" w:hAnsi="Times New Roman" w:cs="Times New Roman"/>
          <w:sz w:val="24"/>
          <w:szCs w:val="24"/>
        </w:rPr>
        <w:t>regulated and down</w:t>
      </w:r>
      <w:r>
        <w:rPr>
          <w:rFonts w:hint="eastAsia" w:ascii="Times New Roman" w:hAnsi="Times New Roman" w:cs="Times New Roman"/>
          <w:sz w:val="24"/>
          <w:szCs w:val="24"/>
        </w:rPr>
        <w:t>-</w:t>
      </w:r>
      <w:r>
        <w:rPr>
          <w:rFonts w:ascii="Times New Roman" w:hAnsi="Times New Roman" w:cs="Times New Roman"/>
          <w:sz w:val="24"/>
          <w:szCs w:val="24"/>
        </w:rPr>
        <w:t xml:space="preserve">regulated genes between </w:t>
      </w:r>
      <w:r>
        <w:rPr>
          <w:rFonts w:hint="eastAsia" w:ascii="Times New Roman" w:hAnsi="Times New Roman" w:cs="Times New Roman"/>
          <w:sz w:val="24"/>
          <w:szCs w:val="24"/>
        </w:rPr>
        <w:t>control and DEX-treated human CD34</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HSCs-derived macrophages</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E</w:t>
      </w:r>
      <w:r>
        <w:rPr>
          <w:rFonts w:ascii="Times New Roman" w:hAnsi="Times New Roman" w:cs="Times New Roman"/>
          <w:b/>
          <w:bCs/>
          <w:sz w:val="24"/>
          <w:szCs w:val="24"/>
        </w:rPr>
        <w:t xml:space="preserve">) </w:t>
      </w:r>
      <w:r>
        <w:rPr>
          <w:rFonts w:ascii="Times New Roman" w:hAnsi="Times New Roman" w:cs="Times New Roman"/>
          <w:sz w:val="24"/>
          <w:szCs w:val="24"/>
        </w:rPr>
        <w:t xml:space="preserve">Principal component analysis </w:t>
      </w:r>
      <w:r>
        <w:rPr>
          <w:rFonts w:hint="eastAsia" w:ascii="Times New Roman" w:hAnsi="Times New Roman" w:cs="Times New Roman"/>
          <w:sz w:val="24"/>
          <w:szCs w:val="24"/>
        </w:rPr>
        <w:t xml:space="preserve">(PCA) </w:t>
      </w:r>
      <w:r>
        <w:rPr>
          <w:rFonts w:ascii="Times New Roman" w:hAnsi="Times New Roman" w:cs="Times New Roman"/>
          <w:sz w:val="24"/>
          <w:szCs w:val="24"/>
        </w:rPr>
        <w:t xml:space="preserve">of samples representing </w:t>
      </w:r>
      <w:r>
        <w:rPr>
          <w:rFonts w:hint="eastAsia" w:ascii="Times New Roman" w:hAnsi="Times New Roman" w:cs="Times New Roman"/>
          <w:sz w:val="24"/>
          <w:szCs w:val="24"/>
        </w:rPr>
        <w:t>three</w:t>
      </w:r>
      <w:r>
        <w:rPr>
          <w:rFonts w:ascii="Times New Roman" w:hAnsi="Times New Roman" w:cs="Times New Roman"/>
          <w:sz w:val="24"/>
          <w:szCs w:val="24"/>
        </w:rPr>
        <w:t xml:space="preserve"> biologic replicates from DEX </w:t>
      </w:r>
      <w:r>
        <w:rPr>
          <w:rFonts w:hint="eastAsia" w:ascii="Times New Roman" w:hAnsi="Times New Roman" w:cs="Times New Roman"/>
          <w:sz w:val="24"/>
          <w:szCs w:val="24"/>
        </w:rPr>
        <w:t>or</w:t>
      </w:r>
      <w:r>
        <w:rPr>
          <w:rFonts w:ascii="Times New Roman" w:hAnsi="Times New Roman" w:cs="Times New Roman"/>
          <w:sz w:val="24"/>
          <w:szCs w:val="24"/>
        </w:rPr>
        <w:t xml:space="preserve"> PBS pre-treated </w:t>
      </w:r>
      <w:r>
        <w:rPr>
          <w:rFonts w:hint="eastAsia" w:ascii="Times New Roman" w:hAnsi="Times New Roman" w:cs="Times New Roman"/>
          <w:sz w:val="24"/>
          <w:szCs w:val="24"/>
        </w:rPr>
        <w:t xml:space="preserve">mouse </w:t>
      </w:r>
      <w:r>
        <w:rPr>
          <w:rFonts w:ascii="Times New Roman" w:hAnsi="Times New Roman" w:cs="Times New Roman"/>
          <w:sz w:val="24"/>
          <w:szCs w:val="24"/>
        </w:rPr>
        <w:t>BMDMs</w:t>
      </w:r>
      <w:r>
        <w:rPr>
          <w:rFonts w:hint="eastAsia" w:ascii="Times New Roman" w:hAnsi="Times New Roman" w:cs="Times New Roman"/>
          <w:sz w:val="24"/>
          <w:szCs w:val="24"/>
        </w:rPr>
        <w:t>,</w:t>
      </w:r>
      <w:r>
        <w:rPr>
          <w:rFonts w:ascii="Times New Roman" w:hAnsi="Times New Roman" w:cs="Times New Roman"/>
          <w:sz w:val="24"/>
          <w:szCs w:val="24"/>
        </w:rPr>
        <w:t xml:space="preserve"> cocultured with sorted BM erythroblasts. </w:t>
      </w:r>
      <w:r>
        <w:rPr>
          <w:rFonts w:ascii="Times New Roman" w:hAnsi="Times New Roman" w:cs="Times New Roman"/>
          <w:b/>
          <w:bCs/>
          <w:sz w:val="24"/>
          <w:szCs w:val="24"/>
        </w:rPr>
        <w:t>(</w:t>
      </w:r>
      <w:r>
        <w:rPr>
          <w:rFonts w:hint="eastAsia" w:ascii="Times New Roman" w:hAnsi="Times New Roman" w:cs="Times New Roman"/>
          <w:b/>
          <w:bCs/>
          <w:sz w:val="24"/>
          <w:szCs w:val="24"/>
        </w:rPr>
        <w:t>F</w:t>
      </w:r>
      <w:r>
        <w:rPr>
          <w:rFonts w:ascii="Times New Roman" w:hAnsi="Times New Roman" w:cs="Times New Roman"/>
          <w:b/>
          <w:bCs/>
          <w:sz w:val="24"/>
          <w:szCs w:val="24"/>
        </w:rPr>
        <w:t xml:space="preserve">) </w:t>
      </w:r>
      <w:r>
        <w:rPr>
          <w:rFonts w:ascii="Times New Roman" w:hAnsi="Times New Roman" w:eastAsia="宋体" w:cs="Times New Roman"/>
          <w:sz w:val="24"/>
          <w:szCs w:val="24"/>
        </w:rPr>
        <w:t>Pearson</w:t>
      </w:r>
      <w:r>
        <w:rPr>
          <w:rFonts w:ascii="Times New Roman" w:hAnsi="Times New Roman" w:cs="Times New Roman"/>
          <w:sz w:val="24"/>
          <w:szCs w:val="24"/>
        </w:rPr>
        <w:t xml:space="preserve"> correlation analysis of DEX </w:t>
      </w:r>
      <w:r>
        <w:rPr>
          <w:rFonts w:hint="eastAsia" w:ascii="Times New Roman" w:hAnsi="Times New Roman" w:cs="Times New Roman"/>
          <w:sz w:val="24"/>
          <w:szCs w:val="24"/>
        </w:rPr>
        <w:t>or</w:t>
      </w:r>
      <w:r>
        <w:rPr>
          <w:rFonts w:ascii="Times New Roman" w:hAnsi="Times New Roman" w:cs="Times New Roman"/>
          <w:sz w:val="24"/>
          <w:szCs w:val="24"/>
        </w:rPr>
        <w:t xml:space="preserve"> PBS pre-treated </w:t>
      </w:r>
      <w:r>
        <w:rPr>
          <w:rFonts w:hint="eastAsia" w:ascii="Times New Roman" w:hAnsi="Times New Roman" w:cs="Times New Roman"/>
          <w:sz w:val="24"/>
          <w:szCs w:val="24"/>
        </w:rPr>
        <w:t xml:space="preserve">mouse </w:t>
      </w:r>
      <w:r>
        <w:rPr>
          <w:rFonts w:ascii="Times New Roman" w:hAnsi="Times New Roman" w:cs="Times New Roman"/>
          <w:sz w:val="24"/>
          <w:szCs w:val="24"/>
        </w:rPr>
        <w:t>BMDMs. (</w:t>
      </w:r>
      <w:r>
        <w:rPr>
          <w:rFonts w:hint="eastAsia" w:ascii="Times New Roman" w:hAnsi="Times New Roman" w:cs="Times New Roman"/>
          <w:b/>
          <w:bCs/>
          <w:sz w:val="24"/>
          <w:szCs w:val="24"/>
        </w:rPr>
        <w:t>G</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ascii="Times New Roman" w:hAnsi="Times New Roman" w:cs="Times New Roman"/>
          <w:sz w:val="24"/>
          <w:szCs w:val="24"/>
        </w:rPr>
        <w:t xml:space="preserve">Heatmap </w:t>
      </w:r>
      <w:r>
        <w:rPr>
          <w:rFonts w:hint="eastAsia" w:ascii="Times New Roman" w:hAnsi="Times New Roman" w:cs="Times New Roman"/>
          <w:sz w:val="24"/>
          <w:szCs w:val="24"/>
        </w:rPr>
        <w:t>illustrating the</w:t>
      </w:r>
      <w:r>
        <w:rPr>
          <w:rFonts w:ascii="Times New Roman" w:hAnsi="Times New Roman" w:cs="Times New Roman"/>
          <w:sz w:val="24"/>
          <w:szCs w:val="24"/>
        </w:rPr>
        <w:t xml:space="preserve"> expression </w:t>
      </w:r>
      <w:r>
        <w:rPr>
          <w:rFonts w:hint="eastAsia" w:ascii="Times New Roman" w:hAnsi="Times New Roman" w:cs="Times New Roman"/>
          <w:sz w:val="24"/>
          <w:szCs w:val="24"/>
        </w:rPr>
        <w:t>level</w:t>
      </w:r>
      <w:r>
        <w:rPr>
          <w:rFonts w:ascii="Times New Roman" w:hAnsi="Times New Roman" w:cs="Times New Roman"/>
          <w:sz w:val="24"/>
          <w:szCs w:val="24"/>
        </w:rPr>
        <w:t>s</w:t>
      </w:r>
      <w:r>
        <w:rPr>
          <w:rFonts w:hint="eastAsia" w:ascii="Times New Roman" w:hAnsi="Times New Roman" w:cs="Times New Roman"/>
          <w:sz w:val="24"/>
          <w:szCs w:val="24"/>
        </w:rPr>
        <w:t xml:space="preserve"> </w:t>
      </w:r>
      <w:r>
        <w:rPr>
          <w:rFonts w:ascii="Times New Roman" w:hAnsi="Times New Roman" w:cs="Times New Roman"/>
          <w:sz w:val="24"/>
          <w:szCs w:val="24"/>
        </w:rPr>
        <w:t>of DEGs</w:t>
      </w:r>
      <w:r>
        <w:rPr>
          <w:rFonts w:hint="eastAsia" w:ascii="Times New Roman" w:hAnsi="Times New Roman" w:cs="Times New Roman"/>
          <w:sz w:val="24"/>
          <w:szCs w:val="24"/>
        </w:rPr>
        <w:t xml:space="preserve"> i</w:t>
      </w:r>
      <w:r>
        <w:rPr>
          <w:rFonts w:ascii="Times New Roman" w:hAnsi="Times New Roman" w:cs="Times New Roman"/>
          <w:sz w:val="24"/>
          <w:szCs w:val="24"/>
        </w:rPr>
        <w:t xml:space="preserve">n </w:t>
      </w:r>
      <w:r>
        <w:rPr>
          <w:rFonts w:hint="eastAsia" w:ascii="Times New Roman" w:hAnsi="Times New Roman" w:cs="Times New Roman"/>
          <w:sz w:val="24"/>
          <w:szCs w:val="24"/>
        </w:rPr>
        <w:t xml:space="preserve">the </w:t>
      </w:r>
      <w:r>
        <w:rPr>
          <w:rFonts w:ascii="Times New Roman" w:hAnsi="Times New Roman" w:cs="Times New Roman"/>
          <w:sz w:val="24"/>
          <w:szCs w:val="24"/>
        </w:rPr>
        <w:t xml:space="preserve">DEX </w:t>
      </w:r>
      <w:r>
        <w:rPr>
          <w:rFonts w:hint="eastAsia" w:ascii="Times New Roman" w:hAnsi="Times New Roman" w:cs="Times New Roman"/>
          <w:sz w:val="24"/>
          <w:szCs w:val="24"/>
        </w:rPr>
        <w:t>or</w:t>
      </w:r>
      <w:r>
        <w:rPr>
          <w:rFonts w:ascii="Times New Roman" w:hAnsi="Times New Roman" w:cs="Times New Roman"/>
          <w:sz w:val="24"/>
          <w:szCs w:val="24"/>
        </w:rPr>
        <w:t xml:space="preserve"> PBS pre-treated </w:t>
      </w:r>
      <w:r>
        <w:rPr>
          <w:rFonts w:hint="eastAsia" w:ascii="Times New Roman" w:hAnsi="Times New Roman" w:cs="Times New Roman"/>
          <w:sz w:val="24"/>
          <w:szCs w:val="24"/>
        </w:rPr>
        <w:t xml:space="preserve">mouse </w:t>
      </w:r>
      <w:r>
        <w:rPr>
          <w:rFonts w:ascii="Times New Roman" w:hAnsi="Times New Roman" w:cs="Times New Roman"/>
          <w:sz w:val="24"/>
          <w:szCs w:val="24"/>
        </w:rPr>
        <w:t xml:space="preserve">BMDMs. </w:t>
      </w:r>
      <w:r>
        <w:rPr>
          <w:rFonts w:ascii="Times New Roman" w:hAnsi="Times New Roman" w:cs="Times New Roman"/>
          <w:b/>
          <w:bCs/>
          <w:sz w:val="24"/>
          <w:szCs w:val="24"/>
        </w:rPr>
        <w:t>(</w:t>
      </w:r>
      <w:r>
        <w:rPr>
          <w:rFonts w:hint="eastAsia" w:ascii="Times New Roman" w:hAnsi="Times New Roman" w:cs="Times New Roman"/>
          <w:b/>
          <w:bCs/>
          <w:sz w:val="24"/>
          <w:szCs w:val="24"/>
        </w:rPr>
        <w:t>H</w:t>
      </w:r>
      <w:r>
        <w:rPr>
          <w:rFonts w:ascii="Times New Roman" w:hAnsi="Times New Roman" w:cs="Times New Roman"/>
          <w:b/>
          <w:bCs/>
          <w:sz w:val="24"/>
          <w:szCs w:val="24"/>
        </w:rPr>
        <w:t xml:space="preserve">) </w:t>
      </w:r>
      <w:r>
        <w:rPr>
          <w:rFonts w:ascii="Times New Roman" w:hAnsi="Times New Roman" w:cs="Times New Roman"/>
          <w:sz w:val="24"/>
          <w:szCs w:val="24"/>
        </w:rPr>
        <w:t xml:space="preserve">Volcano </w:t>
      </w:r>
      <w:r>
        <w:rPr>
          <w:rFonts w:hint="eastAsia" w:ascii="Times New Roman" w:hAnsi="Times New Roman" w:cs="Times New Roman"/>
          <w:sz w:val="24"/>
          <w:szCs w:val="24"/>
        </w:rPr>
        <w:t>plot</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displaying the </w:t>
      </w:r>
      <w:r>
        <w:rPr>
          <w:rFonts w:ascii="Times New Roman" w:hAnsi="Times New Roman" w:cs="Times New Roman"/>
          <w:sz w:val="24"/>
          <w:szCs w:val="24"/>
        </w:rPr>
        <w:t xml:space="preserve">upregulated and downregulated genes </w:t>
      </w:r>
      <w:r>
        <w:rPr>
          <w:rFonts w:hint="eastAsia" w:ascii="Times New Roman" w:hAnsi="Times New Roman" w:cs="Times New Roman"/>
          <w:sz w:val="24"/>
          <w:szCs w:val="24"/>
        </w:rPr>
        <w:t>i</w:t>
      </w:r>
      <w:r>
        <w:rPr>
          <w:rFonts w:ascii="Times New Roman" w:hAnsi="Times New Roman" w:cs="Times New Roman"/>
          <w:sz w:val="24"/>
          <w:szCs w:val="24"/>
        </w:rPr>
        <w:t xml:space="preserve">n DEX </w:t>
      </w:r>
      <w:r>
        <w:rPr>
          <w:rFonts w:hint="eastAsia" w:ascii="Times New Roman" w:hAnsi="Times New Roman" w:cs="Times New Roman"/>
          <w:sz w:val="24"/>
          <w:szCs w:val="24"/>
        </w:rPr>
        <w:t>or</w:t>
      </w:r>
      <w:r>
        <w:rPr>
          <w:rFonts w:ascii="Times New Roman" w:hAnsi="Times New Roman" w:cs="Times New Roman"/>
          <w:sz w:val="24"/>
          <w:szCs w:val="24"/>
        </w:rPr>
        <w:t xml:space="preserve"> PBS pre-treated </w:t>
      </w:r>
      <w:r>
        <w:rPr>
          <w:rFonts w:hint="eastAsia" w:ascii="Times New Roman" w:hAnsi="Times New Roman" w:cs="Times New Roman"/>
          <w:sz w:val="24"/>
          <w:szCs w:val="24"/>
        </w:rPr>
        <w:t xml:space="preserve">mouse </w:t>
      </w:r>
      <w:r>
        <w:rPr>
          <w:rFonts w:ascii="Times New Roman" w:hAnsi="Times New Roman" w:cs="Times New Roman"/>
          <w:sz w:val="24"/>
          <w:szCs w:val="24"/>
        </w:rPr>
        <w:t>BMDMs.</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I</w:t>
      </w:r>
      <w:r>
        <w:rPr>
          <w:rFonts w:ascii="Times New Roman" w:hAnsi="Times New Roman" w:cs="Times New Roman"/>
          <w:b/>
          <w:bCs/>
          <w:sz w:val="24"/>
          <w:szCs w:val="24"/>
        </w:rPr>
        <w:t xml:space="preserve">) </w:t>
      </w:r>
      <w:r>
        <w:rPr>
          <w:rFonts w:ascii="Times New Roman" w:hAnsi="Times New Roman" w:cs="Times New Roman"/>
          <w:sz w:val="24"/>
          <w:szCs w:val="24"/>
        </w:rPr>
        <w:t xml:space="preserve">Heatmap showing </w:t>
      </w:r>
      <w:r>
        <w:rPr>
          <w:rFonts w:hint="eastAsia" w:ascii="Times New Roman" w:hAnsi="Times New Roman" w:cs="Times New Roman"/>
          <w:sz w:val="24"/>
          <w:szCs w:val="24"/>
        </w:rPr>
        <w:t xml:space="preserve">the </w:t>
      </w:r>
      <w:r>
        <w:rPr>
          <w:rFonts w:ascii="Times New Roman" w:hAnsi="Times New Roman" w:cs="Times New Roman"/>
          <w:sz w:val="24"/>
          <w:szCs w:val="24"/>
        </w:rPr>
        <w:t>expression</w:t>
      </w:r>
      <w:r>
        <w:rPr>
          <w:rFonts w:hint="eastAsia" w:ascii="Times New Roman" w:hAnsi="Times New Roman" w:cs="Times New Roman"/>
          <w:sz w:val="24"/>
          <w:szCs w:val="24"/>
        </w:rPr>
        <w:t xml:space="preserve"> </w:t>
      </w:r>
      <w:r>
        <w:rPr>
          <w:rFonts w:ascii="Times New Roman" w:hAnsi="Times New Roman" w:cs="Times New Roman"/>
          <w:sz w:val="24"/>
          <w:szCs w:val="24"/>
        </w:rPr>
        <w:t>of phagocytosis</w:t>
      </w:r>
      <w:r>
        <w:rPr>
          <w:rFonts w:hint="eastAsia" w:ascii="Times New Roman" w:hAnsi="Times New Roman" w:cs="Times New Roman"/>
          <w:sz w:val="24"/>
          <w:szCs w:val="24"/>
        </w:rPr>
        <w:t xml:space="preserve"> and </w:t>
      </w:r>
      <w:r>
        <w:rPr>
          <w:rFonts w:ascii="Times New Roman" w:hAnsi="Times New Roman" w:cs="Times New Roman"/>
          <w:sz w:val="24"/>
          <w:szCs w:val="24"/>
        </w:rPr>
        <w:t>iron metabolism</w:t>
      </w:r>
      <w:r>
        <w:rPr>
          <w:rFonts w:hint="eastAsia" w:ascii="Times New Roman" w:hAnsi="Times New Roman" w:cs="Times New Roman"/>
          <w:sz w:val="24"/>
          <w:szCs w:val="24"/>
        </w:rPr>
        <w:t xml:space="preserve">-related </w:t>
      </w:r>
      <w:r>
        <w:rPr>
          <w:rFonts w:ascii="Times New Roman" w:hAnsi="Times New Roman" w:cs="Times New Roman"/>
          <w:sz w:val="24"/>
          <w:szCs w:val="24"/>
        </w:rPr>
        <w:t xml:space="preserve">genes. </w:t>
      </w:r>
      <w:r>
        <w:rPr>
          <w:rFonts w:ascii="Times New Roman" w:hAnsi="Times New Roman" w:cs="Times New Roman"/>
          <w:b/>
          <w:bCs/>
          <w:sz w:val="24"/>
          <w:szCs w:val="24"/>
        </w:rPr>
        <w:t>(</w:t>
      </w:r>
      <w:r>
        <w:rPr>
          <w:rFonts w:hint="eastAsia" w:ascii="Times New Roman" w:hAnsi="Times New Roman" w:cs="Times New Roman"/>
          <w:b/>
          <w:bCs/>
          <w:sz w:val="24"/>
          <w:szCs w:val="24"/>
        </w:rPr>
        <w:t>J</w:t>
      </w:r>
      <w:r>
        <w:rPr>
          <w:rFonts w:ascii="Times New Roman" w:hAnsi="Times New Roman" w:cs="Times New Roman"/>
          <w:b/>
          <w:bCs/>
          <w:sz w:val="24"/>
          <w:szCs w:val="24"/>
        </w:rPr>
        <w:t xml:space="preserve">) </w:t>
      </w:r>
      <w:r>
        <w:rPr>
          <w:rFonts w:ascii="Times New Roman" w:hAnsi="Times New Roman" w:cs="Times New Roman"/>
          <w:sz w:val="24"/>
          <w:szCs w:val="24"/>
        </w:rPr>
        <w:t xml:space="preserve">Quantitative analysis </w:t>
      </w:r>
      <w:r>
        <w:rPr>
          <w:rFonts w:hint="eastAsia" w:ascii="Times New Roman" w:hAnsi="Times New Roman" w:cs="Times New Roman"/>
          <w:sz w:val="24"/>
          <w:szCs w:val="24"/>
        </w:rPr>
        <w:t xml:space="preserve">of the </w:t>
      </w:r>
      <w:r>
        <w:rPr>
          <w:rFonts w:ascii="Times New Roman" w:hAnsi="Times New Roman" w:cs="Times New Roman"/>
          <w:sz w:val="24"/>
          <w:szCs w:val="24"/>
        </w:rPr>
        <w:t>mRNA expression level of</w:t>
      </w:r>
      <w:r>
        <w:rPr>
          <w:rFonts w:ascii="Times New Roman" w:hAnsi="Times New Roman" w:cs="Times New Roman"/>
          <w:i/>
          <w:iCs/>
          <w:sz w:val="24"/>
          <w:szCs w:val="24"/>
        </w:rPr>
        <w:t xml:space="preserve"> CD163, CD16</w:t>
      </w:r>
      <w:r>
        <w:rPr>
          <w:rFonts w:hint="eastAsia" w:ascii="Times New Roman" w:hAnsi="Times New Roman" w:cs="Times New Roman"/>
          <w:i/>
          <w:iCs/>
          <w:sz w:val="24"/>
          <w:szCs w:val="24"/>
        </w:rPr>
        <w:t>9</w:t>
      </w:r>
      <w:r>
        <w:rPr>
          <w:rFonts w:ascii="Times New Roman" w:hAnsi="Times New Roman" w:cs="Times New Roman"/>
          <w:i/>
          <w:iCs/>
          <w:sz w:val="24"/>
          <w:szCs w:val="24"/>
        </w:rPr>
        <w:t xml:space="preserve">, Hmox1 </w:t>
      </w:r>
      <w:r>
        <w:rPr>
          <w:rFonts w:ascii="Times New Roman" w:hAnsi="Times New Roman" w:cs="Times New Roman"/>
          <w:sz w:val="24"/>
          <w:szCs w:val="24"/>
        </w:rPr>
        <w:t xml:space="preserve">and </w:t>
      </w:r>
      <w:r>
        <w:rPr>
          <w:rFonts w:ascii="Times New Roman" w:hAnsi="Times New Roman" w:cs="Times New Roman"/>
          <w:i/>
          <w:iCs/>
          <w:sz w:val="24"/>
          <w:szCs w:val="24"/>
        </w:rPr>
        <w:t>Mertk</w:t>
      </w:r>
      <w:r>
        <w:rPr>
          <w:rFonts w:ascii="Times New Roman" w:hAnsi="Times New Roman" w:cs="Times New Roman"/>
          <w:sz w:val="24"/>
          <w:szCs w:val="24"/>
        </w:rPr>
        <w:t xml:space="preserve"> </w:t>
      </w:r>
      <w:r>
        <w:rPr>
          <w:rFonts w:hint="eastAsia" w:ascii="Times New Roman" w:hAnsi="Times New Roman" w:cs="Times New Roman"/>
          <w:sz w:val="24"/>
          <w:szCs w:val="24"/>
        </w:rPr>
        <w:t>i</w:t>
      </w:r>
      <w:r>
        <w:rPr>
          <w:rFonts w:ascii="Times New Roman" w:hAnsi="Times New Roman" w:cs="Times New Roman"/>
          <w:sz w:val="24"/>
          <w:szCs w:val="24"/>
        </w:rPr>
        <w:t xml:space="preserve">n DEX and PBS pre-treated </w:t>
      </w:r>
      <w:r>
        <w:rPr>
          <w:rFonts w:hint="eastAsia" w:ascii="Times New Roman" w:hAnsi="Times New Roman" w:cs="Times New Roman"/>
          <w:sz w:val="24"/>
          <w:szCs w:val="24"/>
        </w:rPr>
        <w:t xml:space="preserve">mouse </w:t>
      </w:r>
      <w:r>
        <w:rPr>
          <w:rFonts w:ascii="Times New Roman" w:hAnsi="Times New Roman" w:cs="Times New Roman"/>
          <w:sz w:val="24"/>
          <w:szCs w:val="24"/>
        </w:rPr>
        <w:t>BMDM groups from 3 independent experiments.</w:t>
      </w:r>
      <w:r>
        <w:rPr>
          <w:rFonts w:hint="eastAsia" w:ascii="Times New Roman" w:hAnsi="Times New Roman" w:cs="Times New Roman"/>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0.05,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0.01,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0.001.</w:t>
      </w:r>
      <w:r>
        <w:rPr>
          <w:rFonts w:ascii="Times New Roman" w:hAnsi="Times New Roman" w:cs="Times New Roman"/>
          <w:sz w:val="24"/>
          <w:szCs w:val="24"/>
        </w:rPr>
        <w:t xml:space="preserve">  NS, not significant.</w:t>
      </w:r>
    </w:p>
    <w:p w14:paraId="51AE3326">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ascii="Times New Roman" w:hAnsi="Times New Roman" w:cs="Times New Roman"/>
          <w:sz w:val="24"/>
          <w:szCs w:val="24"/>
        </w:rPr>
      </w:pPr>
    </w:p>
    <w:p w14:paraId="60C19BEB">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ascii="Times New Roman" w:hAnsi="Times New Roman" w:cs="Times New Roman"/>
          <w:sz w:val="24"/>
          <w:szCs w:val="24"/>
        </w:rPr>
      </w:pPr>
    </w:p>
    <w:p w14:paraId="191EAD32">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ascii="Times New Roman" w:hAnsi="Times New Roman" w:cs="Times New Roman"/>
          <w:sz w:val="24"/>
          <w:szCs w:val="24"/>
        </w:rPr>
      </w:pPr>
    </w:p>
    <w:p w14:paraId="6520650C">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ascii="Times New Roman" w:hAnsi="Times New Roman" w:cs="Times New Roman"/>
          <w:sz w:val="24"/>
          <w:szCs w:val="24"/>
        </w:rPr>
      </w:pPr>
    </w:p>
    <w:p w14:paraId="38C182E3">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szCs w:val="24"/>
        </w:rPr>
      </w:pPr>
    </w:p>
    <w:p w14:paraId="72C7129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69230" cy="4739005"/>
            <wp:effectExtent l="0" t="0" r="1270" b="10795"/>
            <wp:docPr id="6" name="图片 6" descr="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ry Figure 3"/>
                    <pic:cNvPicPr>
                      <a:picLocks noChangeAspect="1"/>
                    </pic:cNvPicPr>
                  </pic:nvPicPr>
                  <pic:blipFill>
                    <a:blip r:embed="rId6"/>
                    <a:stretch>
                      <a:fillRect/>
                    </a:stretch>
                  </pic:blipFill>
                  <pic:spPr>
                    <a:xfrm>
                      <a:off x="0" y="0"/>
                      <a:ext cx="5269230" cy="4739005"/>
                    </a:xfrm>
                    <a:prstGeom prst="rect">
                      <a:avLst/>
                    </a:prstGeom>
                  </pic:spPr>
                </pic:pic>
              </a:graphicData>
            </a:graphic>
          </wp:inline>
        </w:drawing>
      </w:r>
    </w:p>
    <w:p w14:paraId="06B67FBE">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b/>
          <w:bCs/>
          <w:sz w:val="24"/>
          <w:szCs w:val="24"/>
        </w:rPr>
      </w:pPr>
      <w:r>
        <w:rPr>
          <w:rFonts w:ascii="Times New Roman" w:hAnsi="Times New Roman" w:cs="Times New Roman"/>
          <w:b/>
          <w:bCs/>
          <w:sz w:val="24"/>
          <w:szCs w:val="24"/>
        </w:rPr>
        <w:t xml:space="preserve">Supplementary Figure </w:t>
      </w:r>
      <w:r>
        <w:rPr>
          <w:rFonts w:hint="eastAsia" w:ascii="Times New Roman" w:hAnsi="Times New Roman" w:cs="Times New Roman"/>
          <w:b/>
          <w:bCs/>
          <w:sz w:val="24"/>
          <w:szCs w:val="24"/>
        </w:rPr>
        <w:t xml:space="preserve">3 Detection of </w:t>
      </w:r>
      <w:r>
        <w:rPr>
          <w:rFonts w:ascii="Times New Roman" w:hAnsi="Times New Roman" w:cs="Times New Roman"/>
          <w:b/>
          <w:bCs/>
          <w:sz w:val="24"/>
          <w:szCs w:val="24"/>
        </w:rPr>
        <w:t>EBI</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iron</w:t>
      </w:r>
      <w:r>
        <w:rPr>
          <w:rFonts w:hint="eastAsia" w:ascii="Times New Roman" w:hAnsi="Times New Roman" w:cs="Times New Roman"/>
          <w:b/>
          <w:bCs/>
          <w:sz w:val="24"/>
          <w:szCs w:val="24"/>
        </w:rPr>
        <w:t xml:space="preserve"> and key gene expression levels on BM F480</w:t>
      </w:r>
      <w:r>
        <w:rPr>
          <w:rFonts w:hint="eastAsia" w:ascii="Times New Roman" w:hAnsi="Times New Roman" w:cs="Times New Roman"/>
          <w:b/>
          <w:bCs/>
          <w:sz w:val="24"/>
          <w:szCs w:val="24"/>
          <w:vertAlign w:val="superscript"/>
        </w:rPr>
        <w:t xml:space="preserve">+ </w:t>
      </w:r>
      <w:r>
        <w:rPr>
          <w:rFonts w:hint="eastAsia" w:ascii="Times New Roman" w:hAnsi="Times New Roman" w:cs="Times New Roman"/>
          <w:b/>
          <w:bCs/>
          <w:sz w:val="24"/>
          <w:szCs w:val="24"/>
        </w:rPr>
        <w:t>macrophage of DEX and PBS pre-treated mice.</w:t>
      </w:r>
    </w:p>
    <w:p w14:paraId="751E7417">
      <w:pPr>
        <w:keepNext w:val="0"/>
        <w:keepLines w:val="0"/>
        <w:pageBreakBefore w:val="0"/>
        <w:widowControl w:val="0"/>
        <w:numPr>
          <w:ilvl w:val="0"/>
          <w:numId w:val="3"/>
        </w:numPr>
        <w:kinsoku/>
        <w:wordWrap/>
        <w:overflowPunct/>
        <w:topLinePunct w:val="0"/>
        <w:autoSpaceDE/>
        <w:autoSpaceDN/>
        <w:bidi w:val="0"/>
        <w:adjustRightInd/>
        <w:snapToGrid/>
        <w:spacing w:line="480" w:lineRule="auto"/>
        <w:textAlignment w:val="auto"/>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sz w:val="24"/>
          <w:szCs w:val="24"/>
        </w:rPr>
        <w:t xml:space="preserve">Representative Perls’Prussian blue staining of iron in EBIs from DEX or PBS pretreated mice on days 4 and 7. Scale bar, 10 µm. </w:t>
      </w:r>
      <w:r>
        <w:rPr>
          <w:rFonts w:ascii="Times New Roman" w:hAnsi="Times New Roman" w:cs="Times New Roman"/>
          <w:b/>
          <w:bCs/>
          <w:sz w:val="24"/>
          <w:szCs w:val="24"/>
        </w:rPr>
        <w:t>(B)</w:t>
      </w:r>
      <w:r>
        <w:rPr>
          <w:rFonts w:ascii="Times New Roman" w:hAnsi="Times New Roman" w:cs="Times New Roman"/>
          <w:sz w:val="24"/>
          <w:szCs w:val="24"/>
        </w:rPr>
        <w:t xml:space="preserve"> Quantification of EBI macrophages containing membrane‑associated iron and intracellular iron in DEX or PBS pre-treated mice on days 4 and 7 (n = 6). </w:t>
      </w:r>
      <w:r>
        <w:rPr>
          <w:rFonts w:ascii="Times New Roman" w:hAnsi="Times New Roman" w:cs="Times New Roman"/>
          <w:b/>
          <w:bCs/>
          <w:sz w:val="24"/>
          <w:szCs w:val="24"/>
        </w:rPr>
        <w:t>(C)</w:t>
      </w:r>
      <w:r>
        <w:rPr>
          <w:rFonts w:ascii="Times New Roman" w:hAnsi="Times New Roman" w:cs="Times New Roman"/>
          <w:sz w:val="24"/>
          <w:szCs w:val="24"/>
        </w:rPr>
        <w:t xml:space="preserve"> Flow cytometry analysis (left)</w:t>
      </w:r>
      <w:r>
        <w:rPr>
          <w:rFonts w:ascii="Times New Roman" w:hAnsi="Times New Roman" w:cs="Times New Roman"/>
          <w:b/>
          <w:bCs/>
          <w:sz w:val="24"/>
          <w:szCs w:val="24"/>
        </w:rPr>
        <w:t xml:space="preserve"> </w:t>
      </w:r>
      <w:r>
        <w:rPr>
          <w:rFonts w:ascii="Times New Roman" w:hAnsi="Times New Roman" w:cs="Times New Roman"/>
          <w:sz w:val="24"/>
          <w:szCs w:val="24"/>
        </w:rPr>
        <w:t xml:space="preserve">and MFI (right) of CD169 expression in DEX and PBS pre-treated mice on days 4 and 7 (n=6). </w:t>
      </w:r>
      <w:r>
        <w:rPr>
          <w:rFonts w:ascii="Times New Roman" w:hAnsi="Times New Roman" w:cs="Times New Roman"/>
          <w:b/>
          <w:bCs/>
          <w:sz w:val="24"/>
          <w:szCs w:val="24"/>
        </w:rPr>
        <w:t>(D)</w:t>
      </w:r>
      <w:r>
        <w:rPr>
          <w:rFonts w:ascii="Times New Roman" w:hAnsi="Times New Roman" w:cs="Times New Roman"/>
          <w:sz w:val="24"/>
          <w:szCs w:val="24"/>
        </w:rPr>
        <w:t xml:space="preserve"> Flow cytometry analysis</w:t>
      </w:r>
      <w:r>
        <w:rPr>
          <w:rFonts w:ascii="Times New Roman" w:hAnsi="Times New Roman" w:cs="Times New Roman"/>
          <w:b/>
          <w:bCs/>
          <w:sz w:val="24"/>
          <w:szCs w:val="24"/>
        </w:rPr>
        <w:t xml:space="preserve"> </w:t>
      </w:r>
      <w:r>
        <w:rPr>
          <w:rFonts w:ascii="Times New Roman" w:hAnsi="Times New Roman" w:cs="Times New Roman"/>
          <w:sz w:val="24"/>
          <w:szCs w:val="24"/>
        </w:rPr>
        <w:t>(left)</w:t>
      </w:r>
      <w:r>
        <w:rPr>
          <w:rFonts w:ascii="Times New Roman" w:hAnsi="Times New Roman" w:cs="Times New Roman"/>
          <w:b/>
          <w:bCs/>
          <w:sz w:val="24"/>
          <w:szCs w:val="24"/>
        </w:rPr>
        <w:t xml:space="preserve"> </w:t>
      </w:r>
      <w:r>
        <w:rPr>
          <w:rFonts w:ascii="Times New Roman" w:hAnsi="Times New Roman" w:cs="Times New Roman"/>
          <w:sz w:val="24"/>
          <w:szCs w:val="24"/>
        </w:rPr>
        <w:t>and</w:t>
      </w:r>
      <w:r>
        <w:rPr>
          <w:rFonts w:ascii="Times New Roman" w:hAnsi="Times New Roman" w:cs="Times New Roman"/>
          <w:color w:val="000000" w:themeColor="text1"/>
          <w:sz w:val="24"/>
          <w:szCs w:val="24"/>
          <w14:textFill>
            <w14:solidFill>
              <w14:schemeClr w14:val="tx1"/>
            </w14:solidFill>
          </w14:textFill>
        </w:rPr>
        <w:t xml:space="preserve"> MFI (right) of Mertk expression in DEX and PBS pre-treated mice on days 4 and 7 (n=6). </w:t>
      </w:r>
      <w:r>
        <w:rPr>
          <w:rFonts w:hint="eastAsia" w:ascii="Times New Roman" w:hAnsi="Times New Roman" w:cs="Times New Roman"/>
          <w:b/>
          <w:bCs/>
          <w:color w:val="000000" w:themeColor="text1"/>
          <w:sz w:val="24"/>
          <w:szCs w:val="24"/>
          <w14:textFill>
            <w14:solidFill>
              <w14:schemeClr w14:val="tx1"/>
            </w14:solidFill>
          </w14:textFill>
        </w:rPr>
        <w:t xml:space="preserve">(E) </w:t>
      </w:r>
      <w:r>
        <w:rPr>
          <w:rFonts w:hint="eastAsia" w:ascii="Times New Roman" w:hAnsi="Times New Roman" w:cs="Times New Roman"/>
          <w:b w:val="0"/>
          <w:bCs w:val="0"/>
          <w:color w:val="000000" w:themeColor="text1"/>
          <w:sz w:val="24"/>
          <w:szCs w:val="24"/>
          <w14:textFill>
            <w14:solidFill>
              <w14:schemeClr w14:val="tx1"/>
            </w14:solidFill>
          </w14:textFill>
        </w:rPr>
        <w:t>Flow cytometric analysis showing the gating strategy for BM EBI macrophages</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 xml:space="preserve">the plot of </w:t>
      </w:r>
      <w:r>
        <w:rPr>
          <w:rFonts w:hint="eastAsia" w:ascii="Times New Roman" w:hAnsi="Times New Roman" w:cs="Times New Roman"/>
          <w:color w:val="000000" w:themeColor="text1"/>
          <w:sz w:val="24"/>
          <w:lang w:val="en-US" w:eastAsia="zh-CN"/>
          <w14:textFill>
            <w14:solidFill>
              <w14:schemeClr w14:val="tx1"/>
            </w14:solidFill>
          </w14:textFill>
        </w:rPr>
        <w:t>epor</w:t>
      </w:r>
      <w:r>
        <w:rPr>
          <w:rFonts w:ascii="Times New Roman" w:hAnsi="Times New Roman" w:cs="Times New Roman"/>
          <w:color w:val="000000" w:themeColor="text1"/>
          <w:sz w:val="24"/>
          <w14:textFill>
            <w14:solidFill>
              <w14:schemeClr w14:val="tx1"/>
            </w14:solidFill>
          </w14:textFill>
        </w:rPr>
        <w:t xml:space="preserve"> versus FSC from </w:t>
      </w:r>
      <w:r>
        <w:rPr>
          <w:rFonts w:hint="eastAsia" w:ascii="Times New Roman" w:hAnsi="Times New Roman" w:cs="Times New Roman"/>
          <w:color w:val="000000" w:themeColor="text1"/>
          <w:sz w:val="24"/>
          <w:lang w:val="en-US" w:eastAsia="zh-CN"/>
          <w14:textFill>
            <w14:solidFill>
              <w14:schemeClr w14:val="tx1"/>
            </w14:solidFill>
          </w14:textFill>
        </w:rPr>
        <w:t>Ly6g</w:t>
      </w:r>
      <w:r>
        <w:rPr>
          <w:rFonts w:hint="eastAsia" w:ascii="Times New Roman" w:hAnsi="Times New Roman" w:cs="Times New Roman"/>
          <w:color w:val="000000" w:themeColor="text1"/>
          <w:sz w:val="24"/>
          <w:vertAlign w:val="superscript"/>
          <w:lang w:val="en-US" w:eastAsia="zh-CN"/>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F4/80</w:t>
      </w:r>
      <w:r>
        <w:rPr>
          <w:rFonts w:ascii="Times New Roman" w:hAnsi="Times New Roman" w:cs="Times New Roman"/>
          <w:color w:val="000000" w:themeColor="text1"/>
          <w:sz w:val="24"/>
          <w:vertAlign w:val="superscript"/>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cells,</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14:textFill>
            <w14:solidFill>
              <w14:schemeClr w14:val="tx1"/>
            </w14:solidFill>
          </w14:textFill>
        </w:rPr>
        <w:t>in DEX- or PBS-pretreated mice on day 7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n</w:t>
      </w:r>
      <w:r>
        <w:rPr>
          <w:rFonts w:hint="eastAsia" w:ascii="Times New Roman" w:hAnsi="Times New Roman" w:cs="Times New Roman"/>
          <w:b w:val="0"/>
          <w:bCs w:val="0"/>
          <w:color w:val="000000" w:themeColor="text1"/>
          <w:sz w:val="24"/>
          <w:szCs w:val="24"/>
          <w14:textFill>
            <w14:solidFill>
              <w14:schemeClr w14:val="tx1"/>
            </w14:solidFill>
          </w14:textFill>
        </w:rPr>
        <w:t>=6).</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14:textFill>
            <w14:solidFill>
              <w14:schemeClr w14:val="tx1"/>
            </w14:solidFill>
          </w14:textFill>
        </w:rPr>
        <w:t xml:space="preserve">(F) </w:t>
      </w:r>
      <w:r>
        <w:rPr>
          <w:rFonts w:hint="eastAsia" w:ascii="Times New Roman" w:hAnsi="Times New Roman" w:cs="Times New Roman"/>
          <w:b w:val="0"/>
          <w:bCs w:val="0"/>
          <w:color w:val="000000" w:themeColor="text1"/>
          <w:sz w:val="24"/>
          <w:szCs w:val="24"/>
          <w14:textFill>
            <w14:solidFill>
              <w14:schemeClr w14:val="tx1"/>
            </w14:solidFill>
          </w14:textFill>
        </w:rPr>
        <w:t>Quantification of BM EBI macrophage numbers in DEX- and PBS-pretreated mice on day 7 (n = 6).*p &lt; 0.05, **p &lt; 0.01, ***p &lt; 0.001. NS, not significant.</w:t>
      </w:r>
    </w:p>
    <w:p w14:paraId="589E082E">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szCs w:val="24"/>
        </w:rPr>
      </w:pPr>
    </w:p>
    <w:p w14:paraId="41ACA115">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szCs w:val="24"/>
        </w:rPr>
      </w:pPr>
    </w:p>
    <w:p w14:paraId="16AC6A57">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szCs w:val="24"/>
        </w:rPr>
      </w:pPr>
    </w:p>
    <w:p w14:paraId="6F78388F">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szCs w:val="24"/>
        </w:rPr>
      </w:pPr>
    </w:p>
    <w:p w14:paraId="515D4259">
      <w:pPr>
        <w:widowControl w:val="0"/>
        <w:spacing w:line="48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142865" cy="6877685"/>
            <wp:effectExtent l="0" t="0" r="635" b="5715"/>
            <wp:docPr id="5" name="图片 5"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ure 4"/>
                    <pic:cNvPicPr>
                      <a:picLocks noChangeAspect="1"/>
                    </pic:cNvPicPr>
                  </pic:nvPicPr>
                  <pic:blipFill>
                    <a:blip r:embed="rId7"/>
                    <a:srcRect l="18406"/>
                    <a:stretch>
                      <a:fillRect/>
                    </a:stretch>
                  </pic:blipFill>
                  <pic:spPr>
                    <a:xfrm>
                      <a:off x="0" y="0"/>
                      <a:ext cx="5142865" cy="6877685"/>
                    </a:xfrm>
                    <a:prstGeom prst="rect">
                      <a:avLst/>
                    </a:prstGeom>
                  </pic:spPr>
                </pic:pic>
              </a:graphicData>
            </a:graphic>
          </wp:inline>
        </w:drawing>
      </w:r>
    </w:p>
    <w:p w14:paraId="721EC58D">
      <w:pPr>
        <w:widowControl w:val="0"/>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Supplementary Figure</w:t>
      </w:r>
      <w:r>
        <w:rPr>
          <w:rFonts w:hint="eastAsia" w:ascii="Times New Roman" w:hAnsi="Times New Roman" w:cs="Times New Roman"/>
          <w:b/>
          <w:bCs/>
          <w:sz w:val="24"/>
          <w:szCs w:val="24"/>
        </w:rPr>
        <w:t xml:space="preserve"> 4 </w:t>
      </w:r>
      <w:r>
        <w:rPr>
          <w:rFonts w:ascii="Times New Roman" w:hAnsi="Times New Roman" w:cs="Times New Roman"/>
          <w:b/>
          <w:bCs/>
          <w:sz w:val="24"/>
          <w:szCs w:val="24"/>
        </w:rPr>
        <w:t xml:space="preserve">Glucocorticoids promoted RBCs production </w:t>
      </w:r>
      <w:r>
        <w:rPr>
          <w:rFonts w:hint="eastAsia" w:ascii="Times New Roman" w:hAnsi="Times New Roman" w:cs="Times New Roman"/>
          <w:b/>
          <w:bCs/>
          <w:sz w:val="24"/>
          <w:szCs w:val="24"/>
        </w:rPr>
        <w:t>via enhancing EBI formation and</w:t>
      </w:r>
      <w:r>
        <w:rPr>
          <w:rFonts w:ascii="Times New Roman" w:hAnsi="Times New Roman" w:cs="Times New Roman"/>
          <w:b/>
          <w:bCs/>
          <w:sz w:val="24"/>
          <w:szCs w:val="24"/>
        </w:rPr>
        <w:t xml:space="preserve"> iron metabolism </w:t>
      </w:r>
      <w:r>
        <w:rPr>
          <w:rFonts w:hint="eastAsia" w:ascii="Times New Roman" w:hAnsi="Times New Roman" w:cs="Times New Roman"/>
          <w:b/>
          <w:bCs/>
          <w:sz w:val="24"/>
          <w:szCs w:val="24"/>
        </w:rPr>
        <w:t>in rat BM</w:t>
      </w:r>
    </w:p>
    <w:p w14:paraId="218D98F4">
      <w:pPr>
        <w:widowControl w:val="0"/>
        <w:numPr>
          <w:ilvl w:val="0"/>
          <w:numId w:val="4"/>
        </w:numPr>
        <w:spacing w:line="480" w:lineRule="auto"/>
        <w:rPr>
          <w:rFonts w:ascii="Times New Roman" w:hAnsi="Times New Roman" w:cs="Times New Roman"/>
          <w:b/>
          <w:bCs/>
          <w:sz w:val="24"/>
          <w:szCs w:val="24"/>
        </w:rPr>
      </w:pPr>
      <w:r>
        <w:rPr>
          <w:rFonts w:ascii="Times New Roman" w:hAnsi="Times New Roman" w:cs="Times New Roman"/>
          <w:sz w:val="24"/>
          <w:szCs w:val="24"/>
        </w:rPr>
        <w:t xml:space="preserve">Diagram of </w:t>
      </w:r>
      <w:r>
        <w:rPr>
          <w:rFonts w:hint="eastAsia" w:ascii="Times New Roman" w:hAnsi="Times New Roman" w:cs="Times New Roman"/>
          <w:sz w:val="24"/>
          <w:szCs w:val="24"/>
        </w:rPr>
        <w:t xml:space="preserve">SD rat treated with </w:t>
      </w:r>
      <w:r>
        <w:rPr>
          <w:rFonts w:ascii="Times New Roman" w:hAnsi="Times New Roman" w:cs="Times New Roman"/>
          <w:sz w:val="24"/>
          <w:szCs w:val="24"/>
        </w:rPr>
        <w:t>PBS</w:t>
      </w:r>
      <w:r>
        <w:rPr>
          <w:rFonts w:hint="eastAsia" w:ascii="Times New Roman" w:hAnsi="Times New Roman" w:cs="Times New Roman"/>
          <w:sz w:val="24"/>
          <w:szCs w:val="24"/>
        </w:rPr>
        <w:t xml:space="preserve"> or </w:t>
      </w:r>
      <w:r>
        <w:rPr>
          <w:rFonts w:ascii="Times New Roman" w:hAnsi="Times New Roman" w:cs="Times New Roman"/>
          <w:sz w:val="24"/>
          <w:szCs w:val="24"/>
        </w:rPr>
        <w:t xml:space="preserve">DEX </w:t>
      </w:r>
      <w:r>
        <w:rPr>
          <w:rFonts w:hint="eastAsia" w:ascii="Times New Roman" w:hAnsi="Times New Roman" w:cs="Times New Roman"/>
          <w:sz w:val="24"/>
          <w:szCs w:val="24"/>
        </w:rPr>
        <w:t>for 10 days</w:t>
      </w:r>
      <w:r>
        <w:rPr>
          <w:rFonts w:ascii="Times New Roman" w:hAnsi="Times New Roman" w:cs="Times New Roman"/>
          <w:sz w:val="24"/>
          <w:szCs w:val="24"/>
        </w:rPr>
        <w:t xml:space="preserve">. </w:t>
      </w:r>
      <w:r>
        <w:rPr>
          <w:rFonts w:ascii="Times New Roman" w:hAnsi="Times New Roman" w:cs="Times New Roman"/>
          <w:b/>
          <w:bCs/>
          <w:sz w:val="24"/>
          <w:szCs w:val="24"/>
        </w:rPr>
        <w:t xml:space="preserve">(B) </w:t>
      </w:r>
      <w:r>
        <w:rPr>
          <w:rFonts w:hint="eastAsia" w:ascii="Times New Roman" w:hAnsi="Times New Roman" w:cs="Times New Roman"/>
          <w:sz w:val="24"/>
          <w:szCs w:val="24"/>
        </w:rPr>
        <w:t>RBC numbers, HGB and HCT levels in SD rats on 10 day after PBS or DEX treatment</w:t>
      </w:r>
      <w:r>
        <w:rPr>
          <w:rFonts w:ascii="Times New Roman" w:hAnsi="Times New Roman" w:cs="Times New Roman"/>
          <w:sz w:val="24"/>
          <w:szCs w:val="24"/>
        </w:rPr>
        <w:t xml:space="preserve">. </w:t>
      </w:r>
      <w:r>
        <w:rPr>
          <w:rFonts w:ascii="Times New Roman" w:hAnsi="Times New Roman" w:cs="Times New Roman"/>
          <w:b/>
          <w:bCs/>
          <w:sz w:val="24"/>
          <w:szCs w:val="24"/>
        </w:rPr>
        <w:t>(C)</w:t>
      </w:r>
      <w:r>
        <w:rPr>
          <w:rFonts w:ascii="Times New Roman" w:hAnsi="Times New Roman" w:cs="Times New Roman"/>
          <w:sz w:val="24"/>
          <w:szCs w:val="24"/>
        </w:rPr>
        <w:t xml:space="preserve"> Quantitative analysis total BM cell number of</w:t>
      </w:r>
      <w:r>
        <w:rPr>
          <w:rFonts w:hint="eastAsia" w:ascii="Times New Roman" w:hAnsi="Times New Roman" w:cs="Times New Roman"/>
          <w:sz w:val="24"/>
          <w:szCs w:val="24"/>
        </w:rPr>
        <w:t xml:space="preserve"> SD rat on 10 day</w:t>
      </w:r>
      <w:r>
        <w:rPr>
          <w:rFonts w:ascii="Times New Roman" w:hAnsi="Times New Roman" w:cs="Times New Roman"/>
          <w:sz w:val="24"/>
          <w:szCs w:val="24"/>
        </w:rPr>
        <w:t xml:space="preserve"> after treatment with DEX or PBS</w:t>
      </w:r>
      <w:r>
        <w:rPr>
          <w:rFonts w:hint="eastAsia" w:ascii="Times New Roman" w:hAnsi="Times New Roman" w:cs="Times New Roman"/>
          <w:sz w:val="24"/>
          <w:szCs w:val="24"/>
        </w:rPr>
        <w:t xml:space="preserve"> (n=12)</w:t>
      </w:r>
      <w:r>
        <w:rPr>
          <w:rFonts w:ascii="Times New Roman" w:hAnsi="Times New Roman" w:cs="Times New Roman"/>
          <w:sz w:val="24"/>
          <w:szCs w:val="24"/>
        </w:rPr>
        <w:t xml:space="preserve">. </w:t>
      </w:r>
      <w:r>
        <w:rPr>
          <w:rFonts w:ascii="Times New Roman" w:hAnsi="Times New Roman" w:cs="Times New Roman"/>
          <w:b/>
          <w:bCs/>
          <w:sz w:val="24"/>
          <w:szCs w:val="24"/>
        </w:rPr>
        <w:t>(D)</w:t>
      </w:r>
      <w:r>
        <w:rPr>
          <w:rFonts w:ascii="Times New Roman" w:hAnsi="Times New Roman" w:cs="Times New Roman"/>
          <w:sz w:val="24"/>
          <w:szCs w:val="24"/>
        </w:rPr>
        <w:t xml:space="preserve"> </w:t>
      </w:r>
      <w:r>
        <w:rPr>
          <w:rFonts w:hint="eastAsia" w:ascii="Times New Roman" w:hAnsi="Times New Roman" w:cs="Times New Roman"/>
          <w:sz w:val="24"/>
          <w:szCs w:val="24"/>
        </w:rPr>
        <w:t>P</w:t>
      </w:r>
      <w:r>
        <w:rPr>
          <w:rFonts w:ascii="Times New Roman" w:hAnsi="Times New Roman" w:cs="Times New Roman"/>
          <w:sz w:val="24"/>
          <w:szCs w:val="24"/>
        </w:rPr>
        <w:t>ercentages of Pro-E,</w:t>
      </w:r>
      <w:r>
        <w:rPr>
          <w:rFonts w:hint="eastAsia" w:ascii="Times New Roman" w:hAnsi="Times New Roman" w:cs="Times New Roman"/>
          <w:sz w:val="24"/>
          <w:szCs w:val="24"/>
        </w:rPr>
        <w:t xml:space="preserve"> </w:t>
      </w:r>
      <w:r>
        <w:rPr>
          <w:rFonts w:ascii="Times New Roman" w:hAnsi="Times New Roman" w:cs="Times New Roman"/>
          <w:sz w:val="24"/>
          <w:szCs w:val="24"/>
        </w:rPr>
        <w:t>Baso-E,</w:t>
      </w:r>
      <w:r>
        <w:rPr>
          <w:rFonts w:hint="eastAsia" w:ascii="Times New Roman" w:hAnsi="Times New Roman" w:cs="Times New Roman"/>
          <w:sz w:val="24"/>
          <w:szCs w:val="24"/>
        </w:rPr>
        <w:t xml:space="preserve"> </w:t>
      </w:r>
      <w:r>
        <w:rPr>
          <w:rFonts w:ascii="Times New Roman" w:hAnsi="Times New Roman" w:cs="Times New Roman"/>
          <w:sz w:val="24"/>
          <w:szCs w:val="24"/>
        </w:rPr>
        <w:t>Poly-E,</w:t>
      </w:r>
      <w:r>
        <w:rPr>
          <w:rFonts w:hint="eastAsia" w:ascii="Times New Roman" w:hAnsi="Times New Roman" w:cs="Times New Roman"/>
          <w:sz w:val="24"/>
          <w:szCs w:val="24"/>
        </w:rPr>
        <w:t xml:space="preserve"> </w:t>
      </w:r>
      <w:r>
        <w:rPr>
          <w:rFonts w:ascii="Times New Roman" w:hAnsi="Times New Roman" w:cs="Times New Roman"/>
          <w:sz w:val="24"/>
          <w:szCs w:val="24"/>
        </w:rPr>
        <w:t>Ortho-E,</w:t>
      </w:r>
      <w:r>
        <w:rPr>
          <w:rFonts w:hint="eastAsia" w:ascii="Times New Roman" w:hAnsi="Times New Roman" w:cs="Times New Roman"/>
          <w:sz w:val="24"/>
          <w:szCs w:val="24"/>
        </w:rPr>
        <w:t xml:space="preserve"> </w:t>
      </w:r>
      <w:r>
        <w:rPr>
          <w:rFonts w:ascii="Times New Roman" w:hAnsi="Times New Roman" w:cs="Times New Roman"/>
          <w:sz w:val="24"/>
          <w:szCs w:val="24"/>
        </w:rPr>
        <w:t>Reti and RBC</w:t>
      </w:r>
      <w:r>
        <w:rPr>
          <w:rFonts w:hint="eastAsia" w:ascii="Times New Roman" w:hAnsi="Times New Roman" w:cs="Times New Roman"/>
          <w:sz w:val="24"/>
          <w:szCs w:val="24"/>
        </w:rPr>
        <w:t xml:space="preserve"> in SD rat treated with </w:t>
      </w:r>
      <w:r>
        <w:rPr>
          <w:rFonts w:ascii="Times New Roman" w:hAnsi="Times New Roman" w:cs="Times New Roman"/>
          <w:sz w:val="24"/>
          <w:szCs w:val="24"/>
        </w:rPr>
        <w:t>PBS</w:t>
      </w:r>
      <w:r>
        <w:rPr>
          <w:rFonts w:hint="eastAsia" w:ascii="Times New Roman" w:hAnsi="Times New Roman" w:cs="Times New Roman"/>
          <w:sz w:val="24"/>
          <w:szCs w:val="24"/>
        </w:rPr>
        <w:t xml:space="preserve"> and </w:t>
      </w:r>
      <w:r>
        <w:rPr>
          <w:rFonts w:ascii="Times New Roman" w:hAnsi="Times New Roman" w:cs="Times New Roman"/>
          <w:sz w:val="24"/>
          <w:szCs w:val="24"/>
        </w:rPr>
        <w:t xml:space="preserve">DEX on </w:t>
      </w:r>
      <w:r>
        <w:rPr>
          <w:rFonts w:hint="eastAsia" w:ascii="Times New Roman" w:hAnsi="Times New Roman" w:cs="Times New Roman"/>
          <w:sz w:val="24"/>
          <w:szCs w:val="24"/>
        </w:rPr>
        <w:t>day 10 (n=6)</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b/>
          <w:bCs/>
          <w:sz w:val="24"/>
          <w:szCs w:val="24"/>
        </w:rPr>
        <w:t>(E)</w:t>
      </w:r>
      <w:r>
        <w:rPr>
          <w:rFonts w:ascii="Times New Roman" w:hAnsi="Times New Roman" w:cs="Times New Roman"/>
          <w:sz w:val="24"/>
          <w:szCs w:val="24"/>
        </w:rPr>
        <w:t xml:space="preserve"> </w:t>
      </w:r>
      <w:r>
        <w:rPr>
          <w:rFonts w:hint="eastAsia" w:ascii="Times New Roman" w:hAnsi="Times New Roman" w:cs="Times New Roman"/>
          <w:sz w:val="24"/>
          <w:szCs w:val="24"/>
        </w:rPr>
        <w:t>Quantitative analysis of cell number</w:t>
      </w:r>
      <w:r>
        <w:rPr>
          <w:rFonts w:ascii="Times New Roman" w:hAnsi="Times New Roman" w:cs="Times New Roman"/>
          <w:sz w:val="24"/>
          <w:szCs w:val="24"/>
        </w:rPr>
        <w:t xml:space="preserve"> of Pro-E,</w:t>
      </w:r>
      <w:r>
        <w:rPr>
          <w:rFonts w:hint="eastAsia" w:ascii="Times New Roman" w:hAnsi="Times New Roman" w:cs="Times New Roman"/>
          <w:sz w:val="24"/>
          <w:szCs w:val="24"/>
        </w:rPr>
        <w:t xml:space="preserve"> </w:t>
      </w:r>
      <w:r>
        <w:rPr>
          <w:rFonts w:ascii="Times New Roman" w:hAnsi="Times New Roman" w:cs="Times New Roman"/>
          <w:sz w:val="24"/>
          <w:szCs w:val="24"/>
        </w:rPr>
        <w:t>Baso-E,</w:t>
      </w:r>
      <w:r>
        <w:rPr>
          <w:rFonts w:hint="eastAsia" w:ascii="Times New Roman" w:hAnsi="Times New Roman" w:cs="Times New Roman"/>
          <w:sz w:val="24"/>
          <w:szCs w:val="24"/>
        </w:rPr>
        <w:t xml:space="preserve"> </w:t>
      </w:r>
      <w:r>
        <w:rPr>
          <w:rFonts w:ascii="Times New Roman" w:hAnsi="Times New Roman" w:cs="Times New Roman"/>
          <w:sz w:val="24"/>
          <w:szCs w:val="24"/>
        </w:rPr>
        <w:t>Poly-E,</w:t>
      </w:r>
      <w:r>
        <w:rPr>
          <w:rFonts w:hint="eastAsia" w:ascii="Times New Roman" w:hAnsi="Times New Roman" w:cs="Times New Roman"/>
          <w:sz w:val="24"/>
          <w:szCs w:val="24"/>
        </w:rPr>
        <w:t xml:space="preserve"> </w:t>
      </w:r>
      <w:r>
        <w:rPr>
          <w:rFonts w:ascii="Times New Roman" w:hAnsi="Times New Roman" w:cs="Times New Roman"/>
          <w:sz w:val="24"/>
          <w:szCs w:val="24"/>
        </w:rPr>
        <w:t>Ortho-E,</w:t>
      </w:r>
      <w:r>
        <w:rPr>
          <w:rFonts w:hint="eastAsia" w:ascii="Times New Roman" w:hAnsi="Times New Roman" w:cs="Times New Roman"/>
          <w:sz w:val="24"/>
          <w:szCs w:val="24"/>
        </w:rPr>
        <w:t xml:space="preserve"> </w:t>
      </w:r>
      <w:r>
        <w:rPr>
          <w:rFonts w:ascii="Times New Roman" w:hAnsi="Times New Roman" w:cs="Times New Roman"/>
          <w:sz w:val="24"/>
          <w:szCs w:val="24"/>
        </w:rPr>
        <w:t>Reti and RBC</w:t>
      </w:r>
      <w:r>
        <w:rPr>
          <w:rFonts w:hint="eastAsia" w:ascii="Times New Roman" w:hAnsi="Times New Roman" w:cs="Times New Roman"/>
          <w:sz w:val="24"/>
          <w:szCs w:val="24"/>
        </w:rPr>
        <w:t xml:space="preserve"> in SD rat treated with </w:t>
      </w:r>
      <w:r>
        <w:rPr>
          <w:rFonts w:ascii="Times New Roman" w:hAnsi="Times New Roman" w:cs="Times New Roman"/>
          <w:sz w:val="24"/>
          <w:szCs w:val="24"/>
        </w:rPr>
        <w:t>PBS</w:t>
      </w:r>
      <w:r>
        <w:rPr>
          <w:rFonts w:hint="eastAsia" w:ascii="Times New Roman" w:hAnsi="Times New Roman" w:cs="Times New Roman"/>
          <w:sz w:val="24"/>
          <w:szCs w:val="24"/>
        </w:rPr>
        <w:t xml:space="preserve"> and </w:t>
      </w:r>
      <w:r>
        <w:rPr>
          <w:rFonts w:ascii="Times New Roman" w:hAnsi="Times New Roman" w:cs="Times New Roman"/>
          <w:sz w:val="24"/>
          <w:szCs w:val="24"/>
        </w:rPr>
        <w:t xml:space="preserve">DEX on </w:t>
      </w:r>
      <w:r>
        <w:rPr>
          <w:rFonts w:hint="eastAsia" w:ascii="Times New Roman" w:hAnsi="Times New Roman" w:cs="Times New Roman"/>
          <w:sz w:val="24"/>
          <w:szCs w:val="24"/>
        </w:rPr>
        <w:t>day 10 (n=6)</w:t>
      </w:r>
      <w:r>
        <w:rPr>
          <w:rFonts w:ascii="Times New Roman" w:hAnsi="Times New Roman" w:cs="Times New Roman"/>
          <w:sz w:val="24"/>
          <w:szCs w:val="24"/>
        </w:rPr>
        <w:t xml:space="preserve">. </w:t>
      </w:r>
      <w:r>
        <w:rPr>
          <w:rFonts w:ascii="Times New Roman" w:hAnsi="Times New Roman" w:cs="Times New Roman"/>
          <w:b/>
          <w:bCs/>
          <w:sz w:val="24"/>
          <w:szCs w:val="24"/>
        </w:rPr>
        <w:t>(</w:t>
      </w:r>
      <w:r>
        <w:rPr>
          <w:rFonts w:hint="eastAsia" w:ascii="Times New Roman" w:hAnsi="Times New Roman" w:cs="Times New Roman"/>
          <w:b/>
          <w:bCs/>
          <w:sz w:val="24"/>
          <w:szCs w:val="24"/>
        </w:rPr>
        <w:t>F</w:t>
      </w:r>
      <w:r>
        <w:rPr>
          <w:rFonts w:ascii="Times New Roman" w:hAnsi="Times New Roman" w:cs="Times New Roman"/>
          <w:b/>
          <w:bCs/>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Quantitative analysis of serum Fe, UIBC, and TIBC levels between </w:t>
      </w:r>
      <w:r>
        <w:rPr>
          <w:rFonts w:ascii="Times New Roman" w:hAnsi="Times New Roman" w:cs="Times New Roman"/>
          <w:sz w:val="24"/>
          <w:szCs w:val="24"/>
        </w:rPr>
        <w:t>DEX and PBS pre-treated</w:t>
      </w:r>
      <w:r>
        <w:rPr>
          <w:rFonts w:hint="eastAsia" w:ascii="Times New Roman" w:hAnsi="Times New Roman" w:cs="Times New Roman"/>
          <w:sz w:val="24"/>
          <w:szCs w:val="24"/>
        </w:rPr>
        <w:t xml:space="preserve"> SD rat </w:t>
      </w:r>
      <w:r>
        <w:rPr>
          <w:rFonts w:ascii="Times New Roman" w:hAnsi="Times New Roman" w:cs="Times New Roman"/>
          <w:sz w:val="24"/>
          <w:szCs w:val="24"/>
        </w:rPr>
        <w:t xml:space="preserve">on </w:t>
      </w:r>
      <w:r>
        <w:rPr>
          <w:rFonts w:hint="eastAsia" w:ascii="Times New Roman" w:hAnsi="Times New Roman" w:cs="Times New Roman"/>
          <w:sz w:val="24"/>
          <w:szCs w:val="24"/>
        </w:rPr>
        <w:t>day 10 (n=6).</w:t>
      </w:r>
      <w:r>
        <w:rPr>
          <w:rFonts w:ascii="Times New Roman" w:hAnsi="Times New Roman" w:cs="Times New Roman"/>
          <w:sz w:val="24"/>
          <w:szCs w:val="24"/>
        </w:rPr>
        <w:t xml:space="preserve"> </w:t>
      </w:r>
      <w:r>
        <w:rPr>
          <w:rFonts w:ascii="Times New Roman" w:hAnsi="Times New Roman" w:cs="Times New Roman"/>
          <w:b/>
          <w:bCs/>
          <w:sz w:val="24"/>
          <w:szCs w:val="24"/>
        </w:rPr>
        <w:t>(</w:t>
      </w:r>
      <w:r>
        <w:rPr>
          <w:rFonts w:hint="eastAsia" w:ascii="Times New Roman" w:hAnsi="Times New Roman" w:cs="Times New Roman"/>
          <w:b/>
          <w:bCs/>
          <w:sz w:val="24"/>
          <w:szCs w:val="24"/>
        </w:rPr>
        <w:t>G-J</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 xml:space="preserve">Quantitative analysis of serum ferritin </w:t>
      </w:r>
      <w:r>
        <w:rPr>
          <w:rFonts w:ascii="Times New Roman" w:hAnsi="Times New Roman" w:cs="Times New Roman"/>
          <w:b/>
          <w:bCs/>
          <w:sz w:val="24"/>
          <w:szCs w:val="24"/>
        </w:rPr>
        <w:t>(</w:t>
      </w:r>
      <w:r>
        <w:rPr>
          <w:rFonts w:hint="eastAsia" w:ascii="Times New Roman" w:hAnsi="Times New Roman" w:cs="Times New Roman"/>
          <w:b/>
          <w:bCs/>
          <w:sz w:val="24"/>
          <w:szCs w:val="24"/>
        </w:rPr>
        <w:t>G</w:t>
      </w:r>
      <w:r>
        <w:rPr>
          <w:rFonts w:ascii="Times New Roman" w:hAnsi="Times New Roman" w:cs="Times New Roman"/>
          <w:b/>
          <w:bCs/>
          <w:sz w:val="24"/>
          <w:szCs w:val="24"/>
        </w:rPr>
        <w:t>)</w:t>
      </w:r>
      <w:r>
        <w:rPr>
          <w:rFonts w:hint="eastAsia" w:ascii="Times New Roman" w:hAnsi="Times New Roman" w:cs="Times New Roman"/>
          <w:sz w:val="24"/>
          <w:szCs w:val="24"/>
        </w:rPr>
        <w:t>, serum T</w:t>
      </w:r>
      <w:r>
        <w:rPr>
          <w:rFonts w:hint="eastAsia" w:ascii="Times New Roman" w:hAnsi="Times New Roman" w:cs="Times New Roman"/>
          <w:color w:val="000000" w:themeColor="text1"/>
          <w:sz w:val="24"/>
          <w:szCs w:val="24"/>
          <w14:textFill>
            <w14:solidFill>
              <w14:schemeClr w14:val="tx1"/>
            </w14:solidFill>
          </w14:textFill>
        </w:rPr>
        <w:t xml:space="preserve">F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14:textFill>
            <w14:solidFill>
              <w14:schemeClr w14:val="tx1"/>
            </w14:solidFill>
          </w14:textFill>
        </w:rPr>
        <w:t>H</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serum EPO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14:textFill>
            <w14:solidFill>
              <w14:schemeClr w14:val="tx1"/>
            </w14:solidFill>
          </w14:textFill>
        </w:rPr>
        <w:t>I</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and serum hepcidine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14:textFill>
            <w14:solidFill>
              <w14:schemeClr w14:val="tx1"/>
            </w14:solidFill>
          </w14:textFill>
        </w:rPr>
        <w:t>J</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levels between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on day 10 (n=6).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K</w:t>
      </w:r>
      <w:r>
        <w:rPr>
          <w:rFonts w:ascii="Times New Roman" w:hAnsi="Times New Roman" w:cs="Times New Roman"/>
          <w:b/>
          <w:bCs/>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Representative Perls’ Prussian blue staining images for </w:t>
      </w:r>
      <w:r>
        <w:rPr>
          <w:rFonts w:hint="eastAsia" w:ascii="Times New Roman" w:hAnsi="Times New Roman" w:cs="Times New Roman"/>
          <w:color w:val="000000" w:themeColor="text1"/>
          <w:sz w:val="24"/>
          <w:szCs w:val="24"/>
          <w14:textFill>
            <w14:solidFill>
              <w14:schemeClr w14:val="tx1"/>
            </w14:solidFill>
          </w14:textFill>
        </w:rPr>
        <w:t xml:space="preserve">iron staining of BM tissue between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day 10</w:t>
      </w:r>
      <w:r>
        <w:rPr>
          <w:rFonts w:ascii="Times New Roman" w:hAnsi="Times New Roman" w:cs="Times New Roman"/>
          <w:color w:val="000000" w:themeColor="text1"/>
          <w:sz w:val="24"/>
          <w:szCs w:val="24"/>
          <w14:textFill>
            <w14:solidFill>
              <w14:schemeClr w14:val="tx1"/>
            </w14:solidFill>
          </w14:textFill>
        </w:rPr>
        <w:t>, scale bar,</w:t>
      </w:r>
      <w:r>
        <w:rPr>
          <w:rFonts w:hint="eastAsia" w:ascii="Times New Roman" w:hAnsi="Times New Roman" w:cs="Times New Roman"/>
          <w:color w:val="000000" w:themeColor="text1"/>
          <w:sz w:val="24"/>
          <w:szCs w:val="24"/>
          <w14:textFill>
            <w14:solidFill>
              <w14:schemeClr w14:val="tx1"/>
            </w14:solidFill>
          </w14:textFill>
        </w:rPr>
        <w:t xml:space="preserve">50µm.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L</w:t>
      </w:r>
      <w:r>
        <w:rPr>
          <w:rFonts w:ascii="Times New Roman" w:hAnsi="Times New Roman" w:cs="Times New Roman"/>
          <w:b/>
          <w:bCs/>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Quantitative analysis iron staining of BM tissue between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 xml:space="preserve">day 10 (n=6).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M</w:t>
      </w:r>
      <w:r>
        <w:rPr>
          <w:rFonts w:ascii="Times New Roman" w:hAnsi="Times New Roman" w:cs="Times New Roman"/>
          <w:b/>
          <w:bCs/>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Representative Perls’ Prussian blue staining images for iron in EBI formed 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day 10</w:t>
      </w:r>
      <w:r>
        <w:rPr>
          <w:rFonts w:ascii="Times New Roman" w:hAnsi="Times New Roman" w:cs="Times New Roman"/>
          <w:color w:val="000000" w:themeColor="text1"/>
          <w:sz w:val="24"/>
          <w:szCs w:val="24"/>
          <w14:textFill>
            <w14:solidFill>
              <w14:schemeClr w14:val="tx1"/>
            </w14:solidFill>
          </w14:textFill>
        </w:rPr>
        <w:t>, scale bar,</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10µm. </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N</w:t>
      </w:r>
      <w:r>
        <w:rPr>
          <w:rFonts w:hint="eastAsia"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Representative cytospin images of EBIs formed by 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day 10</w:t>
      </w:r>
      <w:r>
        <w:rPr>
          <w:rFonts w:ascii="Times New Roman" w:hAnsi="Times New Roman" w:cs="Times New Roman"/>
          <w:color w:val="000000" w:themeColor="text1"/>
          <w:sz w:val="24"/>
          <w:szCs w:val="24"/>
          <w14:textFill>
            <w14:solidFill>
              <w14:schemeClr w14:val="tx1"/>
            </w14:solidFill>
          </w14:textFill>
        </w:rPr>
        <w:t>, scale bar,</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10µm</w:t>
      </w:r>
      <w:r>
        <w:rPr>
          <w:rFonts w:hint="eastAsia" w:ascii="Times New Roman" w:hAnsi="Times New Roman" w:cs="Times New Roman"/>
          <w:color w:val="000000" w:themeColor="text1"/>
          <w:sz w:val="24"/>
          <w:szCs w:val="24"/>
          <w14:textFill>
            <w14:solidFill>
              <w14:schemeClr w14:val="tx1"/>
            </w14:solidFill>
          </w14:textFill>
        </w:rPr>
        <w:t xml:space="preserve"> (left)</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Quantitative analysis of </w:t>
      </w:r>
      <w:r>
        <w:rPr>
          <w:rFonts w:hint="eastAsia" w:ascii="Times New Roman" w:hAnsi="Times New Roman" w:cs="Times New Roman"/>
          <w:color w:val="000000" w:themeColor="text1"/>
          <w:sz w:val="24"/>
          <w:szCs w:val="24"/>
          <w14:textFill>
            <w14:solidFill>
              <w14:schemeClr w14:val="tx1"/>
            </w14:solidFill>
          </w14:textFill>
        </w:rPr>
        <w:t xml:space="preserve">erythroblasts with macrophages between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on days 4 and 7 (right) (n=6).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O</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P</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Representative flow cytometry plots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O</w:t>
      </w:r>
      <w:r>
        <w:rPr>
          <w:rFonts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and CD71 expression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P</w:t>
      </w:r>
      <w:r>
        <w:rPr>
          <w:rFonts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in BM erythroid cells enriched for ProE, BasoE, PolyE, OrthoE and Retic of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day 10 (n=6)</w:t>
      </w:r>
      <w:r>
        <w:rPr>
          <w:rFonts w:ascii="Times New Roman" w:hAnsi="Times New Roman" w:cs="Times New Roman"/>
          <w:color w:val="000000" w:themeColor="text1"/>
          <w:sz w:val="24"/>
          <w:szCs w:val="24"/>
          <w14:textFill>
            <w14:solidFill>
              <w14:schemeClr w14:val="tx1"/>
            </w14:solidFill>
          </w14:textFill>
        </w:rPr>
        <w:t xml:space="preserve">. </w:t>
      </w:r>
      <w:bookmarkStart w:id="1" w:name="_GoBack"/>
      <w:bookmarkEnd w:id="1"/>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Q</w:t>
      </w:r>
      <w:r>
        <w:rPr>
          <w:rFonts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Flow cytometry analysis showing the protein expression level of CD169 (left) and quantitative analysis MFI (right) of CD169 between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day 10 (n=6)</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R</w:t>
      </w:r>
      <w:r>
        <w:rPr>
          <w:rFonts w:hint="eastAsia"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Flow cytometry analysis showing the protein expression level of CD106 (left) and quantitative analysis MFI (right) of CD106 between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day 10 (n=6)</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S</w:t>
      </w:r>
      <w:r>
        <w:rPr>
          <w:rFonts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 xml:space="preserve">Flow cytometry analysis showing the protein expression level of CD163 of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day 10 (n=6)</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Statistical the percentage, MFI and absolute number of CD163 from </w:t>
      </w:r>
      <w:r>
        <w:rPr>
          <w:rFonts w:ascii="Times New Roman" w:hAnsi="Times New Roman" w:cs="Times New Roman"/>
          <w:color w:val="000000" w:themeColor="text1"/>
          <w:sz w:val="24"/>
          <w:szCs w:val="24"/>
          <w14:textFill>
            <w14:solidFill>
              <w14:schemeClr w14:val="tx1"/>
            </w14:solidFill>
          </w14:textFill>
        </w:rPr>
        <w:t>DEX and PBS pre-treated</w:t>
      </w:r>
      <w:r>
        <w:rPr>
          <w:rFonts w:hint="eastAsia" w:ascii="Times New Roman" w:hAnsi="Times New Roman" w:cs="Times New Roman"/>
          <w:color w:val="000000" w:themeColor="text1"/>
          <w:sz w:val="24"/>
          <w:szCs w:val="24"/>
          <w14:textFill>
            <w14:solidFill>
              <w14:schemeClr w14:val="tx1"/>
            </w14:solidFill>
          </w14:textFill>
        </w:rPr>
        <w:t xml:space="preserve"> SD rat </w:t>
      </w:r>
      <w:r>
        <w:rPr>
          <w:rFonts w:ascii="Times New Roman" w:hAnsi="Times New Roman" w:cs="Times New Roman"/>
          <w:color w:val="000000" w:themeColor="text1"/>
          <w:sz w:val="24"/>
          <w:szCs w:val="24"/>
          <w14:textFill>
            <w14:solidFill>
              <w14:schemeClr w14:val="tx1"/>
            </w14:solidFill>
          </w14:textFill>
        </w:rPr>
        <w:t xml:space="preserve">on </w:t>
      </w:r>
      <w:r>
        <w:rPr>
          <w:rFonts w:hint="eastAsia" w:ascii="Times New Roman" w:hAnsi="Times New Roman" w:cs="Times New Roman"/>
          <w:color w:val="000000" w:themeColor="text1"/>
          <w:sz w:val="24"/>
          <w:szCs w:val="24"/>
          <w14:textFill>
            <w14:solidFill>
              <w14:schemeClr w14:val="tx1"/>
            </w14:solidFill>
          </w14:textFill>
        </w:rPr>
        <w:t xml:space="preserve">day 10 (n=6) </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eastAsia="宋体" w:cs="Times New Roman"/>
          <w:color w:val="000000" w:themeColor="text1"/>
          <w:sz w:val="24"/>
          <w:szCs w:val="24"/>
          <w14:textFill>
            <w14:solidFill>
              <w14:schemeClr w14:val="tx1"/>
            </w14:solidFill>
          </w14:textFill>
        </w:rPr>
        <w:t xml:space="preserve">* </w:t>
      </w:r>
      <w:r>
        <w:rPr>
          <w:rFonts w:ascii="Times New Roman" w:hAnsi="Times New Roman" w:eastAsia="宋体" w:cs="Times New Roman"/>
          <w:i/>
          <w:iCs/>
          <w:color w:val="000000" w:themeColor="text1"/>
          <w:sz w:val="24"/>
          <w:szCs w:val="24"/>
          <w14:textFill>
            <w14:solidFill>
              <w14:schemeClr w14:val="tx1"/>
            </w14:solidFill>
          </w14:textFill>
        </w:rPr>
        <w:t>p</w:t>
      </w:r>
      <w:r>
        <w:rPr>
          <w:rFonts w:ascii="Times New Roman" w:hAnsi="Times New Roman" w:eastAsia="宋体" w:cs="Times New Roman"/>
          <w:color w:val="000000" w:themeColor="text1"/>
          <w:sz w:val="24"/>
          <w:szCs w:val="24"/>
          <w14:textFill>
            <w14:solidFill>
              <w14:schemeClr w14:val="tx1"/>
            </w14:solidFill>
          </w14:textFill>
        </w:rPr>
        <w:t xml:space="preserve"> &lt; 0.05, ** </w:t>
      </w:r>
      <w:r>
        <w:rPr>
          <w:rFonts w:ascii="Times New Roman" w:hAnsi="Times New Roman" w:eastAsia="宋体" w:cs="Times New Roman"/>
          <w:i/>
          <w:iCs/>
          <w:color w:val="000000" w:themeColor="text1"/>
          <w:sz w:val="24"/>
          <w:szCs w:val="24"/>
          <w14:textFill>
            <w14:solidFill>
              <w14:schemeClr w14:val="tx1"/>
            </w14:solidFill>
          </w14:textFill>
        </w:rPr>
        <w:t>p</w:t>
      </w:r>
      <w:r>
        <w:rPr>
          <w:rFonts w:ascii="Times New Roman" w:hAnsi="Times New Roman" w:eastAsia="宋体" w:cs="Times New Roman"/>
          <w:color w:val="000000" w:themeColor="text1"/>
          <w:sz w:val="24"/>
          <w:szCs w:val="24"/>
          <w14:textFill>
            <w14:solidFill>
              <w14:schemeClr w14:val="tx1"/>
            </w14:solidFill>
          </w14:textFill>
        </w:rPr>
        <w:t xml:space="preserve"> &lt; 0.01, *** </w:t>
      </w:r>
      <w:r>
        <w:rPr>
          <w:rFonts w:ascii="Times New Roman" w:hAnsi="Times New Roman" w:eastAsia="宋体" w:cs="Times New Roman"/>
          <w:i/>
          <w:iCs/>
          <w:color w:val="000000" w:themeColor="text1"/>
          <w:sz w:val="24"/>
          <w:szCs w:val="24"/>
          <w14:textFill>
            <w14:solidFill>
              <w14:schemeClr w14:val="tx1"/>
            </w14:solidFill>
          </w14:textFill>
        </w:rPr>
        <w:t>p</w:t>
      </w:r>
      <w:r>
        <w:rPr>
          <w:rFonts w:ascii="Times New Roman" w:hAnsi="Times New Roman" w:eastAsia="宋体" w:cs="Times New Roman"/>
          <w:color w:val="000000" w:themeColor="text1"/>
          <w:sz w:val="24"/>
          <w:szCs w:val="24"/>
          <w14:textFill>
            <w14:solidFill>
              <w14:schemeClr w14:val="tx1"/>
            </w14:solidFill>
          </w14:textFill>
        </w:rPr>
        <w:t xml:space="preserve"> &lt; 0.001.</w:t>
      </w:r>
      <w:r>
        <w:rPr>
          <w:rFonts w:ascii="Times New Roman" w:hAnsi="Times New Roman" w:cs="Times New Roman"/>
          <w:color w:val="000000" w:themeColor="text1"/>
          <w:sz w:val="24"/>
          <w:szCs w:val="24"/>
          <w14:textFill>
            <w14:solidFill>
              <w14:schemeClr w14:val="tx1"/>
            </w14:solidFill>
          </w14:textFill>
        </w:rPr>
        <w:t>NS, not significant.</w:t>
      </w:r>
    </w:p>
    <w:p w14:paraId="50317D51">
      <w:pPr>
        <w:widowControl w:val="0"/>
        <w:rPr>
          <w:rFonts w:ascii="Times New Roman" w:hAnsi="Times New Roman" w:cs="Times New Roman"/>
          <w:b/>
          <w:bCs/>
          <w:sz w:val="24"/>
          <w:szCs w:val="24"/>
        </w:rPr>
      </w:pPr>
    </w:p>
    <w:p w14:paraId="15A15A81">
      <w:pPr>
        <w:widowControl w:val="0"/>
        <w:rPr>
          <w:rFonts w:ascii="Times New Roman" w:hAnsi="Times New Roman" w:cs="Times New Roman"/>
          <w:b/>
          <w:bCs/>
          <w:sz w:val="24"/>
          <w:szCs w:val="24"/>
        </w:rPr>
      </w:pPr>
    </w:p>
    <w:p w14:paraId="6A19C4AD">
      <w:pPr>
        <w:widowControl w:val="0"/>
        <w:rPr>
          <w:rFonts w:ascii="Times New Roman" w:hAnsi="Times New Roman" w:cs="Times New Roman"/>
          <w:b/>
          <w:bCs/>
          <w:sz w:val="24"/>
          <w:szCs w:val="24"/>
        </w:rPr>
      </w:pPr>
    </w:p>
    <w:p w14:paraId="030D8D54">
      <w:pPr>
        <w:widowControl w:val="0"/>
        <w:spacing w:line="360" w:lineRule="auto"/>
        <w:rPr>
          <w:rFonts w:ascii="Times New Roman" w:hAnsi="Times New Roman" w:cs="Times New Roman"/>
          <w:b/>
          <w:bCs/>
          <w:sz w:val="24"/>
          <w:szCs w:val="24"/>
        </w:rPr>
      </w:pPr>
    </w:p>
    <w:p w14:paraId="3546E71C">
      <w:pPr>
        <w:widowControl w:val="0"/>
        <w:spacing w:line="360" w:lineRule="auto"/>
        <w:rPr>
          <w:rFonts w:ascii="Times New Roman" w:hAnsi="Times New Roman" w:cs="Times New Roman"/>
          <w:b/>
          <w:bCs/>
          <w:sz w:val="24"/>
          <w:szCs w:val="24"/>
        </w:rPr>
      </w:pPr>
    </w:p>
    <w:p w14:paraId="54AC408D">
      <w:pPr>
        <w:widowControl w:val="0"/>
        <w:spacing w:line="360" w:lineRule="auto"/>
        <w:rPr>
          <w:rFonts w:ascii="Times New Roman" w:hAnsi="Times New Roman" w:cs="Times New Roman"/>
          <w:b/>
          <w:bCs/>
          <w:sz w:val="24"/>
          <w:szCs w:val="24"/>
        </w:rPr>
      </w:pPr>
    </w:p>
    <w:p w14:paraId="7F5A92F7">
      <w:pPr>
        <w:widowControl w:val="0"/>
        <w:spacing w:line="360" w:lineRule="auto"/>
        <w:rPr>
          <w:rFonts w:ascii="Times New Roman" w:hAnsi="Times New Roman" w:cs="Times New Roman"/>
          <w:b/>
          <w:bCs/>
          <w:sz w:val="24"/>
          <w:szCs w:val="24"/>
        </w:rPr>
      </w:pPr>
    </w:p>
    <w:p w14:paraId="7AF641FB">
      <w:pPr>
        <w:widowControl w:val="0"/>
        <w:spacing w:line="360" w:lineRule="auto"/>
        <w:rPr>
          <w:rFonts w:ascii="Times New Roman" w:hAnsi="Times New Roman" w:cs="Times New Roman"/>
          <w:b/>
          <w:bCs/>
          <w:sz w:val="24"/>
          <w:szCs w:val="24"/>
        </w:rPr>
      </w:pPr>
    </w:p>
    <w:p w14:paraId="7CA66BF1">
      <w:pPr>
        <w:widowControl w:val="0"/>
        <w:spacing w:line="360" w:lineRule="auto"/>
        <w:rPr>
          <w:rFonts w:ascii="Times New Roman" w:hAnsi="Times New Roman" w:cs="Times New Roman"/>
          <w:b/>
          <w:bCs/>
          <w:sz w:val="24"/>
          <w:szCs w:val="24"/>
        </w:rPr>
      </w:pPr>
    </w:p>
    <w:p w14:paraId="5D7C6E47">
      <w:pPr>
        <w:widowControl w:val="0"/>
        <w:spacing w:line="360" w:lineRule="auto"/>
        <w:rPr>
          <w:rFonts w:ascii="Times New Roman" w:hAnsi="Times New Roman" w:cs="Times New Roman"/>
          <w:b/>
          <w:bCs/>
          <w:sz w:val="24"/>
          <w:szCs w:val="24"/>
        </w:rPr>
      </w:pPr>
    </w:p>
    <w:p w14:paraId="70202BD4">
      <w:pPr>
        <w:widowControl w:val="0"/>
        <w:spacing w:line="360" w:lineRule="auto"/>
        <w:rPr>
          <w:rFonts w:ascii="Times New Roman" w:hAnsi="Times New Roman" w:cs="Times New Roman"/>
          <w:b/>
          <w:bCs/>
          <w:sz w:val="24"/>
          <w:szCs w:val="24"/>
        </w:rPr>
      </w:pPr>
    </w:p>
    <w:p w14:paraId="7C120AE7">
      <w:pPr>
        <w:widowControl w:val="0"/>
        <w:spacing w:line="360" w:lineRule="auto"/>
        <w:rPr>
          <w:rFonts w:ascii="Times New Roman" w:hAnsi="Times New Roman" w:cs="Times New Roman"/>
          <w:b/>
          <w:bCs/>
          <w:sz w:val="24"/>
          <w:szCs w:val="24"/>
        </w:rPr>
      </w:pPr>
    </w:p>
    <w:p w14:paraId="4434A167">
      <w:pPr>
        <w:widowControl w:val="0"/>
        <w:spacing w:line="360" w:lineRule="auto"/>
        <w:rPr>
          <w:rFonts w:ascii="Times New Roman" w:hAnsi="Times New Roman" w:cs="Times New Roman"/>
          <w:b/>
          <w:bCs/>
          <w:sz w:val="24"/>
          <w:szCs w:val="24"/>
        </w:rPr>
      </w:pPr>
    </w:p>
    <w:p w14:paraId="59A60A68">
      <w:pPr>
        <w:widowControl w:val="0"/>
        <w:spacing w:line="360" w:lineRule="auto"/>
        <w:rPr>
          <w:rFonts w:ascii="Times New Roman" w:hAnsi="Times New Roman" w:cs="Times New Roman"/>
          <w:b/>
          <w:bCs/>
          <w:sz w:val="24"/>
          <w:szCs w:val="24"/>
        </w:rPr>
      </w:pPr>
    </w:p>
    <w:p w14:paraId="795E3511">
      <w:pPr>
        <w:widowControl w:val="0"/>
        <w:spacing w:line="360" w:lineRule="auto"/>
        <w:rPr>
          <w:rFonts w:ascii="Times New Roman" w:hAnsi="Times New Roman" w:cs="Times New Roman"/>
          <w:b/>
          <w:bCs/>
          <w:sz w:val="24"/>
          <w:szCs w:val="24"/>
        </w:rPr>
      </w:pPr>
    </w:p>
    <w:p w14:paraId="31166DE0">
      <w:pPr>
        <w:widowControl w:val="0"/>
        <w:spacing w:line="360" w:lineRule="auto"/>
        <w:rPr>
          <w:rFonts w:ascii="Times New Roman" w:hAnsi="Times New Roman" w:cs="Times New Roman"/>
          <w:b/>
          <w:bCs/>
          <w:sz w:val="24"/>
          <w:szCs w:val="24"/>
        </w:rPr>
      </w:pPr>
    </w:p>
    <w:p w14:paraId="1FD5061E">
      <w:pPr>
        <w:widowControl w:val="0"/>
        <w:spacing w:line="360" w:lineRule="auto"/>
        <w:rPr>
          <w:rFonts w:ascii="Times New Roman" w:hAnsi="Times New Roman" w:cs="Times New Roman"/>
          <w:b/>
          <w:bCs/>
          <w:sz w:val="24"/>
          <w:szCs w:val="24"/>
        </w:rPr>
      </w:pPr>
    </w:p>
    <w:p w14:paraId="09722F0F">
      <w:pPr>
        <w:widowControl w:val="0"/>
        <w:spacing w:line="360" w:lineRule="auto"/>
        <w:rPr>
          <w:rFonts w:ascii="Times New Roman" w:hAnsi="Times New Roman" w:cs="Times New Roman"/>
          <w:b/>
          <w:bCs/>
          <w:sz w:val="24"/>
          <w:szCs w:val="24"/>
        </w:rPr>
      </w:pPr>
    </w:p>
    <w:p w14:paraId="7BF4EC21">
      <w:pPr>
        <w:widowControl w:val="0"/>
        <w:spacing w:line="360" w:lineRule="auto"/>
        <w:rPr>
          <w:rFonts w:ascii="Times New Roman" w:hAnsi="Times New Roman" w:cs="Times New Roman"/>
          <w:b/>
          <w:bCs/>
          <w:sz w:val="24"/>
          <w:szCs w:val="24"/>
        </w:rPr>
      </w:pPr>
    </w:p>
    <w:p w14:paraId="08FA5DD2">
      <w:pPr>
        <w:widowControl w:val="0"/>
        <w:spacing w:line="360" w:lineRule="auto"/>
        <w:rPr>
          <w:rFonts w:ascii="Times New Roman" w:hAnsi="Times New Roman" w:cs="Times New Roman"/>
          <w:b/>
          <w:bCs/>
          <w:sz w:val="24"/>
          <w:szCs w:val="24"/>
        </w:rPr>
      </w:pPr>
    </w:p>
    <w:p w14:paraId="57811716">
      <w:pPr>
        <w:widowControl w:val="0"/>
        <w:spacing w:line="360" w:lineRule="auto"/>
        <w:rPr>
          <w:rFonts w:ascii="Times New Roman" w:hAnsi="Times New Roman" w:cs="Times New Roman"/>
          <w:b/>
          <w:bCs/>
          <w:sz w:val="24"/>
          <w:szCs w:val="24"/>
        </w:rPr>
      </w:pPr>
    </w:p>
    <w:p w14:paraId="560B238A">
      <w:pPr>
        <w:widowControl w:val="0"/>
        <w:spacing w:line="360" w:lineRule="auto"/>
        <w:rPr>
          <w:rFonts w:ascii="Times New Roman" w:hAnsi="Times New Roman" w:cs="Times New Roman"/>
          <w:b/>
          <w:bCs/>
          <w:sz w:val="24"/>
          <w:szCs w:val="24"/>
        </w:rPr>
      </w:pPr>
    </w:p>
    <w:p w14:paraId="78B273DE">
      <w:pPr>
        <w:widowControl w:val="0"/>
        <w:spacing w:line="360" w:lineRule="auto"/>
        <w:rPr>
          <w:rFonts w:ascii="Times New Roman" w:hAnsi="Times New Roman" w:cs="Times New Roman"/>
          <w:b/>
          <w:bCs/>
          <w:sz w:val="24"/>
          <w:szCs w:val="24"/>
        </w:rPr>
      </w:pPr>
    </w:p>
    <w:p w14:paraId="62D6972A">
      <w:pPr>
        <w:widowControl w:val="0"/>
        <w:spacing w:line="360" w:lineRule="auto"/>
        <w:rPr>
          <w:rFonts w:ascii="Times New Roman" w:hAnsi="Times New Roman" w:cs="Times New Roman"/>
          <w:b/>
          <w:bCs/>
          <w:sz w:val="24"/>
          <w:szCs w:val="24"/>
        </w:rPr>
      </w:pPr>
    </w:p>
    <w:p w14:paraId="3DF8BFCF">
      <w:pPr>
        <w:widowControl w:val="0"/>
        <w:spacing w:line="360" w:lineRule="auto"/>
        <w:rPr>
          <w:rFonts w:ascii="Times New Roman" w:hAnsi="Times New Roman" w:cs="Times New Roman"/>
          <w:b/>
          <w:bCs/>
          <w:sz w:val="24"/>
          <w:szCs w:val="24"/>
        </w:rPr>
      </w:pPr>
    </w:p>
    <w:p w14:paraId="799B1B6D">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b/>
          <w:bCs/>
          <w:sz w:val="24"/>
          <w:szCs w:val="24"/>
        </w:rPr>
      </w:pPr>
      <w:r>
        <w:rPr>
          <w:rFonts w:hint="eastAsia" w:ascii="Times New Roman" w:hAnsi="Times New Roman" w:cs="Times New Roman"/>
          <w:b/>
          <w:bCs/>
          <w:sz w:val="24"/>
          <w:szCs w:val="24"/>
        </w:rPr>
        <w:drawing>
          <wp:anchor distT="0" distB="0" distL="114300" distR="114300" simplePos="0" relativeHeight="251666432" behindDoc="0" locked="0" layoutInCell="1" allowOverlap="1">
            <wp:simplePos x="0" y="0"/>
            <wp:positionH relativeFrom="column">
              <wp:posOffset>19685</wp:posOffset>
            </wp:positionH>
            <wp:positionV relativeFrom="paragraph">
              <wp:posOffset>104775</wp:posOffset>
            </wp:positionV>
            <wp:extent cx="5107305" cy="5786120"/>
            <wp:effectExtent l="0" t="0" r="10795" b="5080"/>
            <wp:wrapTopAndBottom/>
            <wp:docPr id="35" name="图片 35" descr="Supplementary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Supplementary Figure 5"/>
                    <pic:cNvPicPr>
                      <a:picLocks noChangeAspect="1"/>
                    </pic:cNvPicPr>
                  </pic:nvPicPr>
                  <pic:blipFill>
                    <a:blip r:embed="rId8"/>
                    <a:stretch>
                      <a:fillRect/>
                    </a:stretch>
                  </pic:blipFill>
                  <pic:spPr>
                    <a:xfrm>
                      <a:off x="0" y="0"/>
                      <a:ext cx="5107305" cy="5786120"/>
                    </a:xfrm>
                    <a:prstGeom prst="rect">
                      <a:avLst/>
                    </a:prstGeom>
                  </pic:spPr>
                </pic:pic>
              </a:graphicData>
            </a:graphic>
          </wp:anchor>
        </w:drawing>
      </w:r>
      <w:r>
        <w:rPr>
          <w:rFonts w:ascii="Times New Roman" w:hAnsi="Times New Roman" w:cs="Times New Roman"/>
          <w:b/>
          <w:bCs/>
          <w:sz w:val="24"/>
          <w:szCs w:val="24"/>
        </w:rPr>
        <w:t xml:space="preserve">Supplementary Figure </w:t>
      </w:r>
      <w:r>
        <w:rPr>
          <w:rFonts w:hint="eastAsia" w:ascii="Times New Roman" w:hAnsi="Times New Roman" w:cs="Times New Roman"/>
          <w:b/>
          <w:bCs/>
          <w:sz w:val="24"/>
          <w:szCs w:val="24"/>
        </w:rPr>
        <w:t>5 Gating strategy</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for rat erythroid progenitors and macrophage cells.</w:t>
      </w:r>
    </w:p>
    <w:p w14:paraId="4E782B18">
      <w:pPr>
        <w:keepNext w:val="0"/>
        <w:keepLines w:val="0"/>
        <w:pageBreakBefore w:val="0"/>
        <w:widowControl w:val="0"/>
        <w:numPr>
          <w:ilvl w:val="0"/>
          <w:numId w:val="5"/>
        </w:numPr>
        <w:kinsoku/>
        <w:wordWrap/>
        <w:overflowPunct/>
        <w:topLinePunct w:val="0"/>
        <w:autoSpaceDE/>
        <w:autoSpaceDN/>
        <w:bidi w:val="0"/>
        <w:adjustRightInd/>
        <w:snapToGrid/>
        <w:spacing w:line="480" w:lineRule="auto"/>
        <w:textAlignment w:val="auto"/>
        <w:rPr>
          <w:rFonts w:ascii="Times New Roman" w:hAnsi="Times New Roman" w:cs="Times New Roman"/>
          <w:b/>
          <w:bCs/>
          <w:sz w:val="24"/>
          <w:szCs w:val="24"/>
        </w:rPr>
      </w:pPr>
      <w:r>
        <w:rPr>
          <w:rFonts w:hint="eastAsia" w:ascii="Times New Roman" w:hAnsi="Times New Roman" w:cs="Times New Roman"/>
          <w:sz w:val="24"/>
          <w:szCs w:val="24"/>
        </w:rPr>
        <w:t>The representative gating strategy is shown for the isolation of BM erythroid cells enriched for Pro-E, Baso-E, Poly-E, Ortho-E, Retic, and RBC, the plot of CD44 versus FSC from CD45</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 xml:space="preserve">cells, showing different erythroid stages in WT and clodronate-pretreated mice treated with PBS and DEX on days 10. </w:t>
      </w:r>
      <w:r>
        <w:rPr>
          <w:rFonts w:ascii="Times New Roman" w:hAnsi="Times New Roman" w:cs="Times New Roman"/>
          <w:b/>
          <w:bCs/>
          <w:sz w:val="24"/>
          <w:szCs w:val="24"/>
        </w:rPr>
        <w:t>(</w:t>
      </w:r>
      <w:r>
        <w:rPr>
          <w:rFonts w:hint="eastAsia" w:ascii="Times New Roman" w:hAnsi="Times New Roman" w:cs="Times New Roman"/>
          <w:b/>
          <w:bCs/>
          <w:sz w:val="24"/>
          <w:szCs w:val="24"/>
        </w:rPr>
        <w:t>B</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The representative gating strategy is shown for the isolation of BM macrophage cells enriched for Epor</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cells, the plot of Epor versus FSC from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CD11b</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cells, showing Epor</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 xml:space="preserve">cells in WT and clodronate-pretreated mice treated with PBS and DEX on days 10. </w:t>
      </w:r>
    </w:p>
    <w:p w14:paraId="7EB821E3">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rPr>
      </w:pPr>
    </w:p>
    <w:p w14:paraId="09F06EAC">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rPr>
      </w:pPr>
    </w:p>
    <w:p w14:paraId="0F368602">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rPr>
      </w:pPr>
    </w:p>
    <w:p w14:paraId="3640AF39">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rPr>
      </w:pPr>
    </w:p>
    <w:p w14:paraId="11C3B740">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rPr>
      </w:pPr>
    </w:p>
    <w:p w14:paraId="116285B3">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rPr>
      </w:pPr>
    </w:p>
    <w:p w14:paraId="5BB771F5">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rPr>
      </w:pPr>
    </w:p>
    <w:p w14:paraId="04F78AA2">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rPr>
      </w:pPr>
    </w:p>
    <w:p w14:paraId="731A135A">
      <w:pPr>
        <w:widowControl w:val="0"/>
        <w:spacing w:line="480" w:lineRule="auto"/>
        <w:rPr>
          <w:rFonts w:ascii="Times New Roman" w:hAnsi="Times New Roman" w:cs="Times New Roman"/>
          <w:b/>
          <w:bCs/>
          <w:sz w:val="24"/>
          <w:szCs w:val="24"/>
        </w:rPr>
      </w:pPr>
      <w:r>
        <w:rPr>
          <w:rFonts w:hint="eastAsia" w:ascii="Times New Roman" w:hAnsi="Times New Roman" w:cs="Times New Roman"/>
          <w:b/>
          <w:bCs/>
          <w:sz w:val="24"/>
          <w:szCs w:val="24"/>
        </w:rPr>
        <w:drawing>
          <wp:anchor distT="0" distB="0" distL="114300" distR="114300" simplePos="0" relativeHeight="251659264" behindDoc="0" locked="0" layoutInCell="1" allowOverlap="1">
            <wp:simplePos x="0" y="0"/>
            <wp:positionH relativeFrom="column">
              <wp:posOffset>-12065</wp:posOffset>
            </wp:positionH>
            <wp:positionV relativeFrom="paragraph">
              <wp:posOffset>301625</wp:posOffset>
            </wp:positionV>
            <wp:extent cx="5400040" cy="4671695"/>
            <wp:effectExtent l="0" t="0" r="10160" b="1905"/>
            <wp:wrapTopAndBottom/>
            <wp:docPr id="36" name="图片 36" descr="supplementary 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supplementary figure 6"/>
                    <pic:cNvPicPr>
                      <a:picLocks noChangeAspect="1"/>
                    </pic:cNvPicPr>
                  </pic:nvPicPr>
                  <pic:blipFill>
                    <a:blip r:embed="rId9"/>
                    <a:stretch>
                      <a:fillRect/>
                    </a:stretch>
                  </pic:blipFill>
                  <pic:spPr>
                    <a:xfrm>
                      <a:off x="0" y="0"/>
                      <a:ext cx="5400040" cy="4671695"/>
                    </a:xfrm>
                    <a:prstGeom prst="rect">
                      <a:avLst/>
                    </a:prstGeom>
                  </pic:spPr>
                </pic:pic>
              </a:graphicData>
            </a:graphic>
          </wp:anchor>
        </w:drawing>
      </w:r>
      <w:r>
        <w:rPr>
          <w:rFonts w:hint="eastAsia" w:ascii="Times New Roman" w:hAnsi="Times New Roman" w:cs="Times New Roman"/>
          <w:b/>
          <w:bCs/>
          <w:sz w:val="24"/>
          <w:szCs w:val="24"/>
        </w:rPr>
        <w:t>Supplementary Figure 6 scRNA-seq analysis of mouse BM CD45</w:t>
      </w:r>
      <w:r>
        <w:rPr>
          <w:rFonts w:hint="eastAsia" w:ascii="Times New Roman" w:hAnsi="Times New Roman" w:cs="Times New Roman"/>
          <w:b/>
          <w:bCs/>
          <w:sz w:val="24"/>
          <w:szCs w:val="24"/>
          <w:vertAlign w:val="superscript"/>
        </w:rPr>
        <w:t xml:space="preserve">+ </w:t>
      </w:r>
      <w:r>
        <w:rPr>
          <w:rFonts w:hint="eastAsia" w:ascii="Times New Roman" w:hAnsi="Times New Roman" w:cs="Times New Roman"/>
          <w:b/>
          <w:bCs/>
          <w:sz w:val="24"/>
          <w:szCs w:val="24"/>
        </w:rPr>
        <w:t>cells.</w:t>
      </w:r>
    </w:p>
    <w:p w14:paraId="4A656984">
      <w:pPr>
        <w:widowControl w:val="0"/>
        <w:numPr>
          <w:ilvl w:val="0"/>
          <w:numId w:val="6"/>
        </w:numPr>
        <w:spacing w:line="480" w:lineRule="auto"/>
        <w:ind w:left="119"/>
        <w:rPr>
          <w:rFonts w:ascii="Times New Roman" w:hAnsi="Times New Roman" w:cs="Times New Roman"/>
          <w:sz w:val="24"/>
          <w:szCs w:val="24"/>
        </w:rPr>
      </w:pPr>
      <w:r>
        <w:rPr>
          <w:rFonts w:hint="eastAsia" w:ascii="Times New Roman" w:hAnsi="Times New Roman" w:cs="Times New Roman"/>
          <w:sz w:val="24"/>
          <w:szCs w:val="24"/>
        </w:rPr>
        <w:t>TSNE visualization showing the cluster for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mice BM. </w:t>
      </w:r>
      <w:r>
        <w:rPr>
          <w:rFonts w:ascii="Times New Roman" w:hAnsi="Times New Roman" w:cs="Times New Roman"/>
          <w:b/>
          <w:bCs/>
          <w:sz w:val="24"/>
          <w:szCs w:val="24"/>
        </w:rPr>
        <w:t>(</w:t>
      </w:r>
      <w:r>
        <w:rPr>
          <w:rFonts w:hint="eastAsia" w:ascii="Times New Roman" w:hAnsi="Times New Roman" w:cs="Times New Roman"/>
          <w:b/>
          <w:bCs/>
          <w:sz w:val="24"/>
          <w:szCs w:val="24"/>
        </w:rPr>
        <w:t>B</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ascii="Times New Roman" w:hAnsi="Times New Roman" w:cs="Times New Roman"/>
          <w:sz w:val="24"/>
          <w:szCs w:val="24"/>
        </w:rPr>
        <w:t>Dot</w:t>
      </w:r>
      <w:r>
        <w:rPr>
          <w:rFonts w:hint="eastAsia" w:ascii="Times New Roman" w:hAnsi="Times New Roman" w:cs="Times New Roman"/>
          <w:sz w:val="24"/>
          <w:szCs w:val="24"/>
        </w:rPr>
        <w:t xml:space="preserve"> </w:t>
      </w:r>
      <w:r>
        <w:rPr>
          <w:rFonts w:ascii="Times New Roman" w:hAnsi="Times New Roman" w:cs="Times New Roman"/>
          <w:sz w:val="24"/>
          <w:szCs w:val="24"/>
        </w:rPr>
        <w:t>plot showing the expression of marker genes of each</w:t>
      </w:r>
      <w:r>
        <w:rPr>
          <w:rFonts w:hint="eastAsia" w:ascii="Times New Roman" w:hAnsi="Times New Roman" w:cs="Times New Roman"/>
          <w:sz w:val="24"/>
          <w:szCs w:val="24"/>
        </w:rPr>
        <w:t xml:space="preserve"> cluster</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b/>
          <w:bCs/>
          <w:sz w:val="24"/>
          <w:szCs w:val="24"/>
        </w:rPr>
        <w:t>(</w:t>
      </w:r>
      <w:r>
        <w:rPr>
          <w:rFonts w:hint="eastAsia" w:ascii="Times New Roman" w:hAnsi="Times New Roman" w:cs="Times New Roman"/>
          <w:b/>
          <w:bCs/>
          <w:sz w:val="24"/>
          <w:szCs w:val="24"/>
        </w:rPr>
        <w:t>C</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TSNE visualization showing the cell types for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mice BM. </w:t>
      </w:r>
      <w:r>
        <w:rPr>
          <w:rFonts w:ascii="Times New Roman" w:hAnsi="Times New Roman" w:cs="Times New Roman"/>
          <w:b/>
          <w:bCs/>
          <w:sz w:val="24"/>
          <w:szCs w:val="24"/>
        </w:rPr>
        <w:t>(</w:t>
      </w:r>
      <w:r>
        <w:rPr>
          <w:rFonts w:hint="eastAsia" w:ascii="Times New Roman" w:hAnsi="Times New Roman" w:cs="Times New Roman"/>
          <w:b/>
          <w:bCs/>
          <w:sz w:val="24"/>
          <w:szCs w:val="24"/>
        </w:rPr>
        <w:t>D</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ascii="Times New Roman" w:hAnsi="Times New Roman" w:cs="Times New Roman"/>
          <w:sz w:val="24"/>
          <w:szCs w:val="24"/>
        </w:rPr>
        <w:t>Dot</w:t>
      </w:r>
      <w:r>
        <w:rPr>
          <w:rFonts w:hint="eastAsia" w:ascii="Times New Roman" w:hAnsi="Times New Roman" w:cs="Times New Roman"/>
          <w:sz w:val="24"/>
          <w:szCs w:val="24"/>
        </w:rPr>
        <w:t xml:space="preserve"> </w:t>
      </w:r>
      <w:r>
        <w:rPr>
          <w:rFonts w:ascii="Times New Roman" w:hAnsi="Times New Roman" w:cs="Times New Roman"/>
          <w:sz w:val="24"/>
          <w:szCs w:val="24"/>
        </w:rPr>
        <w:t>plot showing the expression of marker genes of each</w:t>
      </w:r>
      <w:r>
        <w:rPr>
          <w:rFonts w:hint="eastAsia" w:ascii="Times New Roman" w:hAnsi="Times New Roman" w:cs="Times New Roman"/>
          <w:sz w:val="24"/>
          <w:szCs w:val="24"/>
        </w:rPr>
        <w:t xml:space="preserve"> cell types</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b/>
          <w:bCs/>
          <w:sz w:val="24"/>
          <w:szCs w:val="24"/>
        </w:rPr>
        <w:t>(</w:t>
      </w:r>
      <w:r>
        <w:rPr>
          <w:rFonts w:hint="eastAsia" w:ascii="Times New Roman" w:hAnsi="Times New Roman" w:cs="Times New Roman"/>
          <w:b/>
          <w:bCs/>
          <w:sz w:val="24"/>
          <w:szCs w:val="24"/>
        </w:rPr>
        <w:t>E</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 xml:space="preserve">TSNE visualization showing the macrophages subsets. Colors indicate different cell types. </w:t>
      </w:r>
      <w:r>
        <w:rPr>
          <w:rFonts w:ascii="Times New Roman" w:hAnsi="Times New Roman" w:cs="Times New Roman"/>
          <w:b/>
          <w:bCs/>
          <w:sz w:val="24"/>
          <w:szCs w:val="24"/>
        </w:rPr>
        <w:t>(</w:t>
      </w:r>
      <w:r>
        <w:rPr>
          <w:rFonts w:hint="eastAsia" w:ascii="Times New Roman" w:hAnsi="Times New Roman" w:cs="Times New Roman"/>
          <w:b/>
          <w:bCs/>
          <w:sz w:val="24"/>
          <w:szCs w:val="24"/>
        </w:rPr>
        <w:t>F</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ascii="Times New Roman" w:hAnsi="Times New Roman" w:cs="Times New Roman"/>
          <w:sz w:val="24"/>
          <w:szCs w:val="24"/>
        </w:rPr>
        <w:t>Dot</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plot showing the expression of marker genes of each </w:t>
      </w:r>
      <w:r>
        <w:rPr>
          <w:rFonts w:hint="eastAsia" w:ascii="Times New Roman" w:hAnsi="Times New Roman" w:cs="Times New Roman"/>
          <w:sz w:val="24"/>
          <w:szCs w:val="24"/>
        </w:rPr>
        <w:t>macrophage cell types</w:t>
      </w:r>
      <w:r>
        <w:rPr>
          <w:rFonts w:ascii="Times New Roman" w:hAnsi="Times New Roman" w:cs="Times New Roman"/>
          <w:sz w:val="24"/>
          <w:szCs w:val="24"/>
        </w:rPr>
        <w:t>.</w:t>
      </w:r>
      <w:r>
        <w:rPr>
          <w:rFonts w:hint="eastAsia" w:ascii="Times New Roman" w:hAnsi="Times New Roman" w:cs="Times New Roman"/>
          <w:sz w:val="24"/>
          <w:szCs w:val="24"/>
        </w:rPr>
        <w:t xml:space="preserve"> </w:t>
      </w:r>
    </w:p>
    <w:p w14:paraId="2F8DD6AE">
      <w:pPr>
        <w:widowControl w:val="0"/>
        <w:spacing w:line="480" w:lineRule="auto"/>
        <w:rPr>
          <w:rFonts w:ascii="Times New Roman" w:hAnsi="Times New Roman" w:cs="Times New Roman"/>
          <w:b/>
          <w:bCs/>
          <w:sz w:val="24"/>
          <w:szCs w:val="24"/>
        </w:rPr>
      </w:pPr>
      <w:r>
        <w:rPr>
          <w:rFonts w:hint="eastAsia" w:ascii="Times New Roman" w:hAnsi="Times New Roman" w:cs="Times New Roman"/>
          <w:sz w:val="24"/>
          <w:szCs w:val="24"/>
        </w:rPr>
        <w:drawing>
          <wp:anchor distT="0" distB="0" distL="114300" distR="114300" simplePos="0" relativeHeight="251660288" behindDoc="0" locked="0" layoutInCell="1" allowOverlap="1">
            <wp:simplePos x="0" y="0"/>
            <wp:positionH relativeFrom="column">
              <wp:posOffset>-76835</wp:posOffset>
            </wp:positionH>
            <wp:positionV relativeFrom="paragraph">
              <wp:posOffset>94615</wp:posOffset>
            </wp:positionV>
            <wp:extent cx="5316855" cy="7214235"/>
            <wp:effectExtent l="0" t="0" r="4445" b="12065"/>
            <wp:wrapTopAndBottom/>
            <wp:docPr id="37" name="图片 37" descr="Supplementary 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Supplementary figure 7"/>
                    <pic:cNvPicPr>
                      <a:picLocks noChangeAspect="1"/>
                    </pic:cNvPicPr>
                  </pic:nvPicPr>
                  <pic:blipFill>
                    <a:blip r:embed="rId10"/>
                    <a:stretch>
                      <a:fillRect/>
                    </a:stretch>
                  </pic:blipFill>
                  <pic:spPr>
                    <a:xfrm>
                      <a:off x="0" y="0"/>
                      <a:ext cx="5316855" cy="7214235"/>
                    </a:xfrm>
                    <a:prstGeom prst="rect">
                      <a:avLst/>
                    </a:prstGeom>
                  </pic:spPr>
                </pic:pic>
              </a:graphicData>
            </a:graphic>
          </wp:anchor>
        </w:drawing>
      </w:r>
      <w:r>
        <w:rPr>
          <w:rFonts w:hint="eastAsia" w:ascii="Times New Roman" w:hAnsi="Times New Roman" w:cs="Times New Roman"/>
          <w:b/>
          <w:bCs/>
          <w:sz w:val="24"/>
          <w:szCs w:val="24"/>
        </w:rPr>
        <w:t xml:space="preserve">Supplementary Figure 7 </w:t>
      </w:r>
      <w:r>
        <w:rPr>
          <w:rFonts w:ascii="Times New Roman" w:hAnsi="Times New Roman" w:cs="Times New Roman"/>
          <w:b/>
          <w:bCs/>
          <w:sz w:val="24"/>
          <w:szCs w:val="24"/>
        </w:rPr>
        <w:t xml:space="preserve">CD163 expression on </w:t>
      </w:r>
      <w:r>
        <w:rPr>
          <w:rFonts w:hint="eastAsia" w:ascii="Times New Roman" w:hAnsi="Times New Roman" w:cs="Times New Roman"/>
          <w:b/>
          <w:bCs/>
          <w:sz w:val="24"/>
          <w:szCs w:val="24"/>
        </w:rPr>
        <w:t>rat</w:t>
      </w:r>
      <w:r>
        <w:rPr>
          <w:rFonts w:ascii="Times New Roman" w:hAnsi="Times New Roman" w:cs="Times New Roman"/>
          <w:b/>
          <w:bCs/>
          <w:sz w:val="24"/>
          <w:szCs w:val="24"/>
        </w:rPr>
        <w:t xml:space="preserve"> BM EBI macrophages were positively correlated with iron metabolism under homeostasis</w:t>
      </w:r>
      <w:r>
        <w:rPr>
          <w:rFonts w:hint="eastAsia" w:ascii="Times New Roman" w:hAnsi="Times New Roman" w:cs="Times New Roman"/>
          <w:b/>
          <w:bCs/>
          <w:sz w:val="24"/>
          <w:szCs w:val="24"/>
        </w:rPr>
        <w:t xml:space="preserve">. </w:t>
      </w:r>
    </w:p>
    <w:p w14:paraId="6F719000">
      <w:pPr>
        <w:widowControl w:val="0"/>
        <w:spacing w:line="480" w:lineRule="auto"/>
        <w:ind w:left="120"/>
        <w:rPr>
          <w:rFonts w:ascii="Times New Roman" w:hAnsi="Times New Roman" w:cs="Times New Roman"/>
          <w:sz w:val="24"/>
          <w:szCs w:val="24"/>
        </w:rPr>
      </w:pPr>
      <w:r>
        <w:rPr>
          <w:rFonts w:hint="eastAsia" w:ascii="Times New Roman" w:hAnsi="Times New Roman" w:cs="Times New Roman"/>
          <w:sz w:val="24"/>
          <w:szCs w:val="24"/>
        </w:rPr>
        <w:t xml:space="preserve"> </w:t>
      </w:r>
      <w:r>
        <w:rPr>
          <w:rFonts w:hint="eastAsia" w:ascii="Times New Roman" w:hAnsi="Times New Roman" w:cs="Times New Roman"/>
          <w:b/>
          <w:bCs/>
          <w:sz w:val="24"/>
          <w:szCs w:val="24"/>
        </w:rPr>
        <w:t xml:space="preserve">(A) </w:t>
      </w:r>
      <w:r>
        <w:rPr>
          <w:rFonts w:hint="eastAsia" w:ascii="Times New Roman" w:hAnsi="Times New Roman" w:cs="Times New Roman"/>
          <w:sz w:val="24"/>
          <w:szCs w:val="24"/>
        </w:rPr>
        <w:t>TSNE visualization showing the cluster for BM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the SD rat. Colors indicate different clusters. </w:t>
      </w:r>
      <w:r>
        <w:rPr>
          <w:rFonts w:hint="eastAsia" w:ascii="Times New Roman" w:hAnsi="Times New Roman" w:cs="Times New Roman"/>
          <w:b/>
          <w:bCs/>
          <w:sz w:val="24"/>
          <w:szCs w:val="24"/>
        </w:rPr>
        <w:t xml:space="preserve">(B) </w:t>
      </w:r>
      <w:r>
        <w:rPr>
          <w:rFonts w:hint="eastAsia" w:ascii="Times New Roman" w:hAnsi="Times New Roman" w:cs="Times New Roman"/>
          <w:sz w:val="24"/>
          <w:szCs w:val="24"/>
        </w:rPr>
        <w:t xml:space="preserve">Dotplot showing the expression of marker genes of each cluster. </w:t>
      </w:r>
      <w:r>
        <w:rPr>
          <w:rFonts w:hint="eastAsia" w:ascii="Times New Roman" w:hAnsi="Times New Roman" w:cs="Times New Roman"/>
          <w:b/>
          <w:bCs/>
          <w:sz w:val="24"/>
          <w:szCs w:val="24"/>
        </w:rPr>
        <w:t xml:space="preserve">(C) </w:t>
      </w:r>
      <w:r>
        <w:rPr>
          <w:rFonts w:hint="eastAsia" w:ascii="Times New Roman" w:hAnsi="Times New Roman" w:cs="Times New Roman"/>
          <w:sz w:val="24"/>
          <w:szCs w:val="24"/>
        </w:rPr>
        <w:t>TSNE visualization showing the cell types for BM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the SD rat. Colors indicate different clusters. </w:t>
      </w:r>
      <w:r>
        <w:rPr>
          <w:rFonts w:hint="eastAsia" w:ascii="Times New Roman" w:hAnsi="Times New Roman" w:cs="Times New Roman"/>
          <w:b/>
          <w:bCs/>
          <w:sz w:val="24"/>
          <w:szCs w:val="24"/>
        </w:rPr>
        <w:t xml:space="preserve">(D) </w:t>
      </w:r>
      <w:r>
        <w:rPr>
          <w:rFonts w:hint="eastAsia" w:ascii="Times New Roman" w:hAnsi="Times New Roman" w:cs="Times New Roman"/>
          <w:sz w:val="24"/>
          <w:szCs w:val="24"/>
        </w:rPr>
        <w:t xml:space="preserve">Dotplot showing the expression of marker genes of each cell types.  </w:t>
      </w:r>
      <w:r>
        <w:rPr>
          <w:rFonts w:hint="eastAsia" w:ascii="Times New Roman" w:hAnsi="Times New Roman" w:cs="Times New Roman"/>
          <w:b/>
          <w:bCs/>
          <w:sz w:val="24"/>
          <w:szCs w:val="24"/>
        </w:rPr>
        <w:t xml:space="preserve">(E) </w:t>
      </w:r>
      <w:r>
        <w:rPr>
          <w:rFonts w:hint="eastAsia" w:ascii="Times New Roman" w:hAnsi="Times New Roman" w:cs="Times New Roman"/>
          <w:sz w:val="24"/>
          <w:szCs w:val="24"/>
        </w:rPr>
        <w:t xml:space="preserve">UMAP visualization showing the macrophages subsets. Colors indicate different cell types. </w:t>
      </w:r>
      <w:r>
        <w:rPr>
          <w:rFonts w:hint="eastAsia" w:ascii="Times New Roman" w:hAnsi="Times New Roman" w:cs="Times New Roman"/>
          <w:b/>
          <w:bCs/>
          <w:sz w:val="24"/>
          <w:szCs w:val="24"/>
        </w:rPr>
        <w:t xml:space="preserve">(F) </w:t>
      </w:r>
      <w:r>
        <w:rPr>
          <w:rFonts w:ascii="Times New Roman" w:hAnsi="Times New Roman" w:cs="Times New Roman"/>
          <w:sz w:val="24"/>
          <w:szCs w:val="24"/>
        </w:rPr>
        <w:t xml:space="preserve">Volcano </w:t>
      </w:r>
      <w:r>
        <w:rPr>
          <w:rFonts w:hint="eastAsia" w:ascii="Times New Roman" w:hAnsi="Times New Roman" w:cs="Times New Roman"/>
          <w:sz w:val="24"/>
          <w:szCs w:val="24"/>
        </w:rPr>
        <w:t>plot</w:t>
      </w:r>
      <w:r>
        <w:rPr>
          <w:rFonts w:ascii="Times New Roman" w:hAnsi="Times New Roman" w:cs="Times New Roman"/>
          <w:sz w:val="24"/>
          <w:szCs w:val="24"/>
        </w:rPr>
        <w:t xml:space="preserve"> </w:t>
      </w:r>
      <w:r>
        <w:rPr>
          <w:rFonts w:hint="eastAsia" w:ascii="Times New Roman" w:hAnsi="Times New Roman" w:cs="Times New Roman"/>
          <w:sz w:val="24"/>
          <w:szCs w:val="24"/>
        </w:rPr>
        <w:t>displaying the DEGs between CD163</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and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macrophages. </w:t>
      </w:r>
      <w:r>
        <w:rPr>
          <w:rFonts w:hint="eastAsia" w:ascii="Times New Roman" w:hAnsi="Times New Roman" w:cs="Times New Roman"/>
          <w:b/>
          <w:bCs/>
          <w:sz w:val="24"/>
          <w:szCs w:val="24"/>
        </w:rPr>
        <w:t xml:space="preserve">(G) </w:t>
      </w:r>
      <w:r>
        <w:rPr>
          <w:rFonts w:hint="eastAsia" w:ascii="Times New Roman" w:hAnsi="Times New Roman" w:cs="Times New Roman"/>
          <w:sz w:val="24"/>
          <w:szCs w:val="24"/>
        </w:rPr>
        <w:t xml:space="preserve">Enrichment of biological process from </w:t>
      </w:r>
      <w:r>
        <w:rPr>
          <w:rFonts w:ascii="Times New Roman" w:hAnsi="Times New Roman" w:cs="Times New Roman"/>
          <w:sz w:val="24"/>
          <w:szCs w:val="24"/>
        </w:rPr>
        <w:t xml:space="preserve">upregulated genes </w:t>
      </w:r>
      <w:r>
        <w:rPr>
          <w:rFonts w:hint="eastAsia" w:ascii="Times New Roman" w:hAnsi="Times New Roman" w:cs="Times New Roman"/>
          <w:sz w:val="24"/>
          <w:szCs w:val="24"/>
        </w:rPr>
        <w:t>i</w:t>
      </w:r>
      <w:r>
        <w:rPr>
          <w:rFonts w:ascii="Times New Roman" w:hAnsi="Times New Roman" w:cs="Times New Roman"/>
          <w:sz w:val="24"/>
          <w:szCs w:val="24"/>
        </w:rPr>
        <w:t>n</w:t>
      </w:r>
      <w:r>
        <w:rPr>
          <w:rFonts w:hint="eastAsia" w:ascii="Times New Roman" w:hAnsi="Times New Roman" w:cs="Times New Roman"/>
          <w:sz w:val="24"/>
          <w:szCs w:val="24"/>
        </w:rPr>
        <w:t xml:space="preserve"> CD163</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 xml:space="preserve">macrophages.  </w:t>
      </w:r>
      <w:r>
        <w:rPr>
          <w:rFonts w:hint="eastAsia" w:ascii="Times New Roman" w:hAnsi="Times New Roman" w:cs="Times New Roman"/>
          <w:b/>
          <w:bCs/>
          <w:sz w:val="24"/>
          <w:szCs w:val="24"/>
        </w:rPr>
        <w:t xml:space="preserve">(H) </w:t>
      </w:r>
      <w:r>
        <w:rPr>
          <w:rFonts w:hint="eastAsia" w:ascii="Times New Roman" w:hAnsi="Times New Roman" w:cs="Times New Roman"/>
          <w:sz w:val="24"/>
          <w:szCs w:val="24"/>
        </w:rPr>
        <w:t>Heatmaps exhibiting values of phagocytosis and iron metabolism-related genes expression between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and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macrophages. </w:t>
      </w:r>
      <w:r>
        <w:rPr>
          <w:rFonts w:hint="eastAsia" w:ascii="Times New Roman" w:hAnsi="Times New Roman" w:cs="Times New Roman"/>
          <w:b/>
          <w:bCs/>
          <w:sz w:val="24"/>
          <w:szCs w:val="24"/>
        </w:rPr>
        <w:t xml:space="preserve">(I) </w:t>
      </w:r>
      <w:r>
        <w:rPr>
          <w:rFonts w:hint="eastAsia" w:ascii="Times New Roman" w:hAnsi="Times New Roman" w:cs="Times New Roman"/>
          <w:sz w:val="24"/>
          <w:szCs w:val="24"/>
        </w:rPr>
        <w:t xml:space="preserve">Box plot showing the score of EBI genes for each macrophage subset. </w:t>
      </w:r>
      <w:r>
        <w:rPr>
          <w:rFonts w:hint="eastAsia" w:ascii="Times New Roman" w:hAnsi="Times New Roman" w:cs="Times New Roman"/>
          <w:b/>
          <w:bCs/>
          <w:sz w:val="24"/>
          <w:szCs w:val="24"/>
        </w:rPr>
        <w:t xml:space="preserve">(J) </w:t>
      </w:r>
      <w:r>
        <w:rPr>
          <w:rFonts w:hint="eastAsia" w:ascii="Times New Roman" w:hAnsi="Times New Roman" w:cs="Times New Roman"/>
          <w:sz w:val="24"/>
          <w:szCs w:val="24"/>
        </w:rPr>
        <w:t xml:space="preserve">Scatter plot showing the correlation between the expression of CD163 and the score of iron metabolism-related pathways score respectively. </w:t>
      </w:r>
      <w:r>
        <w:rPr>
          <w:rFonts w:hint="eastAsia" w:ascii="Times New Roman" w:hAnsi="Times New Roman" w:cs="Times New Roman"/>
          <w:b/>
          <w:bCs/>
          <w:sz w:val="24"/>
          <w:szCs w:val="24"/>
        </w:rPr>
        <w:t xml:space="preserve">(K) </w:t>
      </w:r>
      <w:r>
        <w:rPr>
          <w:rFonts w:hint="eastAsia" w:ascii="Times New Roman" w:hAnsi="Times New Roman" w:cs="Times New Roman"/>
          <w:sz w:val="24"/>
          <w:szCs w:val="24"/>
        </w:rPr>
        <w:t xml:space="preserve">Scatter plot showing the correlation between the expression of CD163 and Hmox1. </w:t>
      </w:r>
      <w:r>
        <w:rPr>
          <w:rFonts w:hint="eastAsia" w:ascii="Times New Roman" w:hAnsi="Times New Roman" w:cs="Times New Roman"/>
          <w:b/>
          <w:bCs/>
          <w:sz w:val="24"/>
          <w:szCs w:val="24"/>
        </w:rPr>
        <w:t xml:space="preserve">(L) </w:t>
      </w:r>
      <w:r>
        <w:rPr>
          <w:rFonts w:hint="eastAsia" w:ascii="Times New Roman" w:hAnsi="Times New Roman" w:cs="Times New Roman"/>
          <w:sz w:val="24"/>
          <w:szCs w:val="24"/>
        </w:rPr>
        <w:t>Cytospin images showing Giemsa staining and Prussian blue staining of CD163</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 xml:space="preserve"> and CD163</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macrophages.</w:t>
      </w:r>
      <w:r>
        <w:rPr>
          <w:rFonts w:hint="eastAsia" w:ascii="Times New Roman" w:hAnsi="Times New Roman" w:cs="Times New Roman"/>
          <w:b/>
          <w:bCs/>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0.05,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0.01,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0.001.</w:t>
      </w:r>
      <w:r>
        <w:rPr>
          <w:rFonts w:ascii="Times New Roman" w:hAnsi="Times New Roman" w:cs="Times New Roman"/>
          <w:sz w:val="24"/>
          <w:szCs w:val="24"/>
        </w:rPr>
        <w:t xml:space="preserve">  NS, not significant.</w:t>
      </w:r>
    </w:p>
    <w:p w14:paraId="72AE3214">
      <w:pPr>
        <w:widowControl w:val="0"/>
        <w:ind w:left="120"/>
        <w:rPr>
          <w:rFonts w:ascii="Times New Roman" w:hAnsi="Times New Roman" w:cs="Times New Roman"/>
          <w:sz w:val="24"/>
          <w:szCs w:val="24"/>
        </w:rPr>
      </w:pPr>
    </w:p>
    <w:p w14:paraId="1FC420A1">
      <w:pPr>
        <w:widowControl w:val="0"/>
        <w:rPr>
          <w:rFonts w:ascii="Times New Roman" w:hAnsi="Times New Roman" w:cs="Times New Roman"/>
          <w:b/>
          <w:bCs/>
          <w:sz w:val="24"/>
          <w:szCs w:val="24"/>
        </w:rPr>
      </w:pPr>
    </w:p>
    <w:p w14:paraId="4224819A">
      <w:pPr>
        <w:widowControl w:val="0"/>
        <w:rPr>
          <w:rFonts w:ascii="Times New Roman" w:hAnsi="Times New Roman" w:cs="Times New Roman"/>
          <w:b/>
          <w:bCs/>
          <w:sz w:val="24"/>
          <w:szCs w:val="24"/>
        </w:rPr>
      </w:pPr>
    </w:p>
    <w:p w14:paraId="0D8CC4DE">
      <w:pPr>
        <w:widowControl w:val="0"/>
        <w:rPr>
          <w:rFonts w:ascii="Times New Roman" w:hAnsi="Times New Roman" w:cs="Times New Roman"/>
          <w:b/>
          <w:bCs/>
          <w:sz w:val="24"/>
          <w:szCs w:val="24"/>
        </w:rPr>
      </w:pPr>
    </w:p>
    <w:p w14:paraId="6C693CE8">
      <w:pPr>
        <w:widowControl w:val="0"/>
        <w:rPr>
          <w:rFonts w:ascii="Times New Roman" w:hAnsi="Times New Roman" w:cs="Times New Roman"/>
          <w:b/>
          <w:bCs/>
          <w:sz w:val="24"/>
          <w:szCs w:val="24"/>
        </w:rPr>
      </w:pPr>
    </w:p>
    <w:p w14:paraId="096DB6B4">
      <w:pPr>
        <w:widowControl w:val="0"/>
        <w:rPr>
          <w:rFonts w:ascii="Times New Roman" w:hAnsi="Times New Roman" w:cs="Times New Roman"/>
          <w:b/>
          <w:bCs/>
          <w:sz w:val="24"/>
          <w:szCs w:val="24"/>
        </w:rPr>
      </w:pPr>
    </w:p>
    <w:p w14:paraId="5D6BBDA4">
      <w:pPr>
        <w:widowControl w:val="0"/>
        <w:rPr>
          <w:rFonts w:ascii="Times New Roman" w:hAnsi="Times New Roman" w:cs="Times New Roman"/>
          <w:b/>
          <w:bCs/>
          <w:sz w:val="24"/>
          <w:szCs w:val="24"/>
        </w:rPr>
      </w:pPr>
    </w:p>
    <w:p w14:paraId="1E52CB9A">
      <w:pPr>
        <w:widowControl w:val="0"/>
        <w:rPr>
          <w:rFonts w:ascii="Times New Roman" w:hAnsi="Times New Roman" w:cs="Times New Roman"/>
          <w:b/>
          <w:bCs/>
          <w:sz w:val="24"/>
          <w:szCs w:val="24"/>
        </w:rPr>
      </w:pPr>
    </w:p>
    <w:p w14:paraId="61EED2FB">
      <w:pPr>
        <w:widowControl w:val="0"/>
        <w:rPr>
          <w:rFonts w:ascii="Times New Roman" w:hAnsi="Times New Roman" w:cs="Times New Roman"/>
          <w:b/>
          <w:bCs/>
          <w:sz w:val="24"/>
          <w:szCs w:val="24"/>
        </w:rPr>
      </w:pPr>
    </w:p>
    <w:p w14:paraId="4164EDC8">
      <w:pPr>
        <w:widowControl w:val="0"/>
        <w:rPr>
          <w:rFonts w:ascii="Times New Roman" w:hAnsi="Times New Roman" w:cs="Times New Roman"/>
          <w:b/>
          <w:bCs/>
          <w:sz w:val="24"/>
          <w:szCs w:val="24"/>
        </w:rPr>
      </w:pPr>
    </w:p>
    <w:p w14:paraId="652827C4">
      <w:pPr>
        <w:widowControl w:val="0"/>
        <w:rPr>
          <w:rFonts w:ascii="Times New Roman" w:hAnsi="Times New Roman" w:cs="Times New Roman"/>
          <w:b/>
          <w:bCs/>
          <w:sz w:val="24"/>
          <w:szCs w:val="24"/>
        </w:rPr>
      </w:pPr>
      <w:r>
        <w:rPr>
          <w:rFonts w:hint="eastAsia" w:ascii="Times New Roman" w:hAnsi="Times New Roman" w:cs="Times New Roman"/>
          <w:b/>
          <w:bCs/>
          <w:sz w:val="24"/>
          <w:szCs w:val="24"/>
        </w:rPr>
        <w:drawing>
          <wp:anchor distT="0" distB="0" distL="114300" distR="114300" simplePos="0" relativeHeight="251664384" behindDoc="0" locked="0" layoutInCell="1" allowOverlap="1">
            <wp:simplePos x="0" y="0"/>
            <wp:positionH relativeFrom="column">
              <wp:posOffset>-23495</wp:posOffset>
            </wp:positionH>
            <wp:positionV relativeFrom="paragraph">
              <wp:posOffset>170180</wp:posOffset>
            </wp:positionV>
            <wp:extent cx="5253990" cy="7346315"/>
            <wp:effectExtent l="0" t="0" r="3810" b="6985"/>
            <wp:wrapTopAndBottom/>
            <wp:docPr id="46" name="图片 46" descr="Supplementary 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Supplementary figure 8"/>
                    <pic:cNvPicPr>
                      <a:picLocks noChangeAspect="1"/>
                    </pic:cNvPicPr>
                  </pic:nvPicPr>
                  <pic:blipFill>
                    <a:blip r:embed="rId11"/>
                    <a:srcRect r="27266"/>
                    <a:stretch>
                      <a:fillRect/>
                    </a:stretch>
                  </pic:blipFill>
                  <pic:spPr>
                    <a:xfrm>
                      <a:off x="0" y="0"/>
                      <a:ext cx="5253990" cy="7346315"/>
                    </a:xfrm>
                    <a:prstGeom prst="rect">
                      <a:avLst/>
                    </a:prstGeom>
                  </pic:spPr>
                </pic:pic>
              </a:graphicData>
            </a:graphic>
          </wp:anchor>
        </w:drawing>
      </w:r>
    </w:p>
    <w:p w14:paraId="237879A9">
      <w:pPr>
        <w:widowControl w:val="0"/>
        <w:spacing w:line="480" w:lineRule="auto"/>
        <w:rPr>
          <w:rFonts w:ascii="Times New Roman" w:hAnsi="Times New Roman" w:cs="Times New Roman"/>
          <w:b/>
          <w:bCs/>
          <w:sz w:val="24"/>
          <w:szCs w:val="24"/>
        </w:rPr>
      </w:pPr>
      <w:r>
        <w:rPr>
          <w:rFonts w:hint="eastAsia" w:ascii="Times New Roman" w:hAnsi="Times New Roman" w:cs="Times New Roman"/>
          <w:b/>
          <w:bCs/>
          <w:sz w:val="24"/>
          <w:szCs w:val="24"/>
        </w:rPr>
        <w:t xml:space="preserve">Supplementary Figure 8 </w:t>
      </w:r>
      <w:r>
        <w:rPr>
          <w:rFonts w:ascii="Times New Roman" w:hAnsi="Times New Roman" w:cs="Times New Roman"/>
          <w:b/>
          <w:bCs/>
          <w:sz w:val="24"/>
          <w:szCs w:val="24"/>
        </w:rPr>
        <w:t>CD163 expression on</w:t>
      </w:r>
      <w:r>
        <w:rPr>
          <w:rFonts w:hint="eastAsia" w:ascii="Times New Roman" w:hAnsi="Times New Roman" w:cs="Times New Roman"/>
          <w:b/>
          <w:bCs/>
          <w:sz w:val="24"/>
          <w:szCs w:val="24"/>
        </w:rPr>
        <w:t xml:space="preserve"> human</w:t>
      </w:r>
      <w:r>
        <w:rPr>
          <w:rFonts w:ascii="Times New Roman" w:hAnsi="Times New Roman" w:cs="Times New Roman"/>
          <w:b/>
          <w:bCs/>
          <w:sz w:val="24"/>
          <w:szCs w:val="24"/>
        </w:rPr>
        <w:t xml:space="preserve"> BM EBI macrophages were positively correlated with iron metabolism under homeostasis</w:t>
      </w:r>
      <w:r>
        <w:rPr>
          <w:rFonts w:hint="eastAsia" w:ascii="Times New Roman" w:hAnsi="Times New Roman" w:cs="Times New Roman"/>
          <w:b/>
          <w:bCs/>
          <w:sz w:val="24"/>
          <w:szCs w:val="24"/>
        </w:rPr>
        <w:t xml:space="preserve"> </w:t>
      </w:r>
    </w:p>
    <w:p w14:paraId="5FE00562">
      <w:pPr>
        <w:widowControl w:val="0"/>
        <w:numPr>
          <w:ilvl w:val="0"/>
          <w:numId w:val="7"/>
        </w:numPr>
        <w:spacing w:line="480" w:lineRule="auto"/>
        <w:rPr>
          <w:rFonts w:ascii="Times New Roman" w:hAnsi="Times New Roman" w:cs="Times New Roman"/>
          <w:b/>
          <w:bCs/>
          <w:sz w:val="24"/>
          <w:szCs w:val="24"/>
        </w:rPr>
      </w:pPr>
      <w:r>
        <w:rPr>
          <w:rFonts w:hint="eastAsia" w:ascii="Times New Roman" w:hAnsi="Times New Roman" w:cs="Times New Roman"/>
          <w:sz w:val="24"/>
          <w:szCs w:val="24"/>
        </w:rPr>
        <w:t xml:space="preserve"> TSNE visualization showing the cluster for BM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the human. Colors indicate different clusters. </w:t>
      </w:r>
      <w:r>
        <w:rPr>
          <w:rFonts w:hint="eastAsia" w:ascii="Times New Roman" w:hAnsi="Times New Roman" w:cs="Times New Roman"/>
          <w:b/>
          <w:bCs/>
          <w:sz w:val="24"/>
          <w:szCs w:val="24"/>
        </w:rPr>
        <w:t xml:space="preserve">(B) </w:t>
      </w:r>
      <w:r>
        <w:rPr>
          <w:rFonts w:hint="eastAsia" w:ascii="Times New Roman" w:hAnsi="Times New Roman" w:cs="Times New Roman"/>
          <w:sz w:val="24"/>
          <w:szCs w:val="24"/>
        </w:rPr>
        <w:t xml:space="preserve">Dotplot showing the expression of marker genes of each cluster. </w:t>
      </w:r>
      <w:r>
        <w:rPr>
          <w:rFonts w:hint="eastAsia" w:ascii="Times New Roman" w:hAnsi="Times New Roman" w:cs="Times New Roman"/>
          <w:b/>
          <w:bCs/>
          <w:sz w:val="24"/>
          <w:szCs w:val="24"/>
        </w:rPr>
        <w:t xml:space="preserve">(C) </w:t>
      </w:r>
      <w:r>
        <w:rPr>
          <w:rFonts w:hint="eastAsia" w:ascii="Times New Roman" w:hAnsi="Times New Roman" w:cs="Times New Roman"/>
          <w:sz w:val="24"/>
          <w:szCs w:val="24"/>
        </w:rPr>
        <w:t>TSNE visualization showing the cell types for BM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the human. Colors indicate different clusters. </w:t>
      </w:r>
      <w:r>
        <w:rPr>
          <w:rFonts w:hint="eastAsia" w:ascii="Times New Roman" w:hAnsi="Times New Roman" w:cs="Times New Roman"/>
          <w:b/>
          <w:bCs/>
          <w:sz w:val="24"/>
          <w:szCs w:val="24"/>
        </w:rPr>
        <w:t xml:space="preserve">(D) </w:t>
      </w:r>
      <w:r>
        <w:rPr>
          <w:rFonts w:hint="eastAsia" w:ascii="Times New Roman" w:hAnsi="Times New Roman" w:cs="Times New Roman"/>
          <w:sz w:val="24"/>
          <w:szCs w:val="24"/>
        </w:rPr>
        <w:t xml:space="preserve">Dotplot showing the expression of marker genes of each cell types.  </w:t>
      </w:r>
      <w:r>
        <w:rPr>
          <w:rFonts w:hint="eastAsia" w:ascii="Times New Roman" w:hAnsi="Times New Roman" w:cs="Times New Roman"/>
          <w:b/>
          <w:bCs/>
          <w:sz w:val="24"/>
          <w:szCs w:val="24"/>
        </w:rPr>
        <w:t xml:space="preserve">(E) </w:t>
      </w:r>
      <w:r>
        <w:rPr>
          <w:rFonts w:hint="eastAsia" w:ascii="Times New Roman" w:hAnsi="Times New Roman" w:cs="Times New Roman"/>
          <w:sz w:val="24"/>
          <w:szCs w:val="24"/>
        </w:rPr>
        <w:t>UMAP visualization showing the macrophages subsets, including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and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macrophages. Colors indicate different cell types. </w:t>
      </w:r>
      <w:r>
        <w:rPr>
          <w:rFonts w:hint="eastAsia" w:ascii="Times New Roman" w:hAnsi="Times New Roman" w:cs="Times New Roman"/>
          <w:b/>
          <w:bCs/>
          <w:sz w:val="24"/>
          <w:szCs w:val="24"/>
        </w:rPr>
        <w:t xml:space="preserve">(F) </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Volcano </w:t>
      </w:r>
      <w:r>
        <w:rPr>
          <w:rFonts w:hint="eastAsia" w:ascii="Times New Roman" w:hAnsi="Times New Roman" w:cs="Times New Roman"/>
          <w:sz w:val="24"/>
          <w:szCs w:val="24"/>
        </w:rPr>
        <w:t>plot</w:t>
      </w:r>
      <w:r>
        <w:rPr>
          <w:rFonts w:ascii="Times New Roman" w:hAnsi="Times New Roman" w:cs="Times New Roman"/>
          <w:sz w:val="24"/>
          <w:szCs w:val="24"/>
        </w:rPr>
        <w:t xml:space="preserve"> </w:t>
      </w:r>
      <w:r>
        <w:rPr>
          <w:rFonts w:hint="eastAsia" w:ascii="Times New Roman" w:hAnsi="Times New Roman" w:cs="Times New Roman"/>
          <w:sz w:val="24"/>
          <w:szCs w:val="24"/>
        </w:rPr>
        <w:t>displaying the DEGs between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and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macrophages. </w:t>
      </w:r>
      <w:r>
        <w:rPr>
          <w:rFonts w:hint="eastAsia" w:ascii="Times New Roman" w:hAnsi="Times New Roman" w:cs="Times New Roman"/>
          <w:b/>
          <w:bCs/>
          <w:sz w:val="24"/>
          <w:szCs w:val="24"/>
        </w:rPr>
        <w:t xml:space="preserve">(G) </w:t>
      </w:r>
      <w:r>
        <w:rPr>
          <w:rFonts w:hint="eastAsia" w:ascii="Times New Roman" w:hAnsi="Times New Roman" w:cs="Times New Roman"/>
          <w:sz w:val="24"/>
          <w:szCs w:val="24"/>
        </w:rPr>
        <w:t>Enrichment of biological process between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and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macrophages based on the DEGs. </w:t>
      </w:r>
      <w:r>
        <w:rPr>
          <w:rFonts w:hint="eastAsia" w:ascii="Times New Roman" w:hAnsi="Times New Roman" w:cs="Times New Roman"/>
          <w:b/>
          <w:bCs/>
          <w:sz w:val="24"/>
          <w:szCs w:val="24"/>
        </w:rPr>
        <w:t xml:space="preserve">(H) </w:t>
      </w:r>
      <w:r>
        <w:rPr>
          <w:rFonts w:hint="eastAsia" w:ascii="Times New Roman" w:hAnsi="Times New Roman" w:cs="Times New Roman"/>
          <w:sz w:val="24"/>
          <w:szCs w:val="24"/>
        </w:rPr>
        <w:t>Heatmaps exhibiting values of phagocytosis and iron metabolism-related genes expression between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and 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macrophages. </w:t>
      </w:r>
      <w:r>
        <w:rPr>
          <w:rFonts w:hint="eastAsia" w:ascii="Times New Roman" w:hAnsi="Times New Roman" w:cs="Times New Roman"/>
          <w:b/>
          <w:bCs/>
          <w:sz w:val="24"/>
          <w:szCs w:val="24"/>
        </w:rPr>
        <w:t xml:space="preserve">(I) </w:t>
      </w:r>
      <w:r>
        <w:rPr>
          <w:rFonts w:hint="eastAsia" w:ascii="Times New Roman" w:hAnsi="Times New Roman" w:cs="Times New Roman"/>
          <w:sz w:val="24"/>
          <w:szCs w:val="24"/>
        </w:rPr>
        <w:t xml:space="preserve">Box plot showing the score of EBI genes for each macrophage subset. </w:t>
      </w:r>
      <w:r>
        <w:rPr>
          <w:rFonts w:hint="eastAsia" w:ascii="Times New Roman" w:hAnsi="Times New Roman" w:cs="Times New Roman"/>
          <w:b/>
          <w:bCs/>
          <w:sz w:val="24"/>
          <w:szCs w:val="24"/>
        </w:rPr>
        <w:t xml:space="preserve">(J) </w:t>
      </w:r>
      <w:r>
        <w:rPr>
          <w:rFonts w:hint="eastAsia" w:ascii="Times New Roman" w:hAnsi="Times New Roman" w:cs="Times New Roman"/>
          <w:sz w:val="24"/>
          <w:szCs w:val="24"/>
        </w:rPr>
        <w:t xml:space="preserve">Scatter plot showing the correlation between the expression of CD163 and the score of iron metabolism-related pathways score respectively. </w:t>
      </w:r>
      <w:r>
        <w:rPr>
          <w:rFonts w:hint="eastAsia" w:ascii="Times New Roman" w:hAnsi="Times New Roman" w:cs="Times New Roman"/>
          <w:b/>
          <w:bCs/>
          <w:sz w:val="24"/>
          <w:szCs w:val="24"/>
        </w:rPr>
        <w:t xml:space="preserve">(K) </w:t>
      </w:r>
      <w:r>
        <w:rPr>
          <w:rFonts w:hint="eastAsia" w:ascii="Times New Roman" w:hAnsi="Times New Roman" w:cs="Times New Roman"/>
          <w:sz w:val="24"/>
          <w:szCs w:val="24"/>
        </w:rPr>
        <w:t xml:space="preserve">Scatter plot showing the correlation between the expression of CD163 and HMOX1. </w:t>
      </w:r>
      <w:r>
        <w:rPr>
          <w:rFonts w:hint="eastAsia" w:ascii="Times New Roman" w:hAnsi="Times New Roman" w:cs="Times New Roman"/>
          <w:b/>
          <w:bCs/>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0.05,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0.01,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0.001.</w:t>
      </w:r>
      <w:r>
        <w:rPr>
          <w:rFonts w:ascii="Times New Roman" w:hAnsi="Times New Roman" w:cs="Times New Roman"/>
          <w:sz w:val="24"/>
          <w:szCs w:val="24"/>
        </w:rPr>
        <w:t xml:space="preserve"> NS, not significant.</w:t>
      </w:r>
    </w:p>
    <w:p w14:paraId="303B7B43">
      <w:pPr>
        <w:widowControl w:val="0"/>
        <w:ind w:left="60"/>
        <w:rPr>
          <w:rFonts w:ascii="Times New Roman" w:hAnsi="Times New Roman" w:cs="Times New Roman"/>
          <w:b/>
          <w:bCs/>
          <w:sz w:val="24"/>
          <w:szCs w:val="24"/>
        </w:rPr>
      </w:pPr>
    </w:p>
    <w:p w14:paraId="74F47A13">
      <w:pPr>
        <w:widowControl w:val="0"/>
        <w:ind w:left="60"/>
        <w:rPr>
          <w:rFonts w:ascii="Times New Roman" w:hAnsi="Times New Roman" w:cs="Times New Roman"/>
          <w:b/>
          <w:bCs/>
          <w:sz w:val="24"/>
          <w:szCs w:val="24"/>
        </w:rPr>
      </w:pPr>
    </w:p>
    <w:p w14:paraId="61FC28B5">
      <w:pPr>
        <w:widowControl w:val="0"/>
        <w:ind w:left="60"/>
        <w:rPr>
          <w:rFonts w:ascii="Times New Roman" w:hAnsi="Times New Roman" w:cs="Times New Roman"/>
          <w:b/>
          <w:bCs/>
          <w:sz w:val="24"/>
          <w:szCs w:val="24"/>
        </w:rPr>
      </w:pPr>
    </w:p>
    <w:p w14:paraId="21B280B2">
      <w:pPr>
        <w:widowControl w:val="0"/>
        <w:ind w:left="60"/>
        <w:rPr>
          <w:rFonts w:ascii="Times New Roman" w:hAnsi="Times New Roman" w:cs="Times New Roman"/>
          <w:b/>
          <w:bCs/>
          <w:sz w:val="24"/>
          <w:szCs w:val="24"/>
        </w:rPr>
      </w:pPr>
    </w:p>
    <w:p w14:paraId="57FFF771">
      <w:pPr>
        <w:widowControl w:val="0"/>
        <w:rPr>
          <w:rFonts w:ascii="Times New Roman" w:hAnsi="Times New Roman" w:cs="Times New Roman"/>
          <w:b/>
          <w:bCs/>
          <w:sz w:val="24"/>
          <w:szCs w:val="24"/>
        </w:rPr>
      </w:pPr>
    </w:p>
    <w:p w14:paraId="11C48E88">
      <w:pPr>
        <w:widowControl w:val="0"/>
        <w:spacing w:line="480" w:lineRule="auto"/>
        <w:ind w:left="60"/>
        <w:rPr>
          <w:rFonts w:ascii="Times New Roman" w:hAnsi="Times New Roman" w:cs="Times New Roman"/>
          <w:b/>
          <w:bCs/>
          <w:sz w:val="24"/>
          <w:szCs w:val="24"/>
        </w:rPr>
      </w:pPr>
      <w:r>
        <w:rPr>
          <w:rFonts w:hint="eastAsia" w:ascii="Times New Roman" w:hAnsi="Times New Roman" w:cs="Times New Roman"/>
          <w:b/>
          <w:bCs/>
          <w:sz w:val="24"/>
          <w:szCs w:val="24"/>
        </w:rPr>
        <w:drawing>
          <wp:anchor distT="0" distB="0" distL="114300" distR="114300" simplePos="0" relativeHeight="251661312" behindDoc="0" locked="0" layoutInCell="1" allowOverlap="1">
            <wp:simplePos x="0" y="0"/>
            <wp:positionH relativeFrom="column">
              <wp:posOffset>19050</wp:posOffset>
            </wp:positionH>
            <wp:positionV relativeFrom="paragraph">
              <wp:posOffset>57150</wp:posOffset>
            </wp:positionV>
            <wp:extent cx="5237480" cy="3461385"/>
            <wp:effectExtent l="0" t="0" r="7620" b="5715"/>
            <wp:wrapTopAndBottom/>
            <wp:docPr id="39" name="图片 39" descr="Supplementary 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Supplementary figure 9"/>
                    <pic:cNvPicPr>
                      <a:picLocks noChangeAspect="1"/>
                    </pic:cNvPicPr>
                  </pic:nvPicPr>
                  <pic:blipFill>
                    <a:blip r:embed="rId12"/>
                    <a:stretch>
                      <a:fillRect/>
                    </a:stretch>
                  </pic:blipFill>
                  <pic:spPr>
                    <a:xfrm>
                      <a:off x="0" y="0"/>
                      <a:ext cx="5237480" cy="3461385"/>
                    </a:xfrm>
                    <a:prstGeom prst="rect">
                      <a:avLst/>
                    </a:prstGeom>
                  </pic:spPr>
                </pic:pic>
              </a:graphicData>
            </a:graphic>
          </wp:anchor>
        </w:drawing>
      </w:r>
      <w:r>
        <w:rPr>
          <w:rFonts w:hint="eastAsia" w:ascii="Times New Roman" w:hAnsi="Times New Roman" w:cs="Times New Roman"/>
          <w:b/>
          <w:bCs/>
          <w:sz w:val="24"/>
          <w:szCs w:val="24"/>
        </w:rPr>
        <w:t xml:space="preserve">Supplementary </w:t>
      </w:r>
      <w:r>
        <w:rPr>
          <w:rFonts w:ascii="Times New Roman" w:hAnsi="Times New Roman" w:cs="Times New Roman"/>
          <w:b/>
          <w:bCs/>
          <w:sz w:val="24"/>
          <w:szCs w:val="24"/>
        </w:rPr>
        <w:t xml:space="preserve">Figure </w:t>
      </w:r>
      <w:r>
        <w:rPr>
          <w:rFonts w:hint="eastAsia" w:ascii="Times New Roman" w:hAnsi="Times New Roman" w:cs="Times New Roman"/>
          <w:b/>
          <w:bCs/>
          <w:sz w:val="24"/>
          <w:szCs w:val="24"/>
        </w:rPr>
        <w:t xml:space="preserve">9 Multomics analysis of control and </w:t>
      </w:r>
      <w:r>
        <w:rPr>
          <w:rFonts w:hint="eastAsia" w:ascii="Times New Roman" w:hAnsi="Times New Roman" w:cs="Times New Roman"/>
          <w:b/>
          <w:bCs/>
          <w:sz w:val="24"/>
          <w:szCs w:val="24"/>
          <w:lang w:val="en-US" w:eastAsia="zh-CN"/>
        </w:rPr>
        <w:t>DEX</w:t>
      </w:r>
      <w:r>
        <w:rPr>
          <w:rFonts w:hint="eastAsia" w:ascii="Times New Roman" w:hAnsi="Times New Roman" w:cs="Times New Roman"/>
          <w:b/>
          <w:bCs/>
          <w:sz w:val="24"/>
          <w:szCs w:val="24"/>
        </w:rPr>
        <w:t>-treated macrophages.</w:t>
      </w:r>
    </w:p>
    <w:p w14:paraId="3C9CC123">
      <w:pPr>
        <w:widowControl w:val="0"/>
        <w:numPr>
          <w:ilvl w:val="0"/>
          <w:numId w:val="8"/>
        </w:numPr>
        <w:spacing w:line="480" w:lineRule="auto"/>
        <w:rPr>
          <w:rFonts w:ascii="Times New Roman" w:hAnsi="Times New Roman" w:eastAsia="宋体" w:cs="Times New Roman"/>
          <w:sz w:val="24"/>
          <w:szCs w:val="24"/>
        </w:rPr>
      </w:pPr>
      <w:r>
        <w:rPr>
          <w:rFonts w:hint="eastAsia" w:ascii="Times New Roman" w:hAnsi="Times New Roman" w:eastAsia="宋体" w:cs="Times New Roman"/>
          <w:b/>
          <w:bCs/>
          <w:sz w:val="24"/>
          <w:szCs w:val="24"/>
        </w:rPr>
        <w:t xml:space="preserve">C) </w:t>
      </w:r>
      <w:r>
        <w:rPr>
          <w:rFonts w:ascii="Times New Roman" w:hAnsi="Times New Roman" w:eastAsia="宋体" w:cs="Times New Roman"/>
          <w:sz w:val="24"/>
          <w:szCs w:val="24"/>
        </w:rPr>
        <w:t>Heatmaps and peak chart image</w:t>
      </w:r>
      <w:r>
        <w:rPr>
          <w:rFonts w:hint="eastAsia" w:ascii="Times New Roman" w:hAnsi="Times New Roman" w:eastAsia="宋体" w:cs="Times New Roman"/>
          <w:sz w:val="24"/>
          <w:szCs w:val="24"/>
        </w:rPr>
        <w:t>s</w:t>
      </w:r>
      <w:r>
        <w:rPr>
          <w:rFonts w:ascii="Times New Roman" w:hAnsi="Times New Roman" w:eastAsia="宋体" w:cs="Times New Roman"/>
          <w:sz w:val="24"/>
          <w:szCs w:val="24"/>
        </w:rPr>
        <w:t xml:space="preserve"> displayed normalized </w:t>
      </w:r>
      <w:r>
        <w:rPr>
          <w:rFonts w:hint="eastAsia" w:ascii="Times New Roman" w:hAnsi="Times New Roman" w:eastAsia="宋体" w:cs="Times New Roman"/>
          <w:sz w:val="24"/>
          <w:szCs w:val="24"/>
        </w:rPr>
        <w:t xml:space="preserve">ATAC-seq GR-ChIP-seq </w:t>
      </w:r>
      <w:r>
        <w:rPr>
          <w:rFonts w:ascii="Times New Roman" w:hAnsi="Times New Roman" w:eastAsia="宋体" w:cs="Times New Roman"/>
          <w:b/>
          <w:bCs/>
          <w:sz w:val="24"/>
          <w:szCs w:val="24"/>
        </w:rPr>
        <w:t>(A)</w:t>
      </w:r>
      <w:r>
        <w:rPr>
          <w:rFonts w:hint="eastAsia" w:ascii="Times New Roman" w:hAnsi="Times New Roman" w:eastAsia="宋体" w:cs="Times New Roman"/>
          <w:sz w:val="24"/>
          <w:szCs w:val="24"/>
        </w:rPr>
        <w:t xml:space="preserve">, GRIP1-CUT&amp;RUN </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B</w:t>
      </w:r>
      <w:r>
        <w:rPr>
          <w:rFonts w:ascii="Times New Roman" w:hAnsi="Times New Roman" w:eastAsia="宋体" w:cs="Times New Roman"/>
          <w:b/>
          <w:bCs/>
          <w:sz w:val="24"/>
          <w:szCs w:val="24"/>
        </w:rPr>
        <w:t>)</w:t>
      </w:r>
      <w:r>
        <w:rPr>
          <w:rFonts w:hint="eastAsia" w:ascii="Times New Roman" w:hAnsi="Times New Roman" w:eastAsia="宋体" w:cs="Times New Roman"/>
          <w:sz w:val="24"/>
          <w:szCs w:val="24"/>
        </w:rPr>
        <w:t>, and</w:t>
      </w:r>
      <w:r>
        <w:rPr>
          <w:rFonts w:hint="eastAsia" w:ascii="Times New Roman" w:hAnsi="Times New Roman" w:eastAsia="宋体" w:cs="Times New Roman"/>
          <w:b/>
          <w:bCs/>
          <w:sz w:val="24"/>
          <w:szCs w:val="24"/>
        </w:rPr>
        <w:t xml:space="preserve"> </w:t>
      </w:r>
      <w:r>
        <w:rPr>
          <w:rFonts w:hint="eastAsia" w:ascii="Times New Roman" w:hAnsi="Times New Roman" w:eastAsia="宋体" w:cs="Times New Roman"/>
          <w:sz w:val="24"/>
          <w:szCs w:val="24"/>
        </w:rPr>
        <w:t xml:space="preserve">H3K27ac-ChIP-seq </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C</w:t>
      </w:r>
      <w:r>
        <w:rPr>
          <w:rFonts w:ascii="Times New Roman" w:hAnsi="Times New Roman" w:eastAsia="宋体" w:cs="Times New Roman"/>
          <w:b/>
          <w:bCs/>
          <w:sz w:val="24"/>
          <w:szCs w:val="24"/>
        </w:rPr>
        <w:t>)</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signa</w:t>
      </w:r>
      <w:r>
        <w:rPr>
          <w:rFonts w:hint="eastAsia" w:ascii="Times New Roman" w:hAnsi="Times New Roman" w:eastAsia="宋体" w:cs="Times New Roman"/>
          <w:sz w:val="24"/>
          <w:szCs w:val="24"/>
        </w:rPr>
        <w:t>ls</w:t>
      </w:r>
      <w:r>
        <w:rPr>
          <w:rFonts w:ascii="Times New Roman" w:hAnsi="Times New Roman" w:eastAsia="宋体" w:cs="Times New Roman"/>
          <w:sz w:val="24"/>
          <w:szCs w:val="24"/>
        </w:rPr>
        <w:t xml:space="preserve"> of </w:t>
      </w:r>
      <w:r>
        <w:rPr>
          <w:rFonts w:ascii="Times New Roman" w:hAnsi="Times New Roman" w:cs="Times New Roman"/>
          <w:sz w:val="24"/>
          <w:szCs w:val="24"/>
        </w:rPr>
        <w:t xml:space="preserve">DEX and PBS pre-treated BMDM groups </w:t>
      </w:r>
      <w:r>
        <w:rPr>
          <w:rFonts w:ascii="Times New Roman" w:hAnsi="Times New Roman" w:eastAsia="宋体" w:cs="Times New Roman"/>
          <w:sz w:val="24"/>
          <w:szCs w:val="24"/>
        </w:rPr>
        <w:t xml:space="preserve">at gene body regions. The window represents ±3 kb regions </w:t>
      </w:r>
      <w:r>
        <w:rPr>
          <w:rFonts w:hint="eastAsia" w:ascii="Times New Roman" w:hAnsi="Times New Roman" w:eastAsia="宋体" w:cs="Times New Roman"/>
          <w:sz w:val="24"/>
          <w:szCs w:val="24"/>
        </w:rPr>
        <w:t>around</w:t>
      </w:r>
      <w:r>
        <w:rPr>
          <w:rFonts w:ascii="Times New Roman" w:hAnsi="Times New Roman" w:eastAsia="宋体" w:cs="Times New Roman"/>
          <w:sz w:val="24"/>
          <w:szCs w:val="24"/>
        </w:rPr>
        <w:t xml:space="preserve"> the gene body. </w:t>
      </w:r>
      <w:r>
        <w:rPr>
          <w:rFonts w:ascii="Times New Roman" w:hAnsi="Times New Roman" w:cs="Times New Roman"/>
          <w:b/>
          <w:bCs/>
          <w:sz w:val="24"/>
          <w:szCs w:val="24"/>
        </w:rPr>
        <w:t>(</w:t>
      </w:r>
      <w:r>
        <w:rPr>
          <w:rFonts w:hint="eastAsia" w:ascii="Times New Roman" w:hAnsi="Times New Roman" w:cs="Times New Roman"/>
          <w:b/>
          <w:bCs/>
          <w:sz w:val="24"/>
          <w:szCs w:val="24"/>
        </w:rPr>
        <w:t>D-F</w:t>
      </w:r>
      <w:r>
        <w:rPr>
          <w:rFonts w:ascii="Times New Roman" w:hAnsi="Times New Roman" w:cs="Times New Roman"/>
          <w:b/>
          <w:bCs/>
          <w:sz w:val="24"/>
          <w:szCs w:val="24"/>
        </w:rPr>
        <w:t xml:space="preserve">) </w:t>
      </w:r>
      <w:r>
        <w:rPr>
          <w:rFonts w:hint="eastAsia" w:ascii="Times New Roman" w:hAnsi="Times New Roman" w:eastAsia="宋体" w:cs="Times New Roman"/>
          <w:sz w:val="24"/>
          <w:szCs w:val="24"/>
        </w:rPr>
        <w:t>B</w:t>
      </w:r>
      <w:r>
        <w:rPr>
          <w:rFonts w:ascii="Times New Roman" w:hAnsi="Times New Roman" w:eastAsia="宋体" w:cs="Times New Roman"/>
          <w:sz w:val="24"/>
          <w:szCs w:val="24"/>
        </w:rPr>
        <w:t xml:space="preserve">ar plot </w:t>
      </w:r>
      <w:r>
        <w:rPr>
          <w:rFonts w:hint="eastAsia" w:ascii="Times New Roman" w:hAnsi="Times New Roman" w:eastAsia="宋体" w:cs="Times New Roman"/>
          <w:sz w:val="24"/>
          <w:szCs w:val="24"/>
        </w:rPr>
        <w:t>illustrating</w:t>
      </w:r>
      <w:r>
        <w:rPr>
          <w:rFonts w:ascii="Times New Roman" w:hAnsi="Times New Roman" w:eastAsia="宋体" w:cs="Times New Roman"/>
          <w:sz w:val="24"/>
          <w:szCs w:val="24"/>
        </w:rPr>
        <w:t xml:space="preserve"> the distribution of ChIPseeker-derived annotations of the genomic loci covered by peaks of </w:t>
      </w:r>
      <w:r>
        <w:rPr>
          <w:rFonts w:hint="eastAsia" w:ascii="Times New Roman" w:hAnsi="Times New Roman" w:eastAsia="宋体" w:cs="Times New Roman"/>
          <w:sz w:val="24"/>
          <w:szCs w:val="24"/>
        </w:rPr>
        <w:t xml:space="preserve">GR-ChIP-seq </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D</w:t>
      </w:r>
      <w:r>
        <w:rPr>
          <w:rFonts w:ascii="Times New Roman" w:hAnsi="Times New Roman" w:eastAsia="宋体" w:cs="Times New Roman"/>
          <w:b/>
          <w:bCs/>
          <w:sz w:val="24"/>
          <w:szCs w:val="24"/>
        </w:rPr>
        <w:t>)</w:t>
      </w:r>
      <w:r>
        <w:rPr>
          <w:rFonts w:hint="eastAsia" w:ascii="Times New Roman" w:hAnsi="Times New Roman" w:eastAsia="宋体" w:cs="Times New Roman"/>
          <w:sz w:val="24"/>
          <w:szCs w:val="24"/>
        </w:rPr>
        <w:t xml:space="preserve">, GRIP1-CUT&amp;RUN </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E</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 xml:space="preserve"> </w:t>
      </w:r>
      <w:r>
        <w:rPr>
          <w:rFonts w:hint="eastAsia" w:ascii="Times New Roman" w:hAnsi="Times New Roman" w:eastAsia="宋体" w:cs="Times New Roman"/>
          <w:sz w:val="24"/>
          <w:szCs w:val="24"/>
        </w:rPr>
        <w:t xml:space="preserve">and H3K27ac-ChIP-seq </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F</w:t>
      </w:r>
      <w:r>
        <w:rPr>
          <w:rFonts w:ascii="Times New Roman" w:hAnsi="Times New Roman" w:eastAsia="宋体" w:cs="Times New Roman"/>
          <w:b/>
          <w:bCs/>
          <w:sz w:val="24"/>
          <w:szCs w:val="24"/>
        </w:rPr>
        <w:t>)</w:t>
      </w:r>
      <w:r>
        <w:rPr>
          <w:rFonts w:ascii="Times New Roman" w:hAnsi="Times New Roman" w:eastAsia="宋体" w:cs="Times New Roman"/>
          <w:sz w:val="24"/>
          <w:szCs w:val="24"/>
        </w:rPr>
        <w:t>.</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TES, transcriptional end site; TSS, transcriptional start site.</w:t>
      </w:r>
      <w:r>
        <w:rPr>
          <w:rFonts w:hint="eastAsia" w:ascii="Times New Roman" w:hAnsi="Times New Roman" w:eastAsia="宋体" w:cs="Times New Roman"/>
          <w:sz w:val="24"/>
          <w:szCs w:val="24"/>
        </w:rPr>
        <w:t xml:space="preserve"> </w:t>
      </w:r>
    </w:p>
    <w:p w14:paraId="64AA2B5D">
      <w:pPr>
        <w:widowControl w:val="0"/>
        <w:rPr>
          <w:rFonts w:ascii="Times New Roman" w:hAnsi="Times New Roman" w:eastAsia="宋体" w:cs="Times New Roman"/>
          <w:sz w:val="24"/>
          <w:szCs w:val="24"/>
        </w:rPr>
      </w:pPr>
    </w:p>
    <w:p w14:paraId="6F4E6BD8">
      <w:pPr>
        <w:widowControl w:val="0"/>
        <w:rPr>
          <w:rFonts w:ascii="Times New Roman" w:hAnsi="Times New Roman" w:eastAsia="宋体" w:cs="Times New Roman"/>
          <w:sz w:val="24"/>
          <w:szCs w:val="24"/>
        </w:rPr>
      </w:pPr>
    </w:p>
    <w:p w14:paraId="2E8C2E3D">
      <w:pPr>
        <w:widowControl w:val="0"/>
        <w:rPr>
          <w:rFonts w:ascii="Times New Roman" w:hAnsi="Times New Roman" w:eastAsia="宋体" w:cs="Times New Roman"/>
          <w:sz w:val="24"/>
          <w:szCs w:val="24"/>
        </w:rPr>
      </w:pPr>
    </w:p>
    <w:p w14:paraId="52D69BDF">
      <w:pPr>
        <w:widowControl w:val="0"/>
        <w:rPr>
          <w:rFonts w:ascii="Times New Roman" w:hAnsi="Times New Roman" w:eastAsia="宋体" w:cs="Times New Roman"/>
          <w:sz w:val="24"/>
          <w:szCs w:val="24"/>
        </w:rPr>
      </w:pPr>
    </w:p>
    <w:p w14:paraId="0E269F51">
      <w:pPr>
        <w:widowControl w:val="0"/>
        <w:spacing w:line="480" w:lineRule="auto"/>
        <w:rPr>
          <w:rFonts w:ascii="Times New Roman" w:hAnsi="Times New Roman" w:cs="Times New Roman"/>
          <w:b/>
          <w:bCs/>
          <w:sz w:val="24"/>
          <w:szCs w:val="24"/>
        </w:rPr>
      </w:pPr>
      <w:r>
        <w:rPr>
          <w:rFonts w:hint="eastAsia" w:ascii="Times New Roman" w:hAnsi="Times New Roman" w:eastAsia="宋体" w:cs="Times New Roman"/>
          <w:sz w:val="24"/>
          <w:szCs w:val="24"/>
        </w:rPr>
        <w:drawing>
          <wp:anchor distT="0" distB="0" distL="114300" distR="114300" simplePos="0" relativeHeight="251662336" behindDoc="0" locked="0" layoutInCell="1" allowOverlap="1">
            <wp:simplePos x="0" y="0"/>
            <wp:positionH relativeFrom="column">
              <wp:posOffset>0</wp:posOffset>
            </wp:positionH>
            <wp:positionV relativeFrom="paragraph">
              <wp:posOffset>-18415</wp:posOffset>
            </wp:positionV>
            <wp:extent cx="5126990" cy="1522730"/>
            <wp:effectExtent l="0" t="0" r="3810" b="1270"/>
            <wp:wrapTopAndBottom/>
            <wp:docPr id="40" name="图片 40" descr="supplementary 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supplementary figure 10"/>
                    <pic:cNvPicPr>
                      <a:picLocks noChangeAspect="1"/>
                    </pic:cNvPicPr>
                  </pic:nvPicPr>
                  <pic:blipFill>
                    <a:blip r:embed="rId13"/>
                    <a:stretch>
                      <a:fillRect/>
                    </a:stretch>
                  </pic:blipFill>
                  <pic:spPr>
                    <a:xfrm>
                      <a:off x="0" y="0"/>
                      <a:ext cx="5126990" cy="1522730"/>
                    </a:xfrm>
                    <a:prstGeom prst="rect">
                      <a:avLst/>
                    </a:prstGeom>
                  </pic:spPr>
                </pic:pic>
              </a:graphicData>
            </a:graphic>
          </wp:anchor>
        </w:drawing>
      </w:r>
      <w:r>
        <w:rPr>
          <w:rFonts w:hint="eastAsia" w:ascii="Times New Roman" w:hAnsi="Times New Roman" w:cs="Times New Roman"/>
          <w:b/>
          <w:bCs/>
          <w:sz w:val="24"/>
          <w:szCs w:val="24"/>
        </w:rPr>
        <w:t xml:space="preserve">Supplementary Figure 10 Generation of </w:t>
      </w:r>
      <w:r>
        <w:rPr>
          <w:rFonts w:hint="eastAsia" w:ascii="Times New Roman" w:hAnsi="Times New Roman" w:cs="Times New Roman"/>
          <w:b/>
          <w:bCs/>
          <w:i/>
          <w:iCs/>
          <w:sz w:val="24"/>
          <w:szCs w:val="24"/>
        </w:rPr>
        <w:t>CD163</w:t>
      </w:r>
      <w:r>
        <w:rPr>
          <w:rFonts w:hint="eastAsia" w:ascii="Times New Roman" w:hAnsi="Times New Roman" w:cs="Times New Roman"/>
          <w:b/>
          <w:bCs/>
          <w:i/>
          <w:iCs/>
          <w:sz w:val="24"/>
          <w:szCs w:val="24"/>
          <w:vertAlign w:val="superscript"/>
        </w:rPr>
        <w:t>-/-</w:t>
      </w:r>
      <w:r>
        <w:rPr>
          <w:rFonts w:hint="eastAsia" w:ascii="Times New Roman" w:hAnsi="Times New Roman" w:cs="Times New Roman"/>
          <w:b/>
          <w:bCs/>
          <w:sz w:val="24"/>
          <w:szCs w:val="24"/>
          <w:vertAlign w:val="superscript"/>
        </w:rPr>
        <w:t xml:space="preserve"> </w:t>
      </w:r>
      <w:r>
        <w:rPr>
          <w:rFonts w:hint="eastAsia" w:ascii="Times New Roman" w:hAnsi="Times New Roman" w:cs="Times New Roman"/>
          <w:b/>
          <w:bCs/>
          <w:sz w:val="24"/>
          <w:szCs w:val="24"/>
        </w:rPr>
        <w:t>mice.</w:t>
      </w:r>
      <w:r>
        <w:rPr>
          <w:rFonts w:ascii="Times New Roman" w:hAnsi="Times New Roman" w:cs="Times New Roman"/>
          <w:b/>
          <w:bCs/>
          <w:sz w:val="24"/>
          <w:szCs w:val="24"/>
        </w:rPr>
        <w:t xml:space="preserve"> </w:t>
      </w:r>
    </w:p>
    <w:p w14:paraId="7ABAB014">
      <w:pPr>
        <w:widowControl w:val="0"/>
        <w:numPr>
          <w:ilvl w:val="0"/>
          <w:numId w:val="9"/>
        </w:numPr>
        <w:spacing w:line="480" w:lineRule="auto"/>
        <w:ind w:left="60"/>
        <w:rPr>
          <w:rFonts w:ascii="Times New Roman" w:hAnsi="Times New Roman" w:cs="Times New Roman"/>
          <w:sz w:val="24"/>
          <w:szCs w:val="24"/>
        </w:rPr>
      </w:pPr>
      <w:r>
        <w:rPr>
          <w:rFonts w:ascii="Times New Roman" w:hAnsi="Times New Roman" w:cs="Times New Roman"/>
          <w:sz w:val="24"/>
          <w:szCs w:val="24"/>
        </w:rPr>
        <w:t>Schematic representation of the mouse CD163 gene locus</w:t>
      </w:r>
      <w:r>
        <w:rPr>
          <w:rFonts w:hint="eastAsia" w:ascii="Times New Roman" w:hAnsi="Times New Roman" w:cs="Times New Roman"/>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rPr>
        <w:t>highlighting</w:t>
      </w:r>
      <w:r>
        <w:rPr>
          <w:rFonts w:ascii="Times New Roman" w:hAnsi="Times New Roman" w:cs="Times New Roman"/>
          <w:sz w:val="24"/>
          <w:szCs w:val="24"/>
        </w:rPr>
        <w:t xml:space="preserve"> the exons and gene targeting site. The sgRNA (single-guide ribonucleic acid) target sequence is shown in green and the protospacer adjacent motif (PAM) </w:t>
      </w:r>
      <w:r>
        <w:rPr>
          <w:rFonts w:hint="eastAsia" w:ascii="Times New Roman" w:hAnsi="Times New Roman" w:cs="Times New Roman"/>
          <w:sz w:val="24"/>
          <w:szCs w:val="24"/>
        </w:rPr>
        <w:t xml:space="preserve">is </w:t>
      </w:r>
      <w:r>
        <w:rPr>
          <w:rFonts w:ascii="Times New Roman" w:hAnsi="Times New Roman" w:cs="Times New Roman"/>
          <w:sz w:val="24"/>
          <w:szCs w:val="24"/>
        </w:rPr>
        <w:t>in red. Sanger sequenc</w:t>
      </w:r>
      <w:r>
        <w:rPr>
          <w:rFonts w:hint="eastAsia" w:ascii="Times New Roman" w:hAnsi="Times New Roman" w:cs="Times New Roman"/>
          <w:sz w:val="24"/>
          <w:szCs w:val="24"/>
        </w:rPr>
        <w:t>ing</w:t>
      </w:r>
      <w:r>
        <w:rPr>
          <w:rFonts w:ascii="Times New Roman" w:hAnsi="Times New Roman" w:cs="Times New Roman"/>
          <w:sz w:val="24"/>
          <w:szCs w:val="24"/>
        </w:rPr>
        <w:t xml:space="preserve"> a</w:t>
      </w:r>
      <w:r>
        <w:rPr>
          <w:rFonts w:hint="eastAsia" w:ascii="Times New Roman" w:hAnsi="Times New Roman" w:cs="Times New Roman"/>
          <w:sz w:val="24"/>
          <w:szCs w:val="24"/>
        </w:rPr>
        <w:t>nalysis</w:t>
      </w:r>
      <w:r>
        <w:rPr>
          <w:rFonts w:ascii="Times New Roman" w:hAnsi="Times New Roman" w:cs="Times New Roman"/>
          <w:sz w:val="24"/>
          <w:szCs w:val="24"/>
        </w:rPr>
        <w:t xml:space="preserve"> for CRISPR-induced mutations in the CD163</w:t>
      </w:r>
      <w:r>
        <w:rPr>
          <w:rFonts w:hint="eastAsia" w:ascii="Times New Roman" w:hAnsi="Times New Roman" w:cs="Times New Roman"/>
          <w:sz w:val="24"/>
          <w:szCs w:val="24"/>
        </w:rPr>
        <w:t>-</w:t>
      </w:r>
      <w:r>
        <w:rPr>
          <w:rFonts w:ascii="Times New Roman" w:hAnsi="Times New Roman" w:cs="Times New Roman"/>
          <w:sz w:val="24"/>
          <w:szCs w:val="24"/>
        </w:rPr>
        <w:t>targeted region</w:t>
      </w:r>
      <w:r>
        <w:rPr>
          <w:rFonts w:hint="eastAsia" w:ascii="Times New Roman" w:hAnsi="Times New Roman" w:cs="Times New Roman"/>
          <w:sz w:val="24"/>
          <w:szCs w:val="24"/>
        </w:rPr>
        <w:t xml:space="preserve"> reveals a 7-base pair deletion (highlighted in the red box) compared to the wild type (WT)</w:t>
      </w:r>
      <w:r>
        <w:rPr>
          <w:rFonts w:ascii="Times New Roman" w:hAnsi="Times New Roman" w:cs="Times New Roman"/>
          <w:sz w:val="24"/>
          <w:szCs w:val="24"/>
        </w:rPr>
        <w:t xml:space="preserve">. </w:t>
      </w:r>
      <w:r>
        <w:rPr>
          <w:rFonts w:ascii="Times New Roman" w:hAnsi="Times New Roman" w:cs="Times New Roman"/>
          <w:b/>
          <w:bCs/>
          <w:sz w:val="24"/>
          <w:szCs w:val="24"/>
        </w:rPr>
        <w:t>(B)</w:t>
      </w:r>
      <w:r>
        <w:rPr>
          <w:rFonts w:ascii="Times New Roman" w:hAnsi="Times New Roman" w:cs="Times New Roman"/>
          <w:sz w:val="24"/>
          <w:szCs w:val="24"/>
        </w:rPr>
        <w:t xml:space="preserve"> Flow</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cytometry analysis of CD163 expression </w:t>
      </w:r>
      <w:r>
        <w:rPr>
          <w:rFonts w:hint="eastAsia" w:ascii="Times New Roman" w:hAnsi="Times New Roman" w:cs="Times New Roman"/>
          <w:sz w:val="24"/>
          <w:szCs w:val="24"/>
        </w:rPr>
        <w:t>on BM CD11b</w:t>
      </w:r>
      <w:r>
        <w:rPr>
          <w:rFonts w:ascii="Times New Roman" w:hAnsi="Times New Roman" w:cs="Times New Roman"/>
          <w:sz w:val="24"/>
          <w:szCs w:val="24"/>
          <w:vertAlign w:val="superscript"/>
        </w:rPr>
        <w:t>-</w:t>
      </w:r>
      <w:r>
        <w:rPr>
          <w:rFonts w:ascii="Times New Roman" w:hAnsi="Times New Roman" w:cs="Times New Roman"/>
          <w:sz w:val="24"/>
          <w:szCs w:val="24"/>
        </w:rPr>
        <w:t>F4/80</w:t>
      </w:r>
      <w:r>
        <w:rPr>
          <w:rFonts w:ascii="Times New Roman" w:hAnsi="Times New Roman" w:cs="Times New Roman"/>
          <w:sz w:val="24"/>
          <w:szCs w:val="24"/>
          <w:vertAlign w:val="superscript"/>
        </w:rPr>
        <w:t>+</w:t>
      </w:r>
      <w:r>
        <w:rPr>
          <w:rFonts w:ascii="Times New Roman" w:hAnsi="Times New Roman" w:cs="Times New Roman"/>
          <w:sz w:val="24"/>
          <w:szCs w:val="24"/>
        </w:rPr>
        <w:t xml:space="preserve"> macrophages </w:t>
      </w:r>
      <w:r>
        <w:rPr>
          <w:rFonts w:hint="eastAsia" w:ascii="Times New Roman" w:hAnsi="Times New Roman" w:cs="Times New Roman"/>
          <w:sz w:val="24"/>
          <w:szCs w:val="24"/>
        </w:rPr>
        <w:t>i</w:t>
      </w:r>
      <w:r>
        <w:rPr>
          <w:rFonts w:ascii="Times New Roman" w:hAnsi="Times New Roman" w:cs="Times New Roman"/>
          <w:sz w:val="24"/>
          <w:szCs w:val="24"/>
        </w:rPr>
        <w:t xml:space="preserve">n WT and </w:t>
      </w:r>
      <w:r>
        <w:rPr>
          <w:rFonts w:ascii="Times New Roman" w:hAnsi="Times New Roman" w:cs="Times New Roman"/>
          <w:i/>
          <w:iCs/>
          <w:sz w:val="24"/>
          <w:szCs w:val="24"/>
        </w:rPr>
        <w:t>CD163</w:t>
      </w:r>
      <w:r>
        <w:rPr>
          <w:rFonts w:ascii="Times New Roman" w:hAnsi="Times New Roman" w:cs="Times New Roman"/>
          <w:i/>
          <w:iCs/>
          <w:sz w:val="24"/>
          <w:szCs w:val="24"/>
          <w:vertAlign w:val="superscript"/>
        </w:rPr>
        <w:t>-/-</w:t>
      </w:r>
      <w:r>
        <w:rPr>
          <w:rFonts w:ascii="Times New Roman" w:hAnsi="Times New Roman" w:cs="Times New Roman"/>
          <w:sz w:val="24"/>
          <w:szCs w:val="24"/>
        </w:rPr>
        <w:t xml:space="preserve"> mice. </w:t>
      </w:r>
      <w:r>
        <w:rPr>
          <w:rFonts w:ascii="Times New Roman" w:hAnsi="Times New Roman" w:cs="Times New Roman"/>
          <w:b/>
          <w:bCs/>
          <w:sz w:val="24"/>
          <w:szCs w:val="24"/>
        </w:rPr>
        <w:t xml:space="preserve">(C) </w:t>
      </w:r>
      <w:r>
        <w:rPr>
          <w:rFonts w:ascii="Times New Roman" w:hAnsi="Times New Roman" w:cs="Times New Roman"/>
          <w:sz w:val="24"/>
          <w:szCs w:val="24"/>
        </w:rPr>
        <w:t>Statistical analysis</w:t>
      </w:r>
      <w:r>
        <w:rPr>
          <w:rFonts w:hint="eastAsia" w:ascii="Times New Roman" w:hAnsi="Times New Roman" w:cs="Times New Roman"/>
          <w:sz w:val="24"/>
          <w:szCs w:val="24"/>
        </w:rPr>
        <w:t xml:space="preserve"> of the</w:t>
      </w:r>
      <w:r>
        <w:rPr>
          <w:rFonts w:ascii="Times New Roman" w:hAnsi="Times New Roman" w:cs="Times New Roman"/>
          <w:sz w:val="24"/>
          <w:szCs w:val="24"/>
        </w:rPr>
        <w:t xml:space="preserve"> percentage of </w:t>
      </w:r>
      <w:r>
        <w:rPr>
          <w:rFonts w:hint="eastAsia" w:ascii="Times New Roman" w:hAnsi="Times New Roman" w:cs="Times New Roman"/>
          <w:sz w:val="24"/>
          <w:szCs w:val="24"/>
        </w:rPr>
        <w:t xml:space="preserve">BM </w:t>
      </w:r>
      <w:r>
        <w:rPr>
          <w:rFonts w:ascii="Times New Roman" w:hAnsi="Times New Roman" w:cs="Times New Roman"/>
          <w:sz w:val="24"/>
          <w:szCs w:val="24"/>
        </w:rPr>
        <w:t>CD163</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CD11b</w:t>
      </w:r>
      <w:r>
        <w:rPr>
          <w:rFonts w:ascii="Times New Roman" w:hAnsi="Times New Roman" w:cs="Times New Roman"/>
          <w:sz w:val="24"/>
          <w:szCs w:val="24"/>
          <w:vertAlign w:val="superscript"/>
        </w:rPr>
        <w:t>-</w:t>
      </w:r>
      <w:r>
        <w:rPr>
          <w:rFonts w:ascii="Times New Roman" w:hAnsi="Times New Roman" w:cs="Times New Roman"/>
          <w:sz w:val="24"/>
          <w:szCs w:val="24"/>
        </w:rPr>
        <w:t>F4/80</w:t>
      </w:r>
      <w:r>
        <w:rPr>
          <w:rFonts w:ascii="Times New Roman" w:hAnsi="Times New Roman" w:cs="Times New Roman"/>
          <w:sz w:val="24"/>
          <w:szCs w:val="24"/>
          <w:vertAlign w:val="superscript"/>
        </w:rPr>
        <w:t>+</w:t>
      </w:r>
      <w:r>
        <w:rPr>
          <w:rFonts w:ascii="Times New Roman" w:hAnsi="Times New Roman" w:cs="Times New Roman"/>
          <w:sz w:val="24"/>
          <w:szCs w:val="24"/>
        </w:rPr>
        <w:t xml:space="preserve"> macrophages </w:t>
      </w:r>
      <w:r>
        <w:rPr>
          <w:rFonts w:hint="eastAsia" w:ascii="Times New Roman" w:hAnsi="Times New Roman" w:cs="Times New Roman"/>
          <w:sz w:val="24"/>
          <w:szCs w:val="24"/>
        </w:rPr>
        <w:t>i</w:t>
      </w:r>
      <w:r>
        <w:rPr>
          <w:rFonts w:ascii="Times New Roman" w:hAnsi="Times New Roman" w:cs="Times New Roman"/>
          <w:sz w:val="24"/>
          <w:szCs w:val="24"/>
        </w:rPr>
        <w:t xml:space="preserve">n WT and </w:t>
      </w:r>
      <w:r>
        <w:rPr>
          <w:rFonts w:ascii="Times New Roman" w:hAnsi="Times New Roman" w:cs="Times New Roman"/>
          <w:i/>
          <w:iCs/>
          <w:sz w:val="24"/>
          <w:szCs w:val="24"/>
        </w:rPr>
        <w:t>CD163</w:t>
      </w:r>
      <w:r>
        <w:rPr>
          <w:rFonts w:ascii="Times New Roman" w:hAnsi="Times New Roman" w:cs="Times New Roman"/>
          <w:i/>
          <w:iCs/>
          <w:sz w:val="24"/>
          <w:szCs w:val="24"/>
          <w:vertAlign w:val="superscript"/>
        </w:rPr>
        <w:t>-/-</w:t>
      </w:r>
      <w:r>
        <w:rPr>
          <w:rFonts w:ascii="Times New Roman" w:hAnsi="Times New Roman" w:cs="Times New Roman"/>
          <w:sz w:val="24"/>
          <w:szCs w:val="24"/>
        </w:rPr>
        <w:t xml:space="preserve"> mice </w:t>
      </w:r>
      <w:r>
        <w:rPr>
          <w:rFonts w:hint="eastAsia" w:ascii="Times New Roman" w:hAnsi="Times New Roman" w:cs="Times New Roman"/>
          <w:sz w:val="24"/>
          <w:szCs w:val="24"/>
        </w:rPr>
        <w:t>(n=6)</w:t>
      </w:r>
      <w:r>
        <w:rPr>
          <w:rFonts w:ascii="Times New Roman" w:hAnsi="Times New Roman" w:cs="Times New Roman"/>
          <w:sz w:val="24"/>
          <w:szCs w:val="24"/>
        </w:rPr>
        <w:t xml:space="preserve">. </w:t>
      </w:r>
      <w:r>
        <w:rPr>
          <w:rFonts w:ascii="Times New Roman" w:hAnsi="Times New Roman" w:cs="Times New Roman"/>
          <w:b/>
          <w:bCs/>
          <w:sz w:val="24"/>
          <w:szCs w:val="24"/>
        </w:rPr>
        <w:t xml:space="preserve">(D) </w:t>
      </w:r>
      <w:r>
        <w:rPr>
          <w:rFonts w:ascii="Times New Roman" w:hAnsi="Times New Roman" w:cs="Times New Roman"/>
          <w:sz w:val="24"/>
          <w:szCs w:val="24"/>
        </w:rPr>
        <w:t xml:space="preserve">Quantitative analysis </w:t>
      </w:r>
      <w:r>
        <w:rPr>
          <w:rFonts w:hint="eastAsia" w:ascii="Times New Roman" w:hAnsi="Times New Roman" w:cs="Times New Roman"/>
          <w:sz w:val="24"/>
          <w:szCs w:val="24"/>
        </w:rPr>
        <w:t>of the mean fluorescence intensity (MFI)</w:t>
      </w:r>
      <w:r>
        <w:rPr>
          <w:rFonts w:ascii="Times New Roman" w:hAnsi="Times New Roman" w:cs="Times New Roman"/>
          <w:sz w:val="24"/>
          <w:szCs w:val="24"/>
        </w:rPr>
        <w:t xml:space="preserve"> of CD163 on F4/80</w:t>
      </w:r>
      <w:r>
        <w:rPr>
          <w:rFonts w:ascii="Times New Roman" w:hAnsi="Times New Roman" w:cs="Times New Roman"/>
          <w:sz w:val="24"/>
          <w:szCs w:val="24"/>
          <w:vertAlign w:val="superscript"/>
        </w:rPr>
        <w:t>+</w:t>
      </w:r>
      <w:r>
        <w:rPr>
          <w:rFonts w:ascii="Times New Roman" w:hAnsi="Times New Roman" w:cs="Times New Roman"/>
          <w:sz w:val="24"/>
          <w:szCs w:val="24"/>
        </w:rPr>
        <w:t xml:space="preserve"> macrophages </w:t>
      </w:r>
      <w:r>
        <w:rPr>
          <w:rFonts w:hint="eastAsia" w:ascii="Times New Roman" w:hAnsi="Times New Roman" w:cs="Times New Roman"/>
          <w:sz w:val="24"/>
          <w:szCs w:val="24"/>
        </w:rPr>
        <w:t>i</w:t>
      </w:r>
      <w:r>
        <w:rPr>
          <w:rFonts w:ascii="Times New Roman" w:hAnsi="Times New Roman" w:cs="Times New Roman"/>
          <w:sz w:val="24"/>
          <w:szCs w:val="24"/>
        </w:rPr>
        <w:t xml:space="preserve">n WT and </w:t>
      </w:r>
      <w:r>
        <w:rPr>
          <w:rFonts w:ascii="Times New Roman" w:hAnsi="Times New Roman" w:cs="Times New Roman"/>
          <w:i/>
          <w:iCs/>
          <w:sz w:val="24"/>
          <w:szCs w:val="24"/>
        </w:rPr>
        <w:t>CD163</w:t>
      </w:r>
      <w:r>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r>
        <w:rPr>
          <w:rFonts w:ascii="Times New Roman" w:hAnsi="Times New Roman" w:cs="Times New Roman"/>
          <w:sz w:val="24"/>
          <w:szCs w:val="24"/>
        </w:rPr>
        <w:t>mice</w:t>
      </w:r>
      <w:r>
        <w:rPr>
          <w:rFonts w:hint="eastAsia" w:ascii="Times New Roman" w:hAnsi="Times New Roman" w:cs="Times New Roman"/>
          <w:sz w:val="24"/>
          <w:szCs w:val="24"/>
        </w:rPr>
        <w:t xml:space="preserve"> (n=6)</w:t>
      </w:r>
      <w:r>
        <w:rPr>
          <w:rFonts w:ascii="Times New Roman" w:hAnsi="Times New Roman" w:cs="Times New Roman"/>
          <w:sz w:val="24"/>
          <w:szCs w:val="24"/>
        </w:rPr>
        <w:t>.</w:t>
      </w:r>
      <w:r>
        <w:rPr>
          <w:rFonts w:hint="eastAsia" w:ascii="Times New Roman" w:hAnsi="Times New Roman" w:cs="Times New Roman"/>
          <w:b/>
          <w:bCs/>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0.05,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0.01,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0.001.</w:t>
      </w:r>
      <w:r>
        <w:rPr>
          <w:rFonts w:ascii="Times New Roman" w:hAnsi="Times New Roman" w:cs="Times New Roman"/>
          <w:sz w:val="24"/>
          <w:szCs w:val="24"/>
        </w:rPr>
        <w:t xml:space="preserve">  NS, not significant.</w:t>
      </w:r>
    </w:p>
    <w:p w14:paraId="6701DE4F">
      <w:pPr>
        <w:widowControl w:val="0"/>
        <w:rPr>
          <w:rFonts w:ascii="Times New Roman" w:hAnsi="Times New Roman" w:cs="Times New Roman"/>
          <w:sz w:val="24"/>
          <w:szCs w:val="24"/>
        </w:rPr>
      </w:pPr>
    </w:p>
    <w:p w14:paraId="4DBA5E08">
      <w:pPr>
        <w:widowControl w:val="0"/>
        <w:rPr>
          <w:rFonts w:ascii="Times New Roman" w:hAnsi="Times New Roman" w:cs="Times New Roman"/>
          <w:sz w:val="24"/>
          <w:szCs w:val="24"/>
        </w:rPr>
      </w:pPr>
    </w:p>
    <w:p w14:paraId="01B630E0">
      <w:pPr>
        <w:widowControl w:val="0"/>
        <w:rPr>
          <w:rFonts w:ascii="Times New Roman" w:hAnsi="Times New Roman" w:cs="Times New Roman"/>
          <w:sz w:val="24"/>
          <w:szCs w:val="24"/>
        </w:rPr>
      </w:pPr>
    </w:p>
    <w:p w14:paraId="457DBE4B">
      <w:pPr>
        <w:widowControl w:val="0"/>
        <w:rPr>
          <w:rFonts w:ascii="Times New Roman" w:hAnsi="Times New Roman" w:cs="Times New Roman"/>
          <w:sz w:val="24"/>
          <w:szCs w:val="24"/>
        </w:rPr>
      </w:pPr>
    </w:p>
    <w:p w14:paraId="03FA1094">
      <w:pPr>
        <w:widowControl w:val="0"/>
        <w:rPr>
          <w:rFonts w:ascii="Times New Roman" w:hAnsi="Times New Roman" w:cs="Times New Roman"/>
          <w:sz w:val="24"/>
          <w:szCs w:val="24"/>
        </w:rPr>
      </w:pPr>
    </w:p>
    <w:p w14:paraId="2B5AB344">
      <w:pPr>
        <w:widowControl w:val="0"/>
        <w:rPr>
          <w:rFonts w:ascii="Times New Roman" w:hAnsi="Times New Roman" w:cs="Times New Roman"/>
          <w:sz w:val="24"/>
          <w:szCs w:val="24"/>
        </w:rPr>
      </w:pPr>
    </w:p>
    <w:p w14:paraId="519C05B4">
      <w:pPr>
        <w:widowControl w:val="0"/>
        <w:spacing w:line="480" w:lineRule="auto"/>
        <w:rPr>
          <w:rFonts w:ascii="Times New Roman" w:hAnsi="Times New Roman" w:cs="Times New Roman"/>
          <w:b/>
          <w:bCs/>
          <w:sz w:val="24"/>
          <w:szCs w:val="24"/>
        </w:rPr>
      </w:pPr>
      <w:r>
        <w:rPr>
          <w:rFonts w:hint="eastAsia" w:ascii="Times New Roman" w:hAnsi="Times New Roman" w:cs="Times New Roman"/>
          <w:sz w:val="24"/>
          <w:szCs w:val="24"/>
        </w:rPr>
        <w:drawing>
          <wp:anchor distT="0" distB="0" distL="114300" distR="114300" simplePos="0" relativeHeight="251663360" behindDoc="0" locked="0" layoutInCell="1" allowOverlap="1">
            <wp:simplePos x="0" y="0"/>
            <wp:positionH relativeFrom="column">
              <wp:posOffset>119380</wp:posOffset>
            </wp:positionH>
            <wp:positionV relativeFrom="paragraph">
              <wp:posOffset>125730</wp:posOffset>
            </wp:positionV>
            <wp:extent cx="5238750" cy="4264660"/>
            <wp:effectExtent l="0" t="0" r="6350" b="2540"/>
            <wp:wrapTopAndBottom/>
            <wp:docPr id="41" name="图片 41" descr="supplementary 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supplementary figure 11"/>
                    <pic:cNvPicPr>
                      <a:picLocks noChangeAspect="1"/>
                    </pic:cNvPicPr>
                  </pic:nvPicPr>
                  <pic:blipFill>
                    <a:blip r:embed="rId14"/>
                    <a:srcRect r="16244"/>
                    <a:stretch>
                      <a:fillRect/>
                    </a:stretch>
                  </pic:blipFill>
                  <pic:spPr>
                    <a:xfrm>
                      <a:off x="0" y="0"/>
                      <a:ext cx="5238750" cy="4264660"/>
                    </a:xfrm>
                    <a:prstGeom prst="rect">
                      <a:avLst/>
                    </a:prstGeom>
                  </pic:spPr>
                </pic:pic>
              </a:graphicData>
            </a:graphic>
          </wp:anchor>
        </w:drawing>
      </w:r>
      <w:r>
        <w:rPr>
          <w:rFonts w:hint="eastAsia" w:ascii="Times New Roman" w:hAnsi="Times New Roman" w:cs="Times New Roman"/>
          <w:b/>
          <w:bCs/>
          <w:sz w:val="24"/>
          <w:szCs w:val="24"/>
        </w:rPr>
        <w:t>Supplementary Figure 11 Deletion of CD163 on macrophages decreased the effects of glucocorticoids in promoting the production of erythroid cells.</w:t>
      </w:r>
    </w:p>
    <w:p w14:paraId="6993A799">
      <w:pPr>
        <w:widowControl w:val="0"/>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Plot of CD71 versus c-Kit of 7AAD</w:t>
      </w:r>
      <w:r>
        <w:rPr>
          <w:rFonts w:ascii="Times New Roman" w:hAnsi="Times New Roman" w:cs="Times New Roman"/>
          <w:sz w:val="24"/>
          <w:szCs w:val="24"/>
          <w:vertAlign w:val="superscript"/>
        </w:rPr>
        <w:t>-</w:t>
      </w:r>
      <w:r>
        <w:rPr>
          <w:rFonts w:ascii="Times New Roman" w:hAnsi="Times New Roman" w:cs="Times New Roman"/>
          <w:sz w:val="24"/>
          <w:szCs w:val="24"/>
        </w:rPr>
        <w:t>Lin</w:t>
      </w:r>
      <w:r>
        <w:rPr>
          <w:rFonts w:ascii="Times New Roman" w:hAnsi="Times New Roman" w:cs="Times New Roman"/>
          <w:sz w:val="24"/>
          <w:szCs w:val="24"/>
          <w:vertAlign w:val="superscript"/>
        </w:rPr>
        <w:t>-</w:t>
      </w:r>
      <w:r>
        <w:rPr>
          <w:rFonts w:ascii="Times New Roman" w:hAnsi="Times New Roman" w:cs="Times New Roman"/>
          <w:sz w:val="24"/>
          <w:szCs w:val="24"/>
        </w:rPr>
        <w:t>CD16</w:t>
      </w:r>
      <w:r>
        <w:rPr>
          <w:rFonts w:ascii="Times New Roman" w:hAnsi="Times New Roman" w:cs="Times New Roman"/>
          <w:sz w:val="24"/>
          <w:szCs w:val="24"/>
          <w:vertAlign w:val="superscript"/>
        </w:rPr>
        <w:t>-</w:t>
      </w:r>
      <w:r>
        <w:rPr>
          <w:rFonts w:ascii="Times New Roman" w:hAnsi="Times New Roman" w:cs="Times New Roman"/>
          <w:sz w:val="24"/>
          <w:szCs w:val="24"/>
        </w:rPr>
        <w:t>CD32</w:t>
      </w:r>
      <w:r>
        <w:rPr>
          <w:rFonts w:ascii="Times New Roman" w:hAnsi="Times New Roman" w:cs="Times New Roman"/>
          <w:sz w:val="24"/>
          <w:szCs w:val="24"/>
          <w:vertAlign w:val="superscript"/>
        </w:rPr>
        <w:t>-</w:t>
      </w:r>
      <w:r>
        <w:rPr>
          <w:rFonts w:ascii="Times New Roman" w:hAnsi="Times New Roman" w:cs="Times New Roman"/>
          <w:sz w:val="24"/>
          <w:szCs w:val="24"/>
        </w:rPr>
        <w:t>CD41</w:t>
      </w:r>
      <w:r>
        <w:rPr>
          <w:rFonts w:ascii="Times New Roman" w:hAnsi="Times New Roman" w:cs="Times New Roman"/>
          <w:sz w:val="24"/>
          <w:szCs w:val="24"/>
          <w:vertAlign w:val="superscript"/>
        </w:rPr>
        <w:t>-</w:t>
      </w:r>
      <w:r>
        <w:rPr>
          <w:rFonts w:ascii="Times New Roman" w:hAnsi="Times New Roman" w:cs="Times New Roman"/>
          <w:sz w:val="24"/>
          <w:szCs w:val="24"/>
        </w:rPr>
        <w:t>CD34</w:t>
      </w:r>
      <w:r>
        <w:rPr>
          <w:rFonts w:ascii="Times New Roman" w:hAnsi="Times New Roman" w:cs="Times New Roman"/>
          <w:sz w:val="24"/>
          <w:szCs w:val="24"/>
          <w:vertAlign w:val="superscript"/>
        </w:rPr>
        <w:t>-</w:t>
      </w:r>
      <w:r>
        <w:rPr>
          <w:rFonts w:ascii="Times New Roman" w:hAnsi="Times New Roman" w:cs="Times New Roman"/>
          <w:sz w:val="24"/>
          <w:szCs w:val="24"/>
        </w:rPr>
        <w:t>Sca1</w:t>
      </w:r>
      <w:r>
        <w:rPr>
          <w:rFonts w:ascii="Times New Roman" w:hAnsi="Times New Roman" w:cs="Times New Roman"/>
          <w:sz w:val="24"/>
          <w:szCs w:val="24"/>
          <w:vertAlign w:val="superscript"/>
        </w:rPr>
        <w:t>-</w:t>
      </w:r>
      <w:r>
        <w:rPr>
          <w:rFonts w:ascii="Times New Roman" w:hAnsi="Times New Roman" w:cs="Times New Roman"/>
          <w:sz w:val="24"/>
          <w:szCs w:val="24"/>
        </w:rPr>
        <w:t xml:space="preserve">cells revealing three populations in BM of WT and </w:t>
      </w:r>
      <w:r>
        <w:rPr>
          <w:rFonts w:ascii="Times New Roman" w:hAnsi="Times New Roman" w:cs="Times New Roman"/>
          <w:i/>
          <w:iCs/>
          <w:sz w:val="24"/>
          <w:szCs w:val="24"/>
        </w:rPr>
        <w:t>CD163</w:t>
      </w:r>
      <w:r>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mice on day 7 after treatment with DEX or PBS. </w:t>
      </w:r>
      <w:r>
        <w:rPr>
          <w:rFonts w:ascii="Times New Roman" w:hAnsi="Times New Roman" w:cs="Times New Roman"/>
          <w:b/>
          <w:bCs/>
          <w:sz w:val="24"/>
          <w:szCs w:val="24"/>
        </w:rPr>
        <w:t>(B)</w:t>
      </w:r>
      <w:r>
        <w:rPr>
          <w:rFonts w:ascii="Times New Roman" w:hAnsi="Times New Roman" w:cs="Times New Roman"/>
          <w:sz w:val="24"/>
          <w:szCs w:val="24"/>
        </w:rPr>
        <w:t xml:space="preserve"> Representative plot of CD44 versus FSC of Ter119</w:t>
      </w:r>
      <w:r>
        <w:rPr>
          <w:rFonts w:ascii="Times New Roman" w:hAnsi="Times New Roman" w:cs="Times New Roman"/>
          <w:sz w:val="24"/>
          <w:szCs w:val="24"/>
          <w:vertAlign w:val="superscript"/>
        </w:rPr>
        <w:t>+</w:t>
      </w:r>
      <w:r>
        <w:rPr>
          <w:rFonts w:ascii="Times New Roman" w:hAnsi="Times New Roman" w:cs="Times New Roman"/>
          <w:sz w:val="24"/>
          <w:szCs w:val="24"/>
        </w:rPr>
        <w:t xml:space="preserve">cells revealing different staged erythroid cells in BM of WT and </w:t>
      </w:r>
      <w:r>
        <w:rPr>
          <w:rFonts w:ascii="Times New Roman" w:hAnsi="Times New Roman" w:cs="Times New Roman"/>
          <w:i/>
          <w:iCs/>
          <w:sz w:val="24"/>
          <w:szCs w:val="24"/>
        </w:rPr>
        <w:t>CD163</w:t>
      </w:r>
      <w:r>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mice on day 7 after treatment with DEX or PBS. </w:t>
      </w:r>
      <w:r>
        <w:rPr>
          <w:rFonts w:ascii="Times New Roman" w:hAnsi="Times New Roman" w:cs="Times New Roman"/>
          <w:b/>
          <w:bCs/>
          <w:sz w:val="24"/>
          <w:szCs w:val="24"/>
        </w:rPr>
        <w:t>(C)</w:t>
      </w:r>
      <w:r>
        <w:rPr>
          <w:rFonts w:ascii="Times New Roman" w:hAnsi="Times New Roman" w:cs="Times New Roman"/>
          <w:sz w:val="24"/>
          <w:szCs w:val="24"/>
        </w:rPr>
        <w:t xml:space="preserve"> Representative cytospin images of EBIs formed by WT and</w:t>
      </w:r>
      <w:r>
        <w:rPr>
          <w:rFonts w:ascii="Times New Roman" w:hAnsi="Times New Roman" w:cs="Times New Roman"/>
          <w:i/>
          <w:iCs/>
          <w:sz w:val="24"/>
          <w:szCs w:val="24"/>
        </w:rPr>
        <w:t xml:space="preserve"> CD163</w:t>
      </w:r>
      <w:r>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r>
        <w:rPr>
          <w:rFonts w:ascii="Times New Roman" w:hAnsi="Times New Roman" w:cs="Times New Roman"/>
          <w:sz w:val="24"/>
          <w:szCs w:val="24"/>
        </w:rPr>
        <w:t>mice on day 7 after treatment with DEX or PBS, scale bar,</w:t>
      </w:r>
      <w:r>
        <w:rPr>
          <w:rFonts w:ascii="Times New Roman" w:hAnsi="Times New Roman" w:cs="Times New Roman"/>
          <w:b/>
          <w:bCs/>
          <w:sz w:val="24"/>
          <w:szCs w:val="24"/>
        </w:rPr>
        <w:t xml:space="preserve"> </w:t>
      </w:r>
      <w:r>
        <w:rPr>
          <w:rFonts w:ascii="Times New Roman" w:hAnsi="Times New Roman" w:cs="Times New Roman"/>
          <w:sz w:val="24"/>
          <w:szCs w:val="24"/>
        </w:rPr>
        <w:t>10µm.</w:t>
      </w:r>
      <w:r>
        <w:rPr>
          <w:rFonts w:hint="eastAsia" w:ascii="Times New Roman" w:hAnsi="Times New Roman" w:cs="Times New Roman"/>
          <w:sz w:val="24"/>
          <w:szCs w:val="24"/>
        </w:rPr>
        <w:t xml:space="preserve"> </w:t>
      </w:r>
      <w:r>
        <w:rPr>
          <w:rFonts w:ascii="Times New Roman" w:hAnsi="Times New Roman" w:cs="Times New Roman"/>
          <w:b/>
          <w:bCs/>
          <w:sz w:val="24"/>
          <w:szCs w:val="24"/>
        </w:rPr>
        <w:t xml:space="preserve">(D) </w:t>
      </w:r>
      <w:r>
        <w:rPr>
          <w:rFonts w:ascii="Times New Roman" w:hAnsi="Times New Roman" w:cs="Times New Roman"/>
          <w:sz w:val="24"/>
          <w:szCs w:val="24"/>
        </w:rPr>
        <w:t>Quantitative analysis of s</w:t>
      </w:r>
      <w:r>
        <w:rPr>
          <w:rFonts w:hint="eastAsia" w:ascii="Times New Roman" w:hAnsi="Times New Roman" w:cs="Times New Roman"/>
          <w:sz w:val="24"/>
          <w:szCs w:val="24"/>
        </w:rPr>
        <w:t>eru</w:t>
      </w:r>
      <w:r>
        <w:rPr>
          <w:rFonts w:ascii="Times New Roman" w:hAnsi="Times New Roman" w:cs="Times New Roman"/>
          <w:sz w:val="24"/>
          <w:szCs w:val="24"/>
        </w:rPr>
        <w:t xml:space="preserve">m Fe, UIBC and TIBC between WT and </w:t>
      </w:r>
      <w:r>
        <w:rPr>
          <w:rFonts w:ascii="Times New Roman" w:hAnsi="Times New Roman" w:cs="Times New Roman"/>
          <w:i/>
          <w:iCs/>
          <w:sz w:val="24"/>
          <w:szCs w:val="24"/>
        </w:rPr>
        <w:t>CD163</w:t>
      </w:r>
      <w:r>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r>
        <w:rPr>
          <w:rFonts w:ascii="Times New Roman" w:hAnsi="Times New Roman" w:cs="Times New Roman"/>
          <w:sz w:val="24"/>
          <w:szCs w:val="24"/>
        </w:rPr>
        <w:t>mice on day 7 after treatment with DEX or PBS</w:t>
      </w:r>
      <w:r>
        <w:rPr>
          <w:rFonts w:hint="eastAsia" w:ascii="Times New Roman" w:hAnsi="Times New Roman" w:cs="Times New Roman"/>
          <w:sz w:val="24"/>
          <w:szCs w:val="24"/>
        </w:rPr>
        <w:t xml:space="preserve"> (n=12)</w:t>
      </w:r>
      <w:r>
        <w:rPr>
          <w:rFonts w:ascii="Times New Roman" w:hAnsi="Times New Roman" w:cs="Times New Roman"/>
          <w:sz w:val="24"/>
          <w:szCs w:val="24"/>
        </w:rPr>
        <w:t xml:space="preserve">. </w:t>
      </w:r>
      <w:r>
        <w:rPr>
          <w:rFonts w:ascii="Times New Roman" w:hAnsi="Times New Roman" w:cs="Times New Roman"/>
          <w:b/>
          <w:bCs/>
          <w:sz w:val="24"/>
          <w:szCs w:val="24"/>
        </w:rPr>
        <w:t>(E)</w:t>
      </w:r>
      <w:r>
        <w:rPr>
          <w:rFonts w:ascii="Times New Roman" w:hAnsi="Times New Roman" w:cs="Times New Roman"/>
          <w:sz w:val="24"/>
          <w:szCs w:val="24"/>
        </w:rPr>
        <w:t xml:space="preserve"> Representative </w:t>
      </w:r>
      <w:r>
        <w:rPr>
          <w:rFonts w:hint="eastAsia" w:ascii="Times New Roman" w:hAnsi="Times New Roman" w:cs="Times New Roman"/>
          <w:sz w:val="24"/>
          <w:szCs w:val="24"/>
        </w:rPr>
        <w:t>Perl's Prussian blue</w:t>
      </w:r>
      <w:r>
        <w:rPr>
          <w:rFonts w:ascii="Times New Roman" w:hAnsi="Times New Roman" w:cs="Times New Roman"/>
          <w:sz w:val="24"/>
          <w:szCs w:val="24"/>
        </w:rPr>
        <w:t xml:space="preserve"> staining images for iron in EBI</w:t>
      </w:r>
      <w:r>
        <w:rPr>
          <w:rFonts w:hint="eastAsia" w:ascii="Times New Roman" w:hAnsi="Times New Roman" w:cs="Times New Roman"/>
          <w:sz w:val="24"/>
          <w:szCs w:val="24"/>
        </w:rPr>
        <w:t xml:space="preserve"> in WT and </w:t>
      </w:r>
      <w:r>
        <w:rPr>
          <w:rFonts w:hint="eastAsia" w:ascii="Times New Roman" w:hAnsi="Times New Roman" w:cs="Times New Roman"/>
          <w:i/>
          <w:iCs/>
          <w:sz w:val="24"/>
          <w:szCs w:val="24"/>
        </w:rPr>
        <w:t>CD163</w:t>
      </w:r>
      <w:r>
        <w:rPr>
          <w:rFonts w:hint="eastAsia" w:ascii="Times New Roman" w:hAnsi="Times New Roman" w:cs="Times New Roman"/>
          <w:i/>
          <w:iCs/>
          <w:sz w:val="24"/>
          <w:szCs w:val="24"/>
          <w:vertAlign w:val="superscript"/>
        </w:rPr>
        <w:t xml:space="preserve">-/- </w:t>
      </w:r>
      <w:r>
        <w:rPr>
          <w:rFonts w:hint="eastAsia" w:ascii="Times New Roman" w:hAnsi="Times New Roman" w:cs="Times New Roman"/>
          <w:sz w:val="24"/>
          <w:szCs w:val="24"/>
        </w:rPr>
        <w:t xml:space="preserve">mice treated with </w:t>
      </w:r>
      <w:r>
        <w:rPr>
          <w:rFonts w:ascii="Times New Roman" w:hAnsi="Times New Roman" w:cs="Times New Roman"/>
          <w:sz w:val="24"/>
          <w:szCs w:val="24"/>
        </w:rPr>
        <w:t>PBS</w:t>
      </w:r>
      <w:r>
        <w:rPr>
          <w:rFonts w:hint="eastAsia" w:ascii="Times New Roman" w:hAnsi="Times New Roman" w:cs="Times New Roman"/>
          <w:sz w:val="24"/>
          <w:szCs w:val="24"/>
        </w:rPr>
        <w:t xml:space="preserve"> or </w:t>
      </w:r>
      <w:r>
        <w:rPr>
          <w:rFonts w:ascii="Times New Roman" w:hAnsi="Times New Roman" w:cs="Times New Roman"/>
          <w:sz w:val="24"/>
          <w:szCs w:val="24"/>
        </w:rPr>
        <w:t xml:space="preserve">DEX on </w:t>
      </w:r>
      <w:r>
        <w:rPr>
          <w:rFonts w:hint="eastAsia" w:ascii="Times New Roman" w:hAnsi="Times New Roman" w:cs="Times New Roman"/>
          <w:sz w:val="24"/>
          <w:szCs w:val="24"/>
        </w:rPr>
        <w:t>day 7</w:t>
      </w:r>
      <w:r>
        <w:rPr>
          <w:rFonts w:ascii="Times New Roman" w:hAnsi="Times New Roman" w:cs="Times New Roman"/>
          <w:sz w:val="24"/>
          <w:szCs w:val="24"/>
        </w:rPr>
        <w:t>, scale bar,</w:t>
      </w:r>
      <w:r>
        <w:rPr>
          <w:rFonts w:ascii="Times New Roman" w:hAnsi="Times New Roman" w:cs="Times New Roman"/>
          <w:b/>
          <w:bCs/>
          <w:sz w:val="24"/>
          <w:szCs w:val="24"/>
        </w:rPr>
        <w:t xml:space="preserve"> </w:t>
      </w:r>
      <w:r>
        <w:rPr>
          <w:rFonts w:hint="eastAsia" w:ascii="Times New Roman" w:hAnsi="Times New Roman" w:cs="Times New Roman"/>
          <w:sz w:val="24"/>
          <w:szCs w:val="24"/>
        </w:rPr>
        <w:t>5</w:t>
      </w:r>
      <w:r>
        <w:rPr>
          <w:rFonts w:ascii="Times New Roman" w:hAnsi="Times New Roman" w:cs="Times New Roman"/>
          <w:sz w:val="24"/>
          <w:szCs w:val="24"/>
        </w:rPr>
        <w:t>0µm.</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 xml:space="preserve">(F) </w:t>
      </w:r>
      <w:r>
        <w:rPr>
          <w:rFonts w:ascii="Times New Roman" w:hAnsi="Times New Roman" w:cs="Times New Roman"/>
          <w:sz w:val="24"/>
          <w:szCs w:val="24"/>
        </w:rPr>
        <w:t xml:space="preserve">Representative Perls’ Prussian blue staining images for iron in EBI formed by WT and </w:t>
      </w:r>
      <w:r>
        <w:rPr>
          <w:rFonts w:ascii="Times New Roman" w:hAnsi="Times New Roman" w:cs="Times New Roman"/>
          <w:i/>
          <w:iCs/>
          <w:sz w:val="24"/>
          <w:szCs w:val="24"/>
        </w:rPr>
        <w:t>CD163</w:t>
      </w:r>
      <w:r>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r>
        <w:rPr>
          <w:rFonts w:ascii="Times New Roman" w:hAnsi="Times New Roman" w:cs="Times New Roman"/>
          <w:sz w:val="24"/>
          <w:szCs w:val="24"/>
        </w:rPr>
        <w:t>mice on day 7 after treatment with DEX or PBS, scale bar,</w:t>
      </w:r>
      <w:r>
        <w:rPr>
          <w:rFonts w:ascii="Times New Roman" w:hAnsi="Times New Roman" w:cs="Times New Roman"/>
          <w:b/>
          <w:bCs/>
          <w:sz w:val="24"/>
          <w:szCs w:val="24"/>
        </w:rPr>
        <w:t xml:space="preserve"> </w:t>
      </w:r>
      <w:r>
        <w:rPr>
          <w:rFonts w:ascii="Times New Roman" w:hAnsi="Times New Roman" w:cs="Times New Roman"/>
          <w:sz w:val="24"/>
          <w:szCs w:val="24"/>
        </w:rPr>
        <w:t>10µm.</w:t>
      </w:r>
      <w:r>
        <w:rPr>
          <w:rFonts w:hint="eastAsia" w:ascii="Times New Roman" w:hAnsi="Times New Roman" w:cs="Times New Roman"/>
          <w:sz w:val="24"/>
          <w:szCs w:val="24"/>
        </w:rPr>
        <w:t xml:space="preserve"> </w:t>
      </w:r>
      <w:r>
        <w:rPr>
          <w:rFonts w:ascii="Times New Roman" w:hAnsi="Times New Roman" w:cs="Times New Roman"/>
          <w:b/>
          <w:bCs/>
          <w:sz w:val="24"/>
          <w:szCs w:val="24"/>
        </w:rPr>
        <w:t>(</w:t>
      </w:r>
      <w:r>
        <w:rPr>
          <w:rFonts w:hint="eastAsia" w:ascii="Times New Roman" w:hAnsi="Times New Roman" w:cs="Times New Roman"/>
          <w:b/>
          <w:bCs/>
          <w:sz w:val="24"/>
          <w:szCs w:val="24"/>
        </w:rPr>
        <w:t>G</w:t>
      </w:r>
      <w:r>
        <w:rPr>
          <w:rFonts w:ascii="Times New Roman" w:hAnsi="Times New Roman" w:cs="Times New Roman"/>
          <w:b/>
          <w:bCs/>
          <w:sz w:val="24"/>
          <w:szCs w:val="24"/>
        </w:rPr>
        <w:t xml:space="preserve">) </w:t>
      </w:r>
      <w:r>
        <w:rPr>
          <w:rFonts w:ascii="Times New Roman" w:hAnsi="Times New Roman" w:cs="Times New Roman"/>
          <w:sz w:val="24"/>
          <w:szCs w:val="24"/>
        </w:rPr>
        <w:t xml:space="preserve">Statistical analysis of EBI macrophages with membrane iron and EBI macrophages with intracellular iron between WT and </w:t>
      </w:r>
      <w:r>
        <w:rPr>
          <w:rFonts w:ascii="Times New Roman" w:hAnsi="Times New Roman" w:cs="Times New Roman"/>
          <w:i/>
          <w:iCs/>
          <w:sz w:val="24"/>
          <w:szCs w:val="24"/>
        </w:rPr>
        <w:t>CD163</w:t>
      </w:r>
      <w:r>
        <w:rPr>
          <w:rFonts w:hint="eastAsia" w:ascii="Times New Roman" w:hAnsi="Times New Roman" w:cs="Times New Roman"/>
          <w:i/>
          <w:iCs/>
          <w:sz w:val="24"/>
          <w:szCs w:val="24"/>
          <w:vertAlign w:val="superscript"/>
        </w:rPr>
        <w:t>-</w:t>
      </w:r>
      <w:r>
        <w:rPr>
          <w:rFonts w:ascii="Times New Roman" w:hAnsi="Times New Roman" w:cs="Times New Roman"/>
          <w:i/>
          <w:iCs/>
          <w:sz w:val="24"/>
          <w:szCs w:val="24"/>
          <w:vertAlign w:val="superscript"/>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mice on day 7 after treatment with DEX or PBS </w:t>
      </w:r>
      <w:r>
        <w:rPr>
          <w:rFonts w:hint="eastAsia" w:ascii="Times New Roman" w:hAnsi="Times New Roman" w:cs="Times New Roman"/>
          <w:sz w:val="24"/>
          <w:szCs w:val="24"/>
        </w:rPr>
        <w:t>(n=6)</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eastAsia="宋体" w:cs="Times New Roman"/>
          <w:sz w:val="24"/>
          <w:szCs w:val="24"/>
        </w:rPr>
        <w:t xml:space="preserve">*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0.05,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0.01, *** </w:t>
      </w:r>
      <w:r>
        <w:rPr>
          <w:rFonts w:ascii="Times New Roman" w:hAnsi="Times New Roman" w:eastAsia="宋体" w:cs="Times New Roman"/>
          <w:i/>
          <w:iCs/>
          <w:sz w:val="24"/>
          <w:szCs w:val="24"/>
        </w:rPr>
        <w:t>p</w:t>
      </w:r>
      <w:r>
        <w:rPr>
          <w:rFonts w:ascii="Times New Roman" w:hAnsi="Times New Roman" w:eastAsia="宋体" w:cs="Times New Roman"/>
          <w:sz w:val="24"/>
          <w:szCs w:val="24"/>
        </w:rPr>
        <w:t xml:space="preserve"> &lt; 0.001.</w:t>
      </w:r>
      <w:r>
        <w:rPr>
          <w:rFonts w:ascii="Times New Roman" w:hAnsi="Times New Roman" w:cs="Times New Roman"/>
          <w:sz w:val="24"/>
          <w:szCs w:val="24"/>
        </w:rPr>
        <w:t xml:space="preserve"> NS, not significant.</w:t>
      </w:r>
    </w:p>
    <w:p w14:paraId="2452F989">
      <w:pPr>
        <w:widowControl w:val="0"/>
        <w:numPr>
          <w:ilvl w:val="0"/>
          <w:numId w:val="0"/>
        </w:numPr>
        <w:spacing w:line="480" w:lineRule="auto"/>
        <w:rPr>
          <w:rFonts w:ascii="Times New Roman" w:hAnsi="Times New Roman" w:cs="Times New Roman"/>
          <w:sz w:val="24"/>
          <w:szCs w:val="24"/>
        </w:rPr>
      </w:pPr>
    </w:p>
    <w:p w14:paraId="6A4C72E3">
      <w:pPr>
        <w:widowControl w:val="0"/>
        <w:spacing w:line="480" w:lineRule="auto"/>
        <w:rPr>
          <w:rFonts w:hint="eastAsia" w:ascii="Times New Roman" w:hAnsi="Times New Roman" w:cs="Times New Roman" w:eastAsiaTheme="minorEastAsia"/>
          <w:sz w:val="24"/>
          <w:szCs w:val="24"/>
          <w:lang w:eastAsia="zh-CN"/>
        </w:rPr>
      </w:pPr>
    </w:p>
    <w:p w14:paraId="3BDFA0D0">
      <w:pPr>
        <w:widowControl w:val="0"/>
        <w:spacing w:line="480" w:lineRule="auto"/>
        <w:rPr>
          <w:rFonts w:hint="eastAsia" w:ascii="Times New Roman" w:hAnsi="Times New Roman" w:cs="Times New Roman" w:eastAsiaTheme="minorEastAsia"/>
          <w:sz w:val="24"/>
          <w:szCs w:val="24"/>
          <w:lang w:eastAsia="zh-CN"/>
        </w:rPr>
      </w:pPr>
    </w:p>
    <w:p w14:paraId="04C280B4">
      <w:pPr>
        <w:widowControl w:val="0"/>
        <w:spacing w:line="480" w:lineRule="auto"/>
        <w:rPr>
          <w:rFonts w:hint="eastAsia" w:ascii="Times New Roman" w:hAnsi="Times New Roman" w:cs="Times New Roman" w:eastAsiaTheme="minorEastAsia"/>
          <w:sz w:val="24"/>
          <w:szCs w:val="24"/>
          <w:lang w:eastAsia="zh-CN"/>
        </w:rPr>
      </w:pPr>
    </w:p>
    <w:p w14:paraId="72D80F15">
      <w:pPr>
        <w:widowControl w:val="0"/>
        <w:spacing w:line="480" w:lineRule="auto"/>
        <w:rPr>
          <w:rFonts w:hint="eastAsia" w:ascii="Times New Roman" w:hAnsi="Times New Roman" w:cs="Times New Roman" w:eastAsiaTheme="minorEastAsia"/>
          <w:sz w:val="24"/>
          <w:szCs w:val="24"/>
          <w:lang w:eastAsia="zh-CN"/>
        </w:rPr>
      </w:pPr>
    </w:p>
    <w:p w14:paraId="16E7E86C">
      <w:pPr>
        <w:widowControl w:val="0"/>
        <w:spacing w:line="480" w:lineRule="auto"/>
        <w:rPr>
          <w:rFonts w:hint="eastAsia" w:ascii="Times New Roman" w:hAnsi="Times New Roman" w:cs="Times New Roman" w:eastAsiaTheme="minorEastAsia"/>
          <w:sz w:val="24"/>
          <w:szCs w:val="24"/>
          <w:lang w:eastAsia="zh-CN"/>
        </w:rPr>
      </w:pPr>
    </w:p>
    <w:p w14:paraId="4760E843">
      <w:pPr>
        <w:widowControl w:val="0"/>
        <w:spacing w:line="480" w:lineRule="auto"/>
        <w:rPr>
          <w:rFonts w:hint="eastAsia" w:ascii="Times New Roman" w:hAnsi="Times New Roman" w:cs="Times New Roman" w:eastAsiaTheme="minorEastAsia"/>
          <w:sz w:val="24"/>
          <w:szCs w:val="24"/>
          <w:lang w:eastAsia="zh-CN"/>
        </w:rPr>
      </w:pPr>
    </w:p>
    <w:p w14:paraId="523A858B">
      <w:pPr>
        <w:widowControl w:val="0"/>
        <w:spacing w:line="480" w:lineRule="auto"/>
        <w:rPr>
          <w:rFonts w:hint="eastAsia" w:ascii="Times New Roman" w:hAnsi="Times New Roman" w:cs="Times New Roman" w:eastAsiaTheme="minorEastAsia"/>
          <w:sz w:val="24"/>
          <w:szCs w:val="24"/>
          <w:lang w:eastAsia="zh-CN"/>
        </w:rPr>
      </w:pPr>
    </w:p>
    <w:p w14:paraId="1274E90C">
      <w:pPr>
        <w:widowControl w:val="0"/>
        <w:spacing w:line="480" w:lineRule="auto"/>
        <w:rPr>
          <w:rFonts w:hint="eastAsia" w:ascii="Times New Roman" w:hAnsi="Times New Roman" w:cs="Times New Roman" w:eastAsiaTheme="minorEastAsia"/>
          <w:sz w:val="24"/>
          <w:szCs w:val="24"/>
          <w:lang w:eastAsia="zh-CN"/>
        </w:rPr>
      </w:pPr>
    </w:p>
    <w:p w14:paraId="31B03E02">
      <w:pPr>
        <w:widowControl w:val="0"/>
        <w:spacing w:line="480" w:lineRule="auto"/>
        <w:rPr>
          <w:rFonts w:hint="eastAsia" w:ascii="Times New Roman" w:hAnsi="Times New Roman" w:cs="Times New Roman" w:eastAsiaTheme="minorEastAsia"/>
          <w:sz w:val="24"/>
          <w:szCs w:val="24"/>
          <w:lang w:eastAsia="zh-CN"/>
        </w:rPr>
      </w:pPr>
    </w:p>
    <w:p w14:paraId="58A70DE8">
      <w:pPr>
        <w:widowControl w:val="0"/>
        <w:spacing w:line="480" w:lineRule="auto"/>
        <w:rPr>
          <w:rFonts w:hint="eastAsia" w:ascii="Times New Roman" w:hAnsi="Times New Roman" w:cs="Times New Roman" w:eastAsiaTheme="minorEastAsia"/>
          <w:sz w:val="24"/>
          <w:szCs w:val="24"/>
          <w:lang w:eastAsia="zh-CN"/>
        </w:rPr>
      </w:pPr>
    </w:p>
    <w:p w14:paraId="55D2E2A2">
      <w:pPr>
        <w:widowControl w:val="0"/>
        <w:spacing w:line="480" w:lineRule="auto"/>
        <w:rPr>
          <w:rFonts w:hint="eastAsia" w:ascii="Times New Roman" w:hAnsi="Times New Roman" w:cs="Times New Roman" w:eastAsiaTheme="minorEastAsia"/>
          <w:sz w:val="24"/>
          <w:szCs w:val="24"/>
          <w:lang w:eastAsia="zh-CN"/>
        </w:rPr>
      </w:pPr>
    </w:p>
    <w:p w14:paraId="55CD466F">
      <w:pPr>
        <w:widowControl w:val="0"/>
        <w:spacing w:line="480" w:lineRule="auto"/>
        <w:rPr>
          <w:rFonts w:hint="eastAsia" w:ascii="Times New Roman" w:hAnsi="Times New Roman" w:cs="Times New Roman" w:eastAsiaTheme="minorEastAsia"/>
          <w:sz w:val="24"/>
          <w:szCs w:val="24"/>
          <w:lang w:eastAsia="zh-CN"/>
        </w:rPr>
      </w:pPr>
    </w:p>
    <w:p w14:paraId="59CE4502">
      <w:pPr>
        <w:widowControl w:val="0"/>
        <w:spacing w:line="480" w:lineRule="auto"/>
        <w:rPr>
          <w:rFonts w:hint="eastAsia" w:ascii="Times New Roman" w:hAnsi="Times New Roman" w:cs="Times New Roman" w:eastAsiaTheme="minorEastAsia"/>
          <w:sz w:val="24"/>
          <w:szCs w:val="24"/>
          <w:lang w:eastAsia="zh-CN"/>
        </w:rPr>
      </w:pPr>
    </w:p>
    <w:p w14:paraId="06AF3BF2">
      <w:pPr>
        <w:widowControl w:val="0"/>
        <w:spacing w:line="480" w:lineRule="auto"/>
        <w:rPr>
          <w:rFonts w:hint="eastAsia" w:ascii="Times New Roman" w:hAnsi="Times New Roman" w:cs="Times New Roman" w:eastAsiaTheme="minorEastAsia"/>
          <w:sz w:val="24"/>
          <w:szCs w:val="24"/>
          <w:lang w:eastAsia="zh-CN"/>
        </w:rPr>
      </w:pPr>
    </w:p>
    <w:p w14:paraId="7F417D7A">
      <w:pPr>
        <w:widowControl w:val="0"/>
        <w:spacing w:line="480" w:lineRule="auto"/>
        <w:rPr>
          <w:rFonts w:hint="eastAsia" w:ascii="Times New Roman" w:hAnsi="Times New Roman" w:cs="Times New Roman" w:eastAsiaTheme="minorEastAsia"/>
          <w:sz w:val="24"/>
          <w:szCs w:val="24"/>
          <w:lang w:eastAsia="zh-CN"/>
        </w:rPr>
      </w:pPr>
    </w:p>
    <w:p w14:paraId="5CBA166A">
      <w:pPr>
        <w:widowControl w:val="0"/>
        <w:spacing w:line="480" w:lineRule="auto"/>
        <w:rPr>
          <w:rFonts w:ascii="Times New Roman" w:hAnsi="Times New Roman" w:cs="Times New Roman"/>
          <w:b/>
          <w:bCs/>
          <w:sz w:val="24"/>
          <w:szCs w:val="24"/>
        </w:rPr>
      </w:pPr>
      <w:r>
        <w:rPr>
          <w:rFonts w:hint="eastAsia" w:ascii="Times New Roman" w:hAnsi="Times New Roman" w:cs="Times New Roman" w:eastAsiaTheme="minorEastAsia"/>
          <w:sz w:val="24"/>
          <w:szCs w:val="24"/>
          <w:lang w:eastAsia="zh-CN"/>
        </w:rPr>
        <w:drawing>
          <wp:anchor distT="0" distB="0" distL="114300" distR="114300" simplePos="0" relativeHeight="251667456" behindDoc="0" locked="0" layoutInCell="1" allowOverlap="1">
            <wp:simplePos x="0" y="0"/>
            <wp:positionH relativeFrom="column">
              <wp:posOffset>17780</wp:posOffset>
            </wp:positionH>
            <wp:positionV relativeFrom="paragraph">
              <wp:posOffset>74295</wp:posOffset>
            </wp:positionV>
            <wp:extent cx="5267960" cy="6348095"/>
            <wp:effectExtent l="0" t="0" r="2540" b="1905"/>
            <wp:wrapTopAndBottom/>
            <wp:docPr id="4" name="图片 4" descr="supplementary 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12"/>
                    <pic:cNvPicPr>
                      <a:picLocks noChangeAspect="1"/>
                    </pic:cNvPicPr>
                  </pic:nvPicPr>
                  <pic:blipFill>
                    <a:blip r:embed="rId15"/>
                    <a:stretch>
                      <a:fillRect/>
                    </a:stretch>
                  </pic:blipFill>
                  <pic:spPr>
                    <a:xfrm>
                      <a:off x="0" y="0"/>
                      <a:ext cx="5267960" cy="6348095"/>
                    </a:xfrm>
                    <a:prstGeom prst="rect">
                      <a:avLst/>
                    </a:prstGeom>
                  </pic:spPr>
                </pic:pic>
              </a:graphicData>
            </a:graphic>
          </wp:anchor>
        </w:drawing>
      </w:r>
      <w:r>
        <w:rPr>
          <w:rFonts w:hint="eastAsia" w:ascii="Times New Roman" w:hAnsi="Times New Roman" w:cs="Times New Roman"/>
          <w:b/>
          <w:bCs/>
          <w:sz w:val="24"/>
          <w:szCs w:val="24"/>
        </w:rPr>
        <w:t>Supplementary Figure 12 scRNA-seq analysis for CD45</w:t>
      </w:r>
      <w:r>
        <w:rPr>
          <w:rFonts w:hint="eastAsia" w:ascii="Times New Roman" w:hAnsi="Times New Roman" w:cs="Times New Roman"/>
          <w:b/>
          <w:bCs/>
          <w:sz w:val="24"/>
          <w:szCs w:val="24"/>
          <w:vertAlign w:val="superscript"/>
        </w:rPr>
        <w:t>+</w:t>
      </w:r>
      <w:r>
        <w:rPr>
          <w:rFonts w:hint="eastAsia" w:ascii="Times New Roman" w:hAnsi="Times New Roman" w:cs="Times New Roman"/>
          <w:b/>
          <w:bCs/>
          <w:sz w:val="24"/>
          <w:szCs w:val="24"/>
        </w:rPr>
        <w:t xml:space="preserve"> cells from the BM of WT and </w:t>
      </w:r>
      <w:r>
        <w:rPr>
          <w:rFonts w:hint="eastAsia" w:ascii="Times New Roman" w:hAnsi="Times New Roman" w:cs="Times New Roman"/>
          <w:b/>
          <w:bCs/>
          <w:i/>
          <w:iCs/>
          <w:sz w:val="24"/>
          <w:szCs w:val="24"/>
        </w:rPr>
        <w:t>CD163</w:t>
      </w:r>
      <w:r>
        <w:rPr>
          <w:rFonts w:hint="eastAsia" w:ascii="Times New Roman" w:hAnsi="Times New Roman" w:cs="Times New Roman"/>
          <w:b/>
          <w:bCs/>
          <w:i/>
          <w:iCs/>
          <w:sz w:val="24"/>
          <w:szCs w:val="24"/>
          <w:vertAlign w:val="superscript"/>
        </w:rPr>
        <w:t>-/-</w:t>
      </w:r>
      <w:r>
        <w:rPr>
          <w:rFonts w:hint="eastAsia" w:ascii="Times New Roman" w:hAnsi="Times New Roman" w:cs="Times New Roman"/>
          <w:b/>
          <w:bCs/>
          <w:sz w:val="24"/>
          <w:szCs w:val="24"/>
          <w:vertAlign w:val="superscript"/>
        </w:rPr>
        <w:t xml:space="preserve"> </w:t>
      </w:r>
      <w:r>
        <w:rPr>
          <w:rFonts w:hint="eastAsia" w:ascii="Times New Roman" w:hAnsi="Times New Roman" w:cs="Times New Roman"/>
          <w:b/>
          <w:bCs/>
          <w:sz w:val="24"/>
          <w:szCs w:val="24"/>
        </w:rPr>
        <w:t>mice treated with PBS or DEX.</w:t>
      </w:r>
    </w:p>
    <w:p w14:paraId="3C0CB9FB">
      <w:pPr>
        <w:keepNext w:val="0"/>
        <w:keepLines w:val="0"/>
        <w:pageBreakBefore w:val="0"/>
        <w:widowControl w:val="0"/>
        <w:numPr>
          <w:ilvl w:val="0"/>
          <w:numId w:val="11"/>
        </w:numPr>
        <w:kinsoku/>
        <w:wordWrap/>
        <w:overflowPunct/>
        <w:topLinePunct w:val="0"/>
        <w:autoSpaceDE/>
        <w:autoSpaceDN/>
        <w:bidi w:val="0"/>
        <w:adjustRightInd/>
        <w:snapToGrid/>
        <w:spacing w:line="480" w:lineRule="auto"/>
        <w:textAlignment w:val="auto"/>
        <w:rPr>
          <w:rFonts w:hint="eastAsia"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sz w:val="24"/>
          <w:szCs w:val="24"/>
        </w:rPr>
        <w:t>TSNE visualization showing the clusters for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the BM of WT and </w:t>
      </w:r>
      <w:r>
        <w:rPr>
          <w:rFonts w:hint="eastAsia" w:ascii="Times New Roman" w:hAnsi="Times New Roman" w:cs="Times New Roman"/>
          <w:i/>
          <w:iCs/>
          <w:sz w:val="24"/>
          <w:szCs w:val="24"/>
        </w:rPr>
        <w:t>CD163</w:t>
      </w:r>
      <w:r>
        <w:rPr>
          <w:rFonts w:hint="eastAsia" w:ascii="Times New Roman" w:hAnsi="Times New Roman" w:cs="Times New Roman"/>
          <w:i/>
          <w:iCs/>
          <w:sz w:val="24"/>
          <w:szCs w:val="24"/>
          <w:vertAlign w:val="superscript"/>
        </w:rPr>
        <w:t>-/-</w:t>
      </w:r>
      <w:r>
        <w:rPr>
          <w:rFonts w:hint="eastAsia" w:ascii="Times New Roman" w:hAnsi="Times New Roman" w:cs="Times New Roman"/>
          <w:i/>
          <w:iCs/>
          <w:sz w:val="24"/>
          <w:szCs w:val="24"/>
        </w:rPr>
        <w:t xml:space="preserve"> </w:t>
      </w:r>
      <w:r>
        <w:rPr>
          <w:rFonts w:hint="eastAsia" w:ascii="Times New Roman" w:hAnsi="Times New Roman" w:cs="Times New Roman"/>
          <w:sz w:val="24"/>
          <w:szCs w:val="24"/>
        </w:rPr>
        <w:t xml:space="preserve">mice treated with PBS or DEX. Colors indicate different clusters. </w:t>
      </w:r>
      <w:r>
        <w:rPr>
          <w:rFonts w:hint="eastAsia" w:ascii="Times New Roman" w:hAnsi="Times New Roman" w:cs="Times New Roman"/>
          <w:b/>
          <w:bCs/>
          <w:sz w:val="24"/>
          <w:szCs w:val="24"/>
        </w:rPr>
        <w:t xml:space="preserve">(B) </w:t>
      </w:r>
      <w:r>
        <w:rPr>
          <w:rFonts w:hint="eastAsia" w:ascii="Times New Roman" w:hAnsi="Times New Roman" w:cs="Times New Roman"/>
          <w:sz w:val="24"/>
          <w:szCs w:val="24"/>
        </w:rPr>
        <w:t xml:space="preserve">Dotplot showing the expression of marker genes of each cluster. Color represents normalized expression levels and dot size indicates the fraction of expressing cells. </w:t>
      </w:r>
      <w:r>
        <w:rPr>
          <w:rFonts w:hint="eastAsia" w:ascii="Times New Roman" w:hAnsi="Times New Roman" w:cs="Times New Roman"/>
          <w:b/>
          <w:bCs/>
          <w:sz w:val="24"/>
          <w:szCs w:val="24"/>
        </w:rPr>
        <w:t xml:space="preserve">(C) </w:t>
      </w:r>
      <w:r>
        <w:rPr>
          <w:rFonts w:hint="eastAsia" w:ascii="Times New Roman" w:hAnsi="Times New Roman" w:cs="Times New Roman"/>
          <w:sz w:val="24"/>
          <w:szCs w:val="24"/>
        </w:rPr>
        <w:t xml:space="preserve">TSNE visualization showing the cell types from the BM of WT and </w:t>
      </w:r>
      <w:r>
        <w:rPr>
          <w:rFonts w:hint="eastAsia" w:ascii="Times New Roman" w:hAnsi="Times New Roman" w:cs="Times New Roman"/>
          <w:i/>
          <w:iCs/>
          <w:sz w:val="24"/>
          <w:szCs w:val="24"/>
        </w:rPr>
        <w:t>CD163</w:t>
      </w:r>
      <w:r>
        <w:rPr>
          <w:rFonts w:hint="eastAsia" w:ascii="Times New Roman" w:hAnsi="Times New Roman" w:cs="Times New Roman"/>
          <w:i/>
          <w:iCs/>
          <w:sz w:val="24"/>
          <w:szCs w:val="24"/>
          <w:vertAlign w:val="superscript"/>
        </w:rPr>
        <w:t>-/-</w:t>
      </w:r>
      <w:r>
        <w:rPr>
          <w:rFonts w:hint="eastAsia" w:ascii="Times New Roman" w:hAnsi="Times New Roman" w:cs="Times New Roman"/>
          <w:sz w:val="24"/>
          <w:szCs w:val="24"/>
          <w:vertAlign w:val="superscript"/>
        </w:rPr>
        <w:t xml:space="preserve"> </w:t>
      </w:r>
      <w:r>
        <w:rPr>
          <w:rFonts w:hint="eastAsia" w:ascii="Times New Roman" w:hAnsi="Times New Roman" w:cs="Times New Roman"/>
          <w:sz w:val="24"/>
          <w:szCs w:val="24"/>
        </w:rPr>
        <w:t xml:space="preserve">mice treated with PBS or DEX. Colors indicate different cell types. </w:t>
      </w:r>
      <w:r>
        <w:rPr>
          <w:rFonts w:ascii="Times New Roman" w:hAnsi="Times New Roman" w:cs="Times New Roman"/>
          <w:b/>
          <w:bCs/>
          <w:sz w:val="24"/>
          <w:szCs w:val="24"/>
        </w:rPr>
        <w:t>(</w:t>
      </w:r>
      <w:r>
        <w:rPr>
          <w:rFonts w:hint="eastAsia" w:ascii="Times New Roman" w:hAnsi="Times New Roman" w:cs="Times New Roman"/>
          <w:b/>
          <w:bCs/>
          <w:sz w:val="24"/>
          <w:szCs w:val="24"/>
        </w:rPr>
        <w:t>D</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 xml:space="preserve">Dot plot showing the expression of marker genes of cell types. Color represents normalized expression levels and dot size indicates the fraction of expressing cells. </w:t>
      </w:r>
      <w:r>
        <w:rPr>
          <w:rFonts w:hint="eastAsia" w:ascii="Times New Roman" w:hAnsi="Times New Roman" w:cs="Times New Roman"/>
          <w:b/>
          <w:bCs/>
          <w:sz w:val="24"/>
          <w:szCs w:val="24"/>
        </w:rPr>
        <w:t>(E)</w:t>
      </w:r>
      <w:r>
        <w:rPr>
          <w:rFonts w:hint="eastAsia" w:ascii="Times New Roman" w:hAnsi="Times New Roman" w:cs="Times New Roman"/>
          <w:sz w:val="24"/>
          <w:szCs w:val="24"/>
        </w:rPr>
        <w:t xml:space="preserve"> TSNE visualization showing the groups for macrophage subsets from the BM of WT and </w:t>
      </w:r>
      <w:r>
        <w:rPr>
          <w:rFonts w:hint="eastAsia" w:ascii="Times New Roman" w:hAnsi="Times New Roman" w:cs="Times New Roman"/>
          <w:i/>
          <w:iCs/>
          <w:sz w:val="24"/>
          <w:szCs w:val="24"/>
        </w:rPr>
        <w:t>CD163</w:t>
      </w:r>
      <w:r>
        <w:rPr>
          <w:rFonts w:hint="eastAsia" w:ascii="Times New Roman" w:hAnsi="Times New Roman" w:cs="Times New Roman"/>
          <w:i/>
          <w:iCs/>
          <w:sz w:val="24"/>
          <w:szCs w:val="24"/>
          <w:vertAlign w:val="superscript"/>
        </w:rPr>
        <w:t>-/-</w:t>
      </w:r>
      <w:r>
        <w:rPr>
          <w:rFonts w:hint="eastAsia" w:ascii="Times New Roman" w:hAnsi="Times New Roman" w:cs="Times New Roman"/>
          <w:sz w:val="24"/>
          <w:szCs w:val="24"/>
        </w:rPr>
        <w:t xml:space="preserve"> mice treated with PBS or DEX. Colors indicate different gro</w:t>
      </w:r>
      <w:r>
        <w:rPr>
          <w:rFonts w:hint="eastAsia" w:ascii="Times New Roman" w:hAnsi="Times New Roman" w:cs="Times New Roman"/>
          <w:color w:val="000000" w:themeColor="text1"/>
          <w:sz w:val="24"/>
          <w:szCs w:val="24"/>
          <w14:textFill>
            <w14:solidFill>
              <w14:schemeClr w14:val="tx1"/>
            </w14:solidFill>
          </w14:textFill>
        </w:rPr>
        <w:t>ups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F</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UMAP visualization showing the </w:t>
      </w:r>
      <w:r>
        <w:rPr>
          <w:rFonts w:hint="default" w:ascii="Times New Roman" w:hAnsi="Times New Roman" w:cs="Times New Roman"/>
          <w:color w:val="000000" w:themeColor="text1"/>
          <w:sz w:val="24"/>
          <w:szCs w:val="24"/>
          <w:lang w:val="en-US" w:eastAsia="zh-CN"/>
          <w14:textFill>
            <w14:solidFill>
              <w14:schemeClr w14:val="tx1"/>
            </w14:solidFill>
          </w14:textFill>
        </w:rPr>
        <w:t>CD163</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and CD16</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m</w:t>
      </w:r>
      <w:r>
        <w:rPr>
          <w:rFonts w:hint="eastAsia" w:ascii="Times New Roman" w:hAnsi="Times New Roman" w:cs="Times New Roman"/>
          <w:color w:val="000000" w:themeColor="text1"/>
          <w:sz w:val="24"/>
          <w:szCs w:val="24"/>
          <w14:textFill>
            <w14:solidFill>
              <w14:schemeClr w14:val="tx1"/>
            </w14:solidFill>
          </w14:textFill>
        </w:rPr>
        <w:t>acrophages subsets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of </w:t>
      </w:r>
      <w:r>
        <w:rPr>
          <w:rFonts w:hint="eastAsia" w:ascii="Times New Roman" w:hAnsi="Times New Roman" w:cs="Times New Roman"/>
          <w:color w:val="000000" w:themeColor="text1"/>
          <w:sz w:val="24"/>
          <w:szCs w:val="24"/>
          <w14:textFill>
            <w14:solidFill>
              <w14:schemeClr w14:val="tx1"/>
            </w14:solidFill>
          </w14:textFill>
        </w:rPr>
        <w:t xml:space="preserve">WT </w:t>
      </w:r>
      <w:r>
        <w:rPr>
          <w:rFonts w:hint="eastAsia" w:ascii="Times New Roman" w:hAnsi="Times New Roman" w:cs="Times New Roman"/>
          <w:color w:val="000000" w:themeColor="text1"/>
          <w:sz w:val="24"/>
          <w:szCs w:val="24"/>
          <w:lang w:val="en-US" w:eastAsia="zh-CN"/>
          <w14:textFill>
            <w14:solidFill>
              <w14:schemeClr w14:val="tx1"/>
            </w14:solidFill>
          </w14:textFill>
        </w:rPr>
        <w:t>mice treated with PBS or DEX.</w:t>
      </w:r>
      <w:r>
        <w:rPr>
          <w:rFonts w:hint="eastAsia" w:ascii="Times New Roman" w:hAnsi="Times New Roman" w:cs="Times New Roman"/>
          <w:color w:val="000000" w:themeColor="text1"/>
          <w:sz w:val="24"/>
          <w:szCs w:val="24"/>
          <w14:textFill>
            <w14:solidFill>
              <w14:schemeClr w14:val="tx1"/>
            </w14:solidFill>
          </w14:textFill>
        </w:rPr>
        <w:t xml:space="preserve"> Colors indicate different cell types.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G</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The bar graph depicts the proportions of CD163</w:t>
      </w:r>
      <w:r>
        <w:rPr>
          <w:rFonts w:hint="eastAsia" w:ascii="Times New Roman" w:hAnsi="Times New Roman" w:cs="Times New Roman"/>
          <w:b w:val="0"/>
          <w:bCs w:val="0"/>
          <w:color w:val="000000" w:themeColor="text1"/>
          <w:sz w:val="24"/>
          <w:szCs w:val="24"/>
          <w:vertAlign w:val="superscript"/>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and CD163</w:t>
      </w:r>
      <w:r>
        <w:rPr>
          <w:rFonts w:hint="eastAsia" w:ascii="Times New Roman" w:hAnsi="Times New Roman" w:cs="Times New Roman"/>
          <w:b w:val="0"/>
          <w:bCs w:val="0"/>
          <w:color w:val="000000" w:themeColor="text1"/>
          <w:sz w:val="24"/>
          <w:szCs w:val="24"/>
          <w:vertAlign w:val="superscript"/>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cells of WT mice treated with PBS or DEX.</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H</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The volcano plot visualizes differentially expressed genes</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of WT mice treated with PBS or DEX. </w:t>
      </w:r>
      <w:r>
        <w:rPr>
          <w:rFonts w:hint="eastAsia" w:ascii="Times New Roman" w:hAnsi="Times New Roman" w:cs="Times New Roman"/>
          <w:color w:val="000000" w:themeColor="text1"/>
          <w:sz w:val="24"/>
          <w:szCs w:val="24"/>
          <w14:textFill>
            <w14:solidFill>
              <w14:schemeClr w14:val="tx1"/>
            </w14:solidFill>
          </w14:textFill>
        </w:rPr>
        <w:t>Genes with significantly increased expression (upregulated) are highlighted in red, while those with decreased expression (downregulated) are shown in blue.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I</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The heatmap displays expression differences of hallmark functional genes in </w:t>
      </w:r>
      <w:r>
        <w:rPr>
          <w:rFonts w:hint="eastAsia" w:ascii="Times New Roman" w:hAnsi="Times New Roman" w:cs="Times New Roman"/>
          <w:color w:val="000000" w:themeColor="text1"/>
          <w:sz w:val="24"/>
          <w:szCs w:val="24"/>
          <w:lang w:val="en-US" w:eastAsia="zh-CN"/>
          <w14:textFill>
            <w14:solidFill>
              <w14:schemeClr w14:val="tx1"/>
            </w14:solidFill>
          </w14:textFill>
        </w:rPr>
        <w:t>CD163</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14:textFill>
            <w14:solidFill>
              <w14:schemeClr w14:val="tx1"/>
            </w14:solidFill>
          </w14:textFill>
        </w:rPr>
        <w:t>macrophages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in</w:t>
      </w:r>
      <w:r>
        <w:rPr>
          <w:rFonts w:hint="eastAsia" w:ascii="Times New Roman" w:hAnsi="Times New Roman" w:cs="Times New Roman"/>
          <w:color w:val="000000" w:themeColor="text1"/>
          <w:sz w:val="24"/>
          <w:szCs w:val="24"/>
          <w14:textFill>
            <w14:solidFill>
              <w14:schemeClr w14:val="tx1"/>
            </w14:solidFill>
          </w14:textFill>
        </w:rPr>
        <w:t xml:space="preserve"> WT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mice treated with PBS or DEX </w:t>
      </w:r>
      <w:r>
        <w:rPr>
          <w:rFonts w:hint="eastAsia" w:ascii="Times New Roman" w:hAnsi="Times New Roman" w:cs="Times New Roman"/>
          <w:color w:val="000000" w:themeColor="text1"/>
          <w:sz w:val="24"/>
          <w:szCs w:val="24"/>
          <w14:textFill>
            <w14:solidFill>
              <w14:schemeClr w14:val="tx1"/>
            </w14:solidFill>
          </w14:textFill>
        </w:rPr>
        <w:t>groups.</w:t>
      </w:r>
    </w:p>
    <w:p w14:paraId="13F9B99C">
      <w:pPr>
        <w:widowControl w:val="0"/>
        <w:numPr>
          <w:ilvl w:val="0"/>
          <w:numId w:val="0"/>
        </w:numPr>
        <w:spacing w:line="360" w:lineRule="auto"/>
        <w:rPr>
          <w:rFonts w:hint="eastAsia" w:ascii="Times New Roman" w:hAnsi="Times New Roman" w:cs="Times New Roman"/>
          <w:sz w:val="24"/>
          <w:szCs w:val="24"/>
        </w:rPr>
      </w:pPr>
    </w:p>
    <w:p w14:paraId="1881CB89">
      <w:pPr>
        <w:widowControl w:val="0"/>
        <w:numPr>
          <w:ilvl w:val="0"/>
          <w:numId w:val="0"/>
        </w:numPr>
        <w:spacing w:line="360" w:lineRule="auto"/>
        <w:rPr>
          <w:rFonts w:hint="eastAsia" w:ascii="Times New Roman" w:hAnsi="Times New Roman" w:cs="Times New Roman"/>
          <w:sz w:val="24"/>
          <w:szCs w:val="24"/>
        </w:rPr>
      </w:pPr>
    </w:p>
    <w:p w14:paraId="1E2101CA">
      <w:pPr>
        <w:widowControl w:val="0"/>
        <w:numPr>
          <w:ilvl w:val="0"/>
          <w:numId w:val="0"/>
        </w:numPr>
        <w:spacing w:line="360" w:lineRule="auto"/>
        <w:rPr>
          <w:rFonts w:hint="eastAsia" w:ascii="Times New Roman" w:hAnsi="Times New Roman" w:cs="Times New Roman"/>
          <w:sz w:val="24"/>
          <w:szCs w:val="24"/>
        </w:rPr>
      </w:pPr>
    </w:p>
    <w:p w14:paraId="43D62FDF">
      <w:pPr>
        <w:widowControl w:val="0"/>
        <w:numPr>
          <w:ilvl w:val="0"/>
          <w:numId w:val="0"/>
        </w:numPr>
        <w:spacing w:line="360" w:lineRule="auto"/>
        <w:rPr>
          <w:rFonts w:hint="eastAsia" w:ascii="Times New Roman" w:hAnsi="Times New Roman" w:cs="Times New Roman"/>
          <w:sz w:val="24"/>
          <w:szCs w:val="24"/>
        </w:rPr>
      </w:pPr>
    </w:p>
    <w:p w14:paraId="5A4ED6A6">
      <w:pPr>
        <w:widowControl w:val="0"/>
        <w:numPr>
          <w:ilvl w:val="0"/>
          <w:numId w:val="0"/>
        </w:numPr>
        <w:spacing w:line="360" w:lineRule="auto"/>
        <w:rPr>
          <w:rFonts w:hint="eastAsia" w:ascii="Times New Roman" w:hAnsi="Times New Roman" w:cs="Times New Roman"/>
          <w:sz w:val="24"/>
          <w:szCs w:val="24"/>
        </w:rPr>
      </w:pPr>
    </w:p>
    <w:p w14:paraId="4FDBAF5C">
      <w:pPr>
        <w:widowControl w:val="0"/>
        <w:numPr>
          <w:ilvl w:val="0"/>
          <w:numId w:val="0"/>
        </w:numPr>
        <w:spacing w:line="360" w:lineRule="auto"/>
        <w:rPr>
          <w:rFonts w:hint="eastAsia" w:ascii="Times New Roman" w:hAnsi="Times New Roman" w:cs="Times New Roman"/>
          <w:sz w:val="24"/>
          <w:szCs w:val="24"/>
        </w:rPr>
      </w:pPr>
    </w:p>
    <w:p w14:paraId="6C4E3A6E">
      <w:pPr>
        <w:widowControl w:val="0"/>
        <w:spacing w:line="480" w:lineRule="auto"/>
        <w:rPr>
          <w:rFonts w:ascii="Times New Roman" w:hAnsi="Times New Roman" w:cs="Times New Roman"/>
          <w:b/>
          <w:bCs/>
          <w:sz w:val="24"/>
          <w:szCs w:val="24"/>
        </w:rPr>
      </w:pPr>
      <w:r>
        <w:rPr>
          <w:rFonts w:hint="eastAsia" w:ascii="Times New Roman" w:hAnsi="Times New Roman" w:cs="Times New Roman"/>
          <w:b/>
          <w:bCs/>
          <w:sz w:val="24"/>
          <w:szCs w:val="24"/>
        </w:rPr>
        <w:drawing>
          <wp:anchor distT="0" distB="0" distL="114300" distR="114300" simplePos="0" relativeHeight="251665408" behindDoc="0" locked="0" layoutInCell="1" allowOverlap="1">
            <wp:simplePos x="0" y="0"/>
            <wp:positionH relativeFrom="column">
              <wp:posOffset>241935</wp:posOffset>
            </wp:positionH>
            <wp:positionV relativeFrom="paragraph">
              <wp:posOffset>635</wp:posOffset>
            </wp:positionV>
            <wp:extent cx="5080000" cy="5788025"/>
            <wp:effectExtent l="0" t="0" r="0" b="3175"/>
            <wp:wrapTopAndBottom/>
            <wp:docPr id="2" name="图片 2" descr="Supplementary 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13"/>
                    <pic:cNvPicPr>
                      <a:picLocks noChangeAspect="1"/>
                    </pic:cNvPicPr>
                  </pic:nvPicPr>
                  <pic:blipFill>
                    <a:blip r:embed="rId16"/>
                    <a:stretch>
                      <a:fillRect/>
                    </a:stretch>
                  </pic:blipFill>
                  <pic:spPr>
                    <a:xfrm>
                      <a:off x="0" y="0"/>
                      <a:ext cx="5080000" cy="5788025"/>
                    </a:xfrm>
                    <a:prstGeom prst="rect">
                      <a:avLst/>
                    </a:prstGeom>
                  </pic:spPr>
                </pic:pic>
              </a:graphicData>
            </a:graphic>
          </wp:anchor>
        </w:drawing>
      </w:r>
      <w:r>
        <w:rPr>
          <w:rFonts w:hint="eastAsia" w:ascii="Times New Roman" w:hAnsi="Times New Roman" w:cs="Times New Roman"/>
          <w:b/>
          <w:bCs/>
          <w:sz w:val="24"/>
          <w:szCs w:val="24"/>
        </w:rPr>
        <w:t>Supplementary Figure 13 scRNA-seq analysis for CD45</w:t>
      </w:r>
      <w:r>
        <w:rPr>
          <w:rFonts w:hint="eastAsia" w:ascii="Times New Roman" w:hAnsi="Times New Roman" w:cs="Times New Roman"/>
          <w:b/>
          <w:bCs/>
          <w:sz w:val="24"/>
          <w:szCs w:val="24"/>
          <w:vertAlign w:val="superscript"/>
        </w:rPr>
        <w:t>+</w:t>
      </w:r>
      <w:r>
        <w:rPr>
          <w:rFonts w:hint="eastAsia" w:ascii="Times New Roman" w:hAnsi="Times New Roman" w:cs="Times New Roman"/>
          <w:b/>
          <w:bCs/>
          <w:sz w:val="24"/>
          <w:szCs w:val="24"/>
        </w:rPr>
        <w:t xml:space="preserve"> cells from the BM of HC, treatment-naïve AIHA patients and GCs-treated AIHA patients.</w:t>
      </w:r>
    </w:p>
    <w:p w14:paraId="10247EE2">
      <w:pPr>
        <w:widowControl w:val="0"/>
        <w:numPr>
          <w:ilvl w:val="0"/>
          <w:numId w:val="12"/>
        </w:numPr>
        <w:spacing w:line="480" w:lineRule="auto"/>
        <w:rPr>
          <w:rFonts w:ascii="Times New Roman" w:hAnsi="Times New Roman" w:cs="Times New Roman"/>
          <w:sz w:val="24"/>
        </w:rPr>
      </w:pPr>
      <w:r>
        <w:rPr>
          <w:rFonts w:hint="eastAsia" w:ascii="Times New Roman" w:hAnsi="Times New Roman" w:cs="Times New Roman"/>
          <w:sz w:val="24"/>
          <w:szCs w:val="24"/>
        </w:rPr>
        <w:t>TSNE visualization showing groups of BM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HC, treatment-naïve AIHA and GCs-treated AIHA patients. Colors indicate different groups.</w:t>
      </w:r>
      <w:r>
        <w:rPr>
          <w:rFonts w:ascii="Times New Roman" w:hAnsi="Times New Roman" w:cs="Times New Roman"/>
          <w:sz w:val="24"/>
          <w:szCs w:val="24"/>
        </w:rPr>
        <w:t xml:space="preserve"> </w:t>
      </w:r>
      <w:r>
        <w:rPr>
          <w:rFonts w:ascii="Times New Roman" w:hAnsi="Times New Roman" w:cs="Times New Roman"/>
          <w:b/>
          <w:bCs/>
          <w:sz w:val="24"/>
          <w:szCs w:val="24"/>
        </w:rPr>
        <w:t>(</w:t>
      </w:r>
      <w:r>
        <w:rPr>
          <w:rFonts w:hint="eastAsia" w:ascii="Times New Roman" w:hAnsi="Times New Roman" w:cs="Times New Roman"/>
          <w:b/>
          <w:bCs/>
          <w:sz w:val="24"/>
          <w:szCs w:val="24"/>
        </w:rPr>
        <w:t>B</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TSNE visualization showing the</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cell types for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the BM of HC, treatment-naïve AIHA patients and GCs-treated AIHA patients. Colors indicate different cell types. </w:t>
      </w:r>
      <w:r>
        <w:rPr>
          <w:rFonts w:ascii="Times New Roman" w:hAnsi="Times New Roman" w:cs="Times New Roman"/>
          <w:b/>
          <w:bCs/>
          <w:sz w:val="24"/>
          <w:szCs w:val="24"/>
        </w:rPr>
        <w:t>(</w:t>
      </w:r>
      <w:r>
        <w:rPr>
          <w:rFonts w:hint="eastAsia" w:ascii="Times New Roman" w:hAnsi="Times New Roman" w:cs="Times New Roman"/>
          <w:b/>
          <w:bCs/>
          <w:sz w:val="24"/>
          <w:szCs w:val="24"/>
        </w:rPr>
        <w:t>C</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UMAP visualization showing the cell types for macrophage subsets from the BM of HC,</w:t>
      </w:r>
      <w:r>
        <w:rPr>
          <w:rFonts w:ascii="Times New Roman" w:hAnsi="Times New Roman" w:cs="Times New Roman"/>
          <w:sz w:val="24"/>
          <w:szCs w:val="24"/>
        </w:rPr>
        <w:t xml:space="preserve"> </w:t>
      </w:r>
      <w:r>
        <w:rPr>
          <w:rFonts w:hint="eastAsia" w:ascii="Times New Roman" w:hAnsi="Times New Roman" w:cs="Times New Roman"/>
          <w:sz w:val="24"/>
          <w:szCs w:val="24"/>
        </w:rPr>
        <w:t>treatment-naïve AIHA patients</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 xml:space="preserve">and GCs-treated AIHA patients. Colors indicate different cell types. </w:t>
      </w:r>
      <w:r>
        <w:rPr>
          <w:rFonts w:hint="eastAsia" w:ascii="Times New Roman" w:hAnsi="Times New Roman" w:cs="Times New Roman"/>
          <w:b/>
          <w:bCs/>
          <w:sz w:val="24"/>
          <w:szCs w:val="24"/>
        </w:rPr>
        <w:t>(D)</w:t>
      </w:r>
      <w:r>
        <w:rPr>
          <w:rFonts w:hint="eastAsia" w:ascii="Times New Roman" w:hAnsi="Times New Roman" w:cs="Times New Roman"/>
          <w:sz w:val="24"/>
          <w:szCs w:val="24"/>
        </w:rPr>
        <w:t>TSNE visualization showing the clusters for CD45</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cells from the BM of HC</w:t>
      </w:r>
      <w:r>
        <w:rPr>
          <w:rFonts w:hint="eastAsia" w:ascii="Times New Roman" w:hAnsi="Times New Roman" w:cs="Times New Roman"/>
          <w:b/>
          <w:bCs/>
          <w:sz w:val="24"/>
          <w:szCs w:val="24"/>
        </w:rPr>
        <w:t>,</w:t>
      </w:r>
      <w:r>
        <w:rPr>
          <w:rFonts w:hint="eastAsia" w:ascii="Times New Roman" w:hAnsi="Times New Roman" w:cs="Times New Roman"/>
          <w:sz w:val="24"/>
          <w:szCs w:val="24"/>
        </w:rPr>
        <w:t xml:space="preserve"> treatment-naïve AIHA patients and GCs-treated AIHA patients. Colors indicate different clusters. </w:t>
      </w:r>
      <w:r>
        <w:rPr>
          <w:rFonts w:hint="eastAsia" w:ascii="Times New Roman" w:hAnsi="Times New Roman" w:cs="Times New Roman"/>
          <w:b/>
          <w:bCs/>
          <w:sz w:val="24"/>
          <w:szCs w:val="24"/>
        </w:rPr>
        <w:t xml:space="preserve">(E) </w:t>
      </w:r>
      <w:r>
        <w:rPr>
          <w:rFonts w:hint="eastAsia" w:ascii="Times New Roman" w:hAnsi="Times New Roman" w:cs="Times New Roman"/>
          <w:sz w:val="24"/>
          <w:szCs w:val="24"/>
        </w:rPr>
        <w:t xml:space="preserve">Dotplot showing the expression of marker genes of each cluster. Color represents normalized expression levels and dot size indicates the fraction of expressing cells. </w:t>
      </w:r>
      <w:r>
        <w:rPr>
          <w:rFonts w:hint="eastAsia" w:ascii="Times New Roman" w:hAnsi="Times New Roman" w:cs="Times New Roman"/>
          <w:b/>
          <w:bCs/>
          <w:sz w:val="24"/>
          <w:szCs w:val="24"/>
        </w:rPr>
        <w:t xml:space="preserve">(F) </w:t>
      </w:r>
      <w:r>
        <w:rPr>
          <w:rFonts w:hint="eastAsia" w:ascii="Times New Roman" w:hAnsi="Times New Roman" w:cs="Times New Roman"/>
          <w:sz w:val="24"/>
          <w:szCs w:val="24"/>
        </w:rPr>
        <w:t xml:space="preserve">Dot plot showing the expression of marker genes of cell types. Color represents normalized expression levels and dot size indicates the fraction of expressing cells. </w:t>
      </w:r>
      <w:r>
        <w:rPr>
          <w:rFonts w:hint="eastAsia" w:ascii="Times New Roman" w:hAnsi="Times New Roman" w:cs="Times New Roman"/>
          <w:b/>
          <w:bCs/>
          <w:sz w:val="24"/>
          <w:szCs w:val="24"/>
        </w:rPr>
        <w:t>(G)</w:t>
      </w:r>
      <w:r>
        <w:rPr>
          <w:rFonts w:hint="eastAsia" w:ascii="Times New Roman" w:hAnsi="Times New Roman" w:cs="Times New Roman"/>
          <w:sz w:val="24"/>
          <w:szCs w:val="24"/>
        </w:rPr>
        <w:t xml:space="preserve"> UMAP visualization showing the groups for macrophage subsets from the BM of HC, treatment-naïve AIHA patients</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 xml:space="preserve">and GCs-treated AIHA patients. Colors indicate different groups. </w:t>
      </w:r>
      <w:r>
        <w:rPr>
          <w:rFonts w:hint="eastAsia" w:ascii="Times New Roman" w:hAnsi="Times New Roman" w:cs="Times New Roman"/>
          <w:b/>
          <w:bCs/>
          <w:sz w:val="24"/>
          <w:szCs w:val="24"/>
        </w:rPr>
        <w:t xml:space="preserve">(H) </w:t>
      </w:r>
      <w:r>
        <w:rPr>
          <w:rFonts w:hint="eastAsia" w:ascii="Times New Roman" w:hAnsi="Times New Roman" w:cs="Times New Roman"/>
          <w:sz w:val="24"/>
          <w:szCs w:val="24"/>
        </w:rPr>
        <w:t>UMAP visualization showing the cluster for macrophage subsets from the BM of HC, treatment-naïve AIHA patients</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 xml:space="preserve">and GCs-treated AIHA patients. Colors indicate different clusters. </w:t>
      </w:r>
      <w:r>
        <w:rPr>
          <w:rFonts w:hint="eastAsia" w:ascii="Times New Roman" w:hAnsi="Times New Roman" w:cs="Times New Roman"/>
          <w:b/>
          <w:bCs/>
          <w:sz w:val="24"/>
          <w:szCs w:val="24"/>
        </w:rPr>
        <w:t>(I)</w:t>
      </w:r>
      <w:r>
        <w:rPr>
          <w:rFonts w:hint="eastAsia" w:ascii="Times New Roman" w:hAnsi="Times New Roman" w:cs="Times New Roman"/>
          <w:sz w:val="24"/>
          <w:szCs w:val="24"/>
        </w:rPr>
        <w:t xml:space="preserve"> Bar plot showing the percentages for macrophage subsets from the BM of HC, treatment-naïve AIHA patients</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and GCs-treated AIHA patients.</w:t>
      </w:r>
    </w:p>
    <w:p w14:paraId="63244D63">
      <w:pPr>
        <w:spacing w:line="480" w:lineRule="auto"/>
        <w:rPr>
          <w:rFonts w:ascii="Times New Roman" w:hAnsi="Times New Roman" w:cs="Times New Roman"/>
          <w:sz w:val="24"/>
          <w:szCs w:val="24"/>
        </w:rPr>
      </w:pPr>
    </w:p>
    <w:p w14:paraId="34E617E3">
      <w:pPr>
        <w:widowControl/>
        <w:spacing w:after="200" w:line="440" w:lineRule="exact"/>
        <w:rPr>
          <w:rFonts w:ascii="Times New Roman" w:hAnsi="Times New Roman" w:cs="Times New Roman"/>
          <w:kern w:val="0"/>
          <w:sz w:val="24"/>
          <w14:ligatures w14:val="standardContextu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D6C3E"/>
    <w:multiLevelType w:val="singleLevel"/>
    <w:tmpl w:val="94ED6C3E"/>
    <w:lvl w:ilvl="0" w:tentative="0">
      <w:start w:val="1"/>
      <w:numFmt w:val="upperLetter"/>
      <w:suff w:val="space"/>
      <w:lvlText w:val="(%1)"/>
      <w:lvlJc w:val="left"/>
      <w:rPr>
        <w:rFonts w:hint="default"/>
        <w:b/>
        <w:bCs/>
      </w:rPr>
    </w:lvl>
  </w:abstractNum>
  <w:abstractNum w:abstractNumId="1">
    <w:nsid w:val="9901AA36"/>
    <w:multiLevelType w:val="singleLevel"/>
    <w:tmpl w:val="9901AA36"/>
    <w:lvl w:ilvl="0" w:tentative="0">
      <w:start w:val="1"/>
      <w:numFmt w:val="upperLetter"/>
      <w:suff w:val="space"/>
      <w:lvlText w:val="(%1)"/>
      <w:lvlJc w:val="left"/>
      <w:pPr>
        <w:ind w:left="60" w:firstLine="0"/>
      </w:pPr>
    </w:lvl>
  </w:abstractNum>
  <w:abstractNum w:abstractNumId="2">
    <w:nsid w:val="BAB1D6BC"/>
    <w:multiLevelType w:val="singleLevel"/>
    <w:tmpl w:val="BAB1D6BC"/>
    <w:lvl w:ilvl="0" w:tentative="0">
      <w:start w:val="1"/>
      <w:numFmt w:val="upperLetter"/>
      <w:suff w:val="space"/>
      <w:lvlText w:val="(%1)"/>
      <w:lvlJc w:val="left"/>
      <w:rPr>
        <w:rFonts w:hint="default"/>
        <w:b/>
        <w:bCs/>
      </w:rPr>
    </w:lvl>
  </w:abstractNum>
  <w:abstractNum w:abstractNumId="3">
    <w:nsid w:val="C8E608C1"/>
    <w:multiLevelType w:val="singleLevel"/>
    <w:tmpl w:val="C8E608C1"/>
    <w:lvl w:ilvl="0" w:tentative="0">
      <w:start w:val="1"/>
      <w:numFmt w:val="upperLetter"/>
      <w:suff w:val="space"/>
      <w:lvlText w:val="(%1)"/>
      <w:lvlJc w:val="left"/>
      <w:rPr>
        <w:rFonts w:hint="default"/>
        <w:b/>
        <w:bCs/>
      </w:rPr>
    </w:lvl>
  </w:abstractNum>
  <w:abstractNum w:abstractNumId="4">
    <w:nsid w:val="DB5606F1"/>
    <w:multiLevelType w:val="singleLevel"/>
    <w:tmpl w:val="DB5606F1"/>
    <w:lvl w:ilvl="0" w:tentative="0">
      <w:start w:val="1"/>
      <w:numFmt w:val="upperLetter"/>
      <w:suff w:val="nothing"/>
      <w:lvlText w:val="(%1-"/>
      <w:lvlJc w:val="left"/>
      <w:rPr>
        <w:rFonts w:hint="default"/>
        <w:b/>
        <w:bCs/>
      </w:rPr>
    </w:lvl>
  </w:abstractNum>
  <w:abstractNum w:abstractNumId="5">
    <w:nsid w:val="DCB95880"/>
    <w:multiLevelType w:val="singleLevel"/>
    <w:tmpl w:val="DCB95880"/>
    <w:lvl w:ilvl="0" w:tentative="0">
      <w:start w:val="1"/>
      <w:numFmt w:val="upperLetter"/>
      <w:lvlText w:val="(%1)"/>
      <w:lvlJc w:val="left"/>
      <w:pPr>
        <w:tabs>
          <w:tab w:val="left" w:pos="312"/>
        </w:tabs>
      </w:pPr>
    </w:lvl>
  </w:abstractNum>
  <w:abstractNum w:abstractNumId="6">
    <w:nsid w:val="E982E60C"/>
    <w:multiLevelType w:val="singleLevel"/>
    <w:tmpl w:val="E982E60C"/>
    <w:lvl w:ilvl="0" w:tentative="0">
      <w:start w:val="1"/>
      <w:numFmt w:val="upperLetter"/>
      <w:suff w:val="space"/>
      <w:lvlText w:val="(%1)"/>
      <w:lvlJc w:val="left"/>
      <w:pPr>
        <w:ind w:left="60" w:firstLine="0"/>
      </w:pPr>
      <w:rPr>
        <w:rFonts w:hint="default"/>
        <w:b/>
        <w:bCs/>
      </w:rPr>
    </w:lvl>
  </w:abstractNum>
  <w:abstractNum w:abstractNumId="7">
    <w:nsid w:val="27DE3800"/>
    <w:multiLevelType w:val="singleLevel"/>
    <w:tmpl w:val="27DE3800"/>
    <w:lvl w:ilvl="0" w:tentative="0">
      <w:start w:val="1"/>
      <w:numFmt w:val="upperLetter"/>
      <w:suff w:val="space"/>
      <w:lvlText w:val="(%1)"/>
      <w:lvlJc w:val="left"/>
    </w:lvl>
  </w:abstractNum>
  <w:abstractNum w:abstractNumId="8">
    <w:nsid w:val="526E6C08"/>
    <w:multiLevelType w:val="singleLevel"/>
    <w:tmpl w:val="526E6C08"/>
    <w:lvl w:ilvl="0" w:tentative="0">
      <w:start w:val="1"/>
      <w:numFmt w:val="upperLetter"/>
      <w:suff w:val="space"/>
      <w:lvlText w:val="(%1)"/>
      <w:lvlJc w:val="left"/>
      <w:rPr>
        <w:rFonts w:hint="default"/>
        <w:b/>
        <w:bCs/>
      </w:rPr>
    </w:lvl>
  </w:abstractNum>
  <w:abstractNum w:abstractNumId="9">
    <w:nsid w:val="556A7A79"/>
    <w:multiLevelType w:val="singleLevel"/>
    <w:tmpl w:val="556A7A79"/>
    <w:lvl w:ilvl="0" w:tentative="0">
      <w:start w:val="1"/>
      <w:numFmt w:val="upperLetter"/>
      <w:suff w:val="space"/>
      <w:lvlText w:val="(%1)"/>
      <w:lvlJc w:val="left"/>
      <w:rPr>
        <w:rFonts w:hint="default"/>
        <w:b/>
        <w:bCs/>
      </w:rPr>
    </w:lvl>
  </w:abstractNum>
  <w:abstractNum w:abstractNumId="10">
    <w:nsid w:val="564FADC5"/>
    <w:multiLevelType w:val="singleLevel"/>
    <w:tmpl w:val="564FADC5"/>
    <w:lvl w:ilvl="0" w:tentative="0">
      <w:start w:val="1"/>
      <w:numFmt w:val="upperLetter"/>
      <w:suff w:val="space"/>
      <w:lvlText w:val="(%1)"/>
      <w:lvlJc w:val="left"/>
      <w:rPr>
        <w:rFonts w:hint="default"/>
        <w:b/>
        <w:bCs/>
      </w:rPr>
    </w:lvl>
  </w:abstractNum>
  <w:abstractNum w:abstractNumId="11">
    <w:nsid w:val="7651D461"/>
    <w:multiLevelType w:val="singleLevel"/>
    <w:tmpl w:val="7651D461"/>
    <w:lvl w:ilvl="0" w:tentative="0">
      <w:start w:val="1"/>
      <w:numFmt w:val="upperLetter"/>
      <w:suff w:val="space"/>
      <w:lvlText w:val="(%1)"/>
      <w:lvlJc w:val="left"/>
      <w:pPr>
        <w:ind w:left="120" w:firstLine="0"/>
      </w:pPr>
      <w:rPr>
        <w:rFonts w:hint="default"/>
        <w:b/>
        <w:bCs/>
      </w:rPr>
    </w:lvl>
  </w:abstractNum>
  <w:num w:numId="1">
    <w:abstractNumId w:val="6"/>
  </w:num>
  <w:num w:numId="2">
    <w:abstractNumId w:val="9"/>
  </w:num>
  <w:num w:numId="3">
    <w:abstractNumId w:val="3"/>
  </w:num>
  <w:num w:numId="4">
    <w:abstractNumId w:val="7"/>
  </w:num>
  <w:num w:numId="5">
    <w:abstractNumId w:val="0"/>
  </w:num>
  <w:num w:numId="6">
    <w:abstractNumId w:val="11"/>
  </w:num>
  <w:num w:numId="7">
    <w:abstractNumId w:val="1"/>
  </w:num>
  <w:num w:numId="8">
    <w:abstractNumId w:val="4"/>
  </w:num>
  <w:num w:numId="9">
    <w:abstractNumId w:val="10"/>
  </w:num>
  <w:num w:numId="10">
    <w:abstractNumId w:val="2"/>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5F4"/>
    <w:rsid w:val="002375F4"/>
    <w:rsid w:val="003400B2"/>
    <w:rsid w:val="003B23F1"/>
    <w:rsid w:val="003F417C"/>
    <w:rsid w:val="007E42C1"/>
    <w:rsid w:val="018E4FDB"/>
    <w:rsid w:val="01915C2F"/>
    <w:rsid w:val="01981761"/>
    <w:rsid w:val="01B56A63"/>
    <w:rsid w:val="027A76EE"/>
    <w:rsid w:val="0466617C"/>
    <w:rsid w:val="0619721E"/>
    <w:rsid w:val="063302DF"/>
    <w:rsid w:val="073A569E"/>
    <w:rsid w:val="07F12200"/>
    <w:rsid w:val="0B971310"/>
    <w:rsid w:val="0CB101B0"/>
    <w:rsid w:val="0D4E1EA3"/>
    <w:rsid w:val="0EB9159E"/>
    <w:rsid w:val="0F0B68D1"/>
    <w:rsid w:val="0FF075FC"/>
    <w:rsid w:val="103F3D25"/>
    <w:rsid w:val="10EF3511"/>
    <w:rsid w:val="11733C86"/>
    <w:rsid w:val="12406DA8"/>
    <w:rsid w:val="13E72271"/>
    <w:rsid w:val="14F90946"/>
    <w:rsid w:val="156F266A"/>
    <w:rsid w:val="15DD2016"/>
    <w:rsid w:val="16506CFC"/>
    <w:rsid w:val="17B9616B"/>
    <w:rsid w:val="18A4506D"/>
    <w:rsid w:val="199402BF"/>
    <w:rsid w:val="1A516A94"/>
    <w:rsid w:val="1A564145"/>
    <w:rsid w:val="1D804DF1"/>
    <w:rsid w:val="1E6A4663"/>
    <w:rsid w:val="1E6A5E28"/>
    <w:rsid w:val="204D7978"/>
    <w:rsid w:val="204E2A69"/>
    <w:rsid w:val="224C6FD4"/>
    <w:rsid w:val="22D30A28"/>
    <w:rsid w:val="259113A8"/>
    <w:rsid w:val="276A7481"/>
    <w:rsid w:val="29144474"/>
    <w:rsid w:val="29763DCD"/>
    <w:rsid w:val="2B6C1A1A"/>
    <w:rsid w:val="2BB62C95"/>
    <w:rsid w:val="2CCC5419"/>
    <w:rsid w:val="2EA1758C"/>
    <w:rsid w:val="304106C8"/>
    <w:rsid w:val="30A6152A"/>
    <w:rsid w:val="313E79B5"/>
    <w:rsid w:val="317C04DD"/>
    <w:rsid w:val="3202443C"/>
    <w:rsid w:val="322C3CB1"/>
    <w:rsid w:val="32D629B3"/>
    <w:rsid w:val="339729B4"/>
    <w:rsid w:val="347B4A7C"/>
    <w:rsid w:val="359A031E"/>
    <w:rsid w:val="36D46369"/>
    <w:rsid w:val="37EC4B4C"/>
    <w:rsid w:val="3814146F"/>
    <w:rsid w:val="387243E8"/>
    <w:rsid w:val="38EE1CC0"/>
    <w:rsid w:val="39730417"/>
    <w:rsid w:val="3A8B1822"/>
    <w:rsid w:val="3BC109EA"/>
    <w:rsid w:val="3CB70692"/>
    <w:rsid w:val="3CC5138A"/>
    <w:rsid w:val="3D0340D1"/>
    <w:rsid w:val="40857618"/>
    <w:rsid w:val="40AD2461"/>
    <w:rsid w:val="41DF489C"/>
    <w:rsid w:val="41EA3F47"/>
    <w:rsid w:val="433E55F2"/>
    <w:rsid w:val="43462BE1"/>
    <w:rsid w:val="43BD0C0D"/>
    <w:rsid w:val="43D61CCF"/>
    <w:rsid w:val="440E1CA3"/>
    <w:rsid w:val="458B3B66"/>
    <w:rsid w:val="46072613"/>
    <w:rsid w:val="464056B8"/>
    <w:rsid w:val="46B75DE7"/>
    <w:rsid w:val="48442A0F"/>
    <w:rsid w:val="485F0636"/>
    <w:rsid w:val="48E22EC4"/>
    <w:rsid w:val="49BC54C3"/>
    <w:rsid w:val="49C12A7C"/>
    <w:rsid w:val="49D26E97"/>
    <w:rsid w:val="49F25388"/>
    <w:rsid w:val="4AA06B93"/>
    <w:rsid w:val="4AF56EDE"/>
    <w:rsid w:val="4B337A07"/>
    <w:rsid w:val="4B644B88"/>
    <w:rsid w:val="4C2D694F"/>
    <w:rsid w:val="4CC0557B"/>
    <w:rsid w:val="4CE06C81"/>
    <w:rsid w:val="504B57F2"/>
    <w:rsid w:val="50A302D1"/>
    <w:rsid w:val="50C86E43"/>
    <w:rsid w:val="51D81E10"/>
    <w:rsid w:val="52285DEB"/>
    <w:rsid w:val="532C36B9"/>
    <w:rsid w:val="532F0199"/>
    <w:rsid w:val="537C1881"/>
    <w:rsid w:val="53912714"/>
    <w:rsid w:val="53933738"/>
    <w:rsid w:val="540D3F19"/>
    <w:rsid w:val="542919A7"/>
    <w:rsid w:val="545804DE"/>
    <w:rsid w:val="54922639"/>
    <w:rsid w:val="564154B0"/>
    <w:rsid w:val="575933F7"/>
    <w:rsid w:val="57F86260"/>
    <w:rsid w:val="5906675A"/>
    <w:rsid w:val="592B7F6F"/>
    <w:rsid w:val="59401C6C"/>
    <w:rsid w:val="5CCF4D19"/>
    <w:rsid w:val="5D79399F"/>
    <w:rsid w:val="5E341674"/>
    <w:rsid w:val="604430C7"/>
    <w:rsid w:val="60591866"/>
    <w:rsid w:val="612754C0"/>
    <w:rsid w:val="614F6A31"/>
    <w:rsid w:val="61A9064A"/>
    <w:rsid w:val="61ED6AAB"/>
    <w:rsid w:val="62487DE4"/>
    <w:rsid w:val="62F349E4"/>
    <w:rsid w:val="638D7F6C"/>
    <w:rsid w:val="63F155D5"/>
    <w:rsid w:val="64125C9E"/>
    <w:rsid w:val="64B13A1E"/>
    <w:rsid w:val="64C94467"/>
    <w:rsid w:val="64DF6B47"/>
    <w:rsid w:val="64E2007C"/>
    <w:rsid w:val="650A27D1"/>
    <w:rsid w:val="65BB608C"/>
    <w:rsid w:val="65C71D90"/>
    <w:rsid w:val="65EC37D4"/>
    <w:rsid w:val="66AB4A40"/>
    <w:rsid w:val="672B7AA1"/>
    <w:rsid w:val="67B5357C"/>
    <w:rsid w:val="68B70D1A"/>
    <w:rsid w:val="68B9350B"/>
    <w:rsid w:val="69900EE9"/>
    <w:rsid w:val="6A2133F4"/>
    <w:rsid w:val="6AE306AA"/>
    <w:rsid w:val="6B2036AC"/>
    <w:rsid w:val="6BB107A8"/>
    <w:rsid w:val="6C6A134C"/>
    <w:rsid w:val="6D5B4E13"/>
    <w:rsid w:val="6DE704B1"/>
    <w:rsid w:val="6EFA06B8"/>
    <w:rsid w:val="6F40431D"/>
    <w:rsid w:val="6F5778B8"/>
    <w:rsid w:val="713A21D2"/>
    <w:rsid w:val="72A915D7"/>
    <w:rsid w:val="73247AB1"/>
    <w:rsid w:val="73CE2A36"/>
    <w:rsid w:val="74583EB6"/>
    <w:rsid w:val="74A470FC"/>
    <w:rsid w:val="74B06408"/>
    <w:rsid w:val="76F31A34"/>
    <w:rsid w:val="77646BE8"/>
    <w:rsid w:val="776F4131"/>
    <w:rsid w:val="78981D74"/>
    <w:rsid w:val="7A767A7E"/>
    <w:rsid w:val="7B641393"/>
    <w:rsid w:val="7B7A2964"/>
    <w:rsid w:val="7BB31300"/>
    <w:rsid w:val="7BEA24DC"/>
    <w:rsid w:val="7E00702D"/>
    <w:rsid w:val="7EDC7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 w:type="paragraph" w:customStyle="1" w:styleId="8">
    <w:name w:val="Bibliography"/>
    <w:basedOn w:val="1"/>
    <w:next w:val="1"/>
    <w:unhideWhenUsed/>
    <w:qFormat/>
    <w:uiPriority w:val="37"/>
    <w:pPr>
      <w:tabs>
        <w:tab w:val="left" w:pos="504"/>
      </w:tabs>
      <w:ind w:left="504" w:hanging="504"/>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37</Pages>
  <Words>5568</Words>
  <Characters>30915</Characters>
  <Lines>443</Lines>
  <Paragraphs>124</Paragraphs>
  <TotalTime>4</TotalTime>
  <ScaleCrop>false</ScaleCrop>
  <LinksUpToDate>false</LinksUpToDate>
  <CharactersWithSpaces>36439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2025-10-27T03:21:00Z</dcterms:created>
  <dc:creator>lenovo</dc:creator>
  <cp:lastModifiedBy>梦佳</cp:lastModifiedBy>
  <dcterms:modified xsi:type="dcterms:W3CDTF">2026-04-22T02:57:48Z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eyJoZGlkIjoiYjQxYTI4NGE3MzIwZTg3ZjY5YTk2MmNhYzlmNGYyZjAiLCJ1c2VySWQiOiIyNDMwMDEwMTMifQ==</vt:lpwstr>
  </property>
  <property fmtid="{D5CDD505-2E9C-101B-9397-08002B2CF9AE}" pid="4" name="ICV">
    <vt:lpwstr>E41BF80EBB2D46319A8A8889342C5350_13</vt:lpwstr>
  </property>
  <property fmtid="{D5CDD505-2E9C-101B-9397-08002B2CF9AE}" pid="5" name="ZOTERO_PREF_1">
    <vt:lpwstr>&lt;data data-version="3" zotero-version="7.0.27"&gt;&lt;session id="xGsRAtvw"/&gt;&lt;style id="http://www.zotero.org/styles/chinese-gb7714-2005-numeric" hasBibliography="1" bibliographyStyleHasBeenSet="1"/&gt;&lt;prefs&gt;&lt;pref name="fieldType" value="Field"/&gt;&lt;/prefs&gt;&lt;/data&gt;</vt:lpwstr>
  </property>
</Properties>
</file>