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07B90"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Supplementary Figure 1. Additional differential-feature patterns between PDAC and non-PDAC.</w:t>
      </w:r>
    </w:p>
    <w:p w14:paraId="2E010C5E"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(A)</w:t>
      </w:r>
      <w:r w:rsidRPr="003B5738">
        <w:rPr>
          <w:rFonts w:ascii="Times New Roman" w:hAnsi="Times New Roman" w:cs="Times New Roman"/>
        </w:rPr>
        <w:t xml:space="preserve"> PCA of differential coverage-derived 5hmC features (windows, peaks, OCRs, and genes). Each dot represents one sample, with </w:t>
      </w:r>
      <w:r w:rsidRPr="003B5738">
        <w:rPr>
          <w:rFonts w:ascii="Times New Roman" w:eastAsia="DengXian" w:hAnsi="Times New Roman" w:cs="Times New Roman"/>
        </w:rPr>
        <w:t xml:space="preserve">different </w:t>
      </w:r>
      <w:r w:rsidRPr="003B5738">
        <w:rPr>
          <w:rFonts w:ascii="Times New Roman" w:hAnsi="Times New Roman" w:cs="Times New Roman"/>
        </w:rPr>
        <w:t xml:space="preserve">colors indicating </w:t>
      </w:r>
      <w:r w:rsidRPr="003B5738">
        <w:rPr>
          <w:rFonts w:ascii="Times New Roman" w:eastAsia="DengXian" w:hAnsi="Times New Roman" w:cs="Times New Roman"/>
        </w:rPr>
        <w:t>groups</w:t>
      </w:r>
      <w:r w:rsidRPr="003B5738">
        <w:rPr>
          <w:rFonts w:ascii="Times New Roman" w:hAnsi="Times New Roman" w:cs="Times New Roman"/>
        </w:rPr>
        <w:t xml:space="preserve"> (PDAC versus non-PDAC); the axes show PC1 and PC2 with explained variance, illustrating group-level separation across feature modalities.</w:t>
      </w:r>
    </w:p>
    <w:p w14:paraId="79444FCE"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(B)</w:t>
      </w:r>
      <w:r w:rsidRPr="003B5738">
        <w:rPr>
          <w:rFonts w:ascii="Times New Roman" w:hAnsi="Times New Roman" w:cs="Times New Roman"/>
        </w:rPr>
        <w:t xml:space="preserve"> Number of significant differential features by coverage-based feature type. </w:t>
      </w:r>
      <w:r w:rsidRPr="003B5738">
        <w:rPr>
          <w:rFonts w:ascii="Times New Roman" w:eastAsia="DengXian" w:hAnsi="Times New Roman" w:cs="Times New Roman"/>
        </w:rPr>
        <w:t>The bars</w:t>
      </w:r>
      <w:r w:rsidRPr="003B5738">
        <w:rPr>
          <w:rFonts w:ascii="Times New Roman" w:hAnsi="Times New Roman" w:cs="Times New Roman"/>
        </w:rPr>
        <w:t xml:space="preserve"> show </w:t>
      </w:r>
      <w:r w:rsidRPr="003B5738">
        <w:rPr>
          <w:rFonts w:ascii="Times New Roman" w:eastAsia="DengXian" w:hAnsi="Times New Roman" w:cs="Times New Roman"/>
        </w:rPr>
        <w:t xml:space="preserve">the </w:t>
      </w:r>
      <w:r w:rsidRPr="003B5738">
        <w:rPr>
          <w:rFonts w:ascii="Times New Roman" w:hAnsi="Times New Roman" w:cs="Times New Roman"/>
        </w:rPr>
        <w:t xml:space="preserve">total counts, and </w:t>
      </w:r>
      <w:r w:rsidRPr="003B5738">
        <w:rPr>
          <w:rFonts w:ascii="Times New Roman" w:eastAsia="DengXian" w:hAnsi="Times New Roman" w:cs="Times New Roman"/>
        </w:rPr>
        <w:t xml:space="preserve">the </w:t>
      </w:r>
      <w:r w:rsidRPr="003B5738">
        <w:rPr>
          <w:rFonts w:ascii="Times New Roman" w:hAnsi="Times New Roman" w:cs="Times New Roman"/>
        </w:rPr>
        <w:t xml:space="preserve">labels indicate upregulated and downregulated features in PDAC </w:t>
      </w:r>
      <w:r w:rsidRPr="003B5738">
        <w:rPr>
          <w:rFonts w:ascii="Times New Roman" w:eastAsia="DengXian" w:hAnsi="Times New Roman" w:cs="Times New Roman"/>
        </w:rPr>
        <w:t xml:space="preserve">patients </w:t>
      </w:r>
      <w:r w:rsidRPr="003B5738">
        <w:rPr>
          <w:rFonts w:ascii="Times New Roman" w:hAnsi="Times New Roman" w:cs="Times New Roman"/>
        </w:rPr>
        <w:t xml:space="preserve">relative to </w:t>
      </w:r>
      <w:r w:rsidRPr="003B5738">
        <w:rPr>
          <w:rFonts w:ascii="Times New Roman" w:eastAsia="DengXian" w:hAnsi="Times New Roman" w:cs="Times New Roman"/>
        </w:rPr>
        <w:t xml:space="preserve">those in </w:t>
      </w:r>
      <w:r w:rsidRPr="003B5738">
        <w:rPr>
          <w:rFonts w:ascii="Times New Roman" w:hAnsi="Times New Roman" w:cs="Times New Roman"/>
        </w:rPr>
        <w:t>non-PDAC</w:t>
      </w:r>
      <w:r w:rsidRPr="003B5738">
        <w:rPr>
          <w:rFonts w:ascii="Times New Roman" w:eastAsia="DengXian" w:hAnsi="Times New Roman" w:cs="Times New Roman"/>
        </w:rPr>
        <w:t xml:space="preserve"> patients</w:t>
      </w:r>
      <w:r w:rsidRPr="003B5738">
        <w:rPr>
          <w:rFonts w:ascii="Times New Roman" w:hAnsi="Times New Roman" w:cs="Times New Roman"/>
        </w:rPr>
        <w:t>.</w:t>
      </w:r>
    </w:p>
    <w:p w14:paraId="4CB693FC"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 xml:space="preserve">(C) </w:t>
      </w:r>
      <w:r w:rsidRPr="003B5738">
        <w:rPr>
          <w:rFonts w:ascii="Times New Roman" w:hAnsi="Times New Roman" w:cs="Times New Roman"/>
        </w:rPr>
        <w:t>Motif diversity score (MDS) comparison between groups. Higher MDS values in PDAC indicate increased end-motif diversity, suggesting a loss of preferential end-motif usage and a shift toward a more uniform motif distribution in PDAC.</w:t>
      </w:r>
    </w:p>
    <w:p w14:paraId="13581805"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(D)</w:t>
      </w:r>
      <w:r w:rsidRPr="003B5738">
        <w:rPr>
          <w:rFonts w:ascii="Times New Roman" w:hAnsi="Times New Roman" w:cs="Times New Roman"/>
        </w:rPr>
        <w:t xml:space="preserve"> Heatmap of FSD differences across genomic regions and fragment-length bins. </w:t>
      </w:r>
      <w:r w:rsidRPr="003B5738">
        <w:rPr>
          <w:rFonts w:ascii="Times New Roman" w:eastAsia="DengXian" w:hAnsi="Times New Roman" w:cs="Times New Roman"/>
        </w:rPr>
        <w:t>The</w:t>
      </w:r>
      <w:r w:rsidRPr="003B5738">
        <w:rPr>
          <w:rFonts w:ascii="Times New Roman" w:hAnsi="Times New Roman" w:cs="Times New Roman"/>
        </w:rPr>
        <w:t xml:space="preserve"> color </w:t>
      </w:r>
      <w:r w:rsidRPr="003B5738">
        <w:rPr>
          <w:rFonts w:ascii="Times New Roman" w:eastAsia="DengXian" w:hAnsi="Times New Roman" w:cs="Times New Roman"/>
        </w:rPr>
        <w:t>of</w:t>
      </w:r>
      <w:r w:rsidRPr="003B5738">
        <w:rPr>
          <w:rFonts w:ascii="Times New Roman" w:hAnsi="Times New Roman" w:cs="Times New Roman"/>
        </w:rPr>
        <w:t xml:space="preserve"> the </w:t>
      </w:r>
      <w:r w:rsidRPr="003B5738">
        <w:rPr>
          <w:rFonts w:ascii="Times New Roman" w:eastAsia="DengXian" w:hAnsi="Times New Roman" w:cs="Times New Roman"/>
        </w:rPr>
        <w:t xml:space="preserve">heatmap represents the </w:t>
      </w:r>
      <w:r w:rsidRPr="003B5738">
        <w:rPr>
          <w:rFonts w:ascii="Times New Roman" w:hAnsi="Times New Roman" w:cs="Times New Roman"/>
        </w:rPr>
        <w:t xml:space="preserve">log2(PDAC/non-PDAC) ratio. </w:t>
      </w:r>
      <w:r w:rsidRPr="003B5738">
        <w:rPr>
          <w:rFonts w:ascii="Times New Roman" w:eastAsia="DengXian" w:hAnsi="Times New Roman" w:cs="Times New Roman"/>
        </w:rPr>
        <w:t>The gold</w:t>
      </w:r>
      <w:r w:rsidRPr="003B5738">
        <w:rPr>
          <w:rFonts w:ascii="Times New Roman" w:hAnsi="Times New Roman" w:cs="Times New Roman"/>
        </w:rPr>
        <w:t xml:space="preserve"> outlines around </w:t>
      </w:r>
      <w:r w:rsidRPr="003B5738">
        <w:rPr>
          <w:rFonts w:ascii="Times New Roman" w:eastAsia="DengXian" w:hAnsi="Times New Roman" w:cs="Times New Roman"/>
        </w:rPr>
        <w:t>the heatmaps</w:t>
      </w:r>
      <w:r w:rsidRPr="003B5738">
        <w:rPr>
          <w:rFonts w:ascii="Times New Roman" w:hAnsi="Times New Roman" w:cs="Times New Roman"/>
        </w:rPr>
        <w:t xml:space="preserve"> denote significantly </w:t>
      </w:r>
      <w:r w:rsidRPr="003B5738">
        <w:rPr>
          <w:rFonts w:ascii="Times New Roman" w:eastAsia="DengXian" w:hAnsi="Times New Roman" w:cs="Times New Roman"/>
        </w:rPr>
        <w:t>different</w:t>
      </w:r>
      <w:r w:rsidRPr="003B5738">
        <w:rPr>
          <w:rFonts w:ascii="Times New Roman" w:hAnsi="Times New Roman" w:cs="Times New Roman"/>
        </w:rPr>
        <w:t xml:space="preserve"> FSD features, illustrating that </w:t>
      </w:r>
      <w:r w:rsidRPr="003B5738">
        <w:rPr>
          <w:rFonts w:ascii="Times New Roman" w:eastAsia="DengXian" w:hAnsi="Times New Roman" w:cs="Times New Roman"/>
        </w:rPr>
        <w:t xml:space="preserve">the </w:t>
      </w:r>
      <w:r w:rsidRPr="003B5738">
        <w:rPr>
          <w:rFonts w:ascii="Times New Roman" w:hAnsi="Times New Roman" w:cs="Times New Roman"/>
        </w:rPr>
        <w:t>most significant FSD differences were concentrated between 140 and 190 bp. In addition, some long/</w:t>
      </w:r>
      <w:proofErr w:type="spellStart"/>
      <w:r w:rsidRPr="003B5738">
        <w:rPr>
          <w:rFonts w:ascii="Times New Roman" w:hAnsi="Times New Roman" w:cs="Times New Roman"/>
        </w:rPr>
        <w:t>multinucleosomal</w:t>
      </w:r>
      <w:proofErr w:type="spellEnd"/>
      <w:r w:rsidRPr="003B5738">
        <w:rPr>
          <w:rFonts w:ascii="Times New Roman" w:hAnsi="Times New Roman" w:cs="Times New Roman"/>
        </w:rPr>
        <w:t xml:space="preserve"> fragments (&gt;220 bp) </w:t>
      </w:r>
      <w:r w:rsidRPr="003B5738">
        <w:rPr>
          <w:rFonts w:ascii="Times New Roman" w:eastAsia="DengXian" w:hAnsi="Times New Roman" w:cs="Times New Roman"/>
        </w:rPr>
        <w:t>presented</w:t>
      </w:r>
      <w:r w:rsidRPr="003B5738">
        <w:rPr>
          <w:rFonts w:ascii="Times New Roman" w:hAnsi="Times New Roman" w:cs="Times New Roman"/>
        </w:rPr>
        <w:t xml:space="preserve"> decreased signals in PDAC, but these changes were not statistically significant.</w:t>
      </w:r>
    </w:p>
    <w:p w14:paraId="359E39C1" w14:textId="77777777" w:rsidR="00732806" w:rsidRPr="003B5738" w:rsidRDefault="00732806" w:rsidP="00732806">
      <w:pPr>
        <w:rPr>
          <w:rFonts w:ascii="Times New Roman" w:hAnsi="Times New Roman" w:cs="Times New Roman"/>
        </w:rPr>
      </w:pPr>
    </w:p>
    <w:p w14:paraId="121A74F6"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 xml:space="preserve">Supplementary Figure 2. Tissue specificity and </w:t>
      </w:r>
      <w:r w:rsidRPr="003B5738">
        <w:rPr>
          <w:rFonts w:ascii="Times New Roman" w:hAnsi="Times New Roman" w:cs="Times New Roman" w:hint="eastAsia"/>
          <w:b/>
          <w:bCs/>
        </w:rPr>
        <w:t>annotation</w:t>
      </w:r>
      <w:r w:rsidRPr="003B5738">
        <w:rPr>
          <w:rFonts w:ascii="Times New Roman" w:hAnsi="Times New Roman" w:cs="Times New Roman"/>
          <w:b/>
          <w:bCs/>
        </w:rPr>
        <w:t xml:space="preserve"> of PDAC-associated differential 5hmC features.</w:t>
      </w:r>
    </w:p>
    <w:p w14:paraId="1C05BEA9"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(A)</w:t>
      </w:r>
      <w:r w:rsidRPr="003B5738">
        <w:rPr>
          <w:rFonts w:ascii="Times New Roman" w:hAnsi="Times New Roman" w:cs="Times New Roman"/>
        </w:rPr>
        <w:t xml:space="preserve"> Tissue-specific enrichment patterns for differential feature sets across four coverage-based modalities (differential peaks, differential windows, differential genes, and differential OCRs). The y-axis lists tissue types, and the x-axis shows enrichment significance. Different feature types captured complementary source signals: differential gene- and window-based features were predominantly enriched in nervous system-related tissues, with window features showing a broader distribution across multiple tissues, including the digestive, breast, and circulatory systems. In contrast, OCR features were most strongly enriched in heart-associated tissues, whereas peak features were enriched </w:t>
      </w:r>
      <w:r w:rsidRPr="003B5738">
        <w:rPr>
          <w:rFonts w:ascii="Times New Roman" w:eastAsia="DengXian" w:hAnsi="Times New Roman" w:cs="Times New Roman"/>
        </w:rPr>
        <w:t xml:space="preserve">mainly </w:t>
      </w:r>
      <w:r w:rsidRPr="003B5738">
        <w:rPr>
          <w:rFonts w:ascii="Times New Roman" w:hAnsi="Times New Roman" w:cs="Times New Roman"/>
        </w:rPr>
        <w:t>in whole blood. Notably, no enrichment of differential features was detected in pancreatic tissue.</w:t>
      </w:r>
    </w:p>
    <w:p w14:paraId="23702333" w14:textId="77777777" w:rsidR="00732806" w:rsidRPr="003B5738" w:rsidRDefault="00732806" w:rsidP="00732806">
      <w:pPr>
        <w:rPr>
          <w:rFonts w:ascii="Times New Roman" w:hAnsi="Times New Roman" w:cs="Times New Roman"/>
          <w:b/>
          <w:bCs/>
        </w:rPr>
      </w:pPr>
      <w:r w:rsidRPr="003B5738">
        <w:rPr>
          <w:rFonts w:ascii="Times New Roman" w:hAnsi="Times New Roman" w:cs="Times New Roman"/>
          <w:b/>
          <w:bCs/>
        </w:rPr>
        <w:t>(B)</w:t>
      </w:r>
      <w:r w:rsidRPr="003B5738">
        <w:rPr>
          <w:rFonts w:ascii="Times New Roman" w:hAnsi="Times New Roman" w:cs="Times New Roman" w:hint="eastAsia"/>
          <w:b/>
          <w:bCs/>
        </w:rPr>
        <w:t xml:space="preserve"> </w:t>
      </w:r>
      <w:r w:rsidRPr="003B5738">
        <w:rPr>
          <w:rFonts w:ascii="Times New Roman" w:hAnsi="Times New Roman" w:cs="Times New Roman"/>
        </w:rPr>
        <w:t xml:space="preserve">HOMER genomic annotation of differential window, OCR, and peak sets. The x-axis lists feature sets and their numbers. The y-axis represents the proportion of annotated genomic regions. </w:t>
      </w:r>
      <w:r w:rsidRPr="003B5738">
        <w:rPr>
          <w:rFonts w:ascii="Times New Roman" w:eastAsia="DengXian" w:hAnsi="Times New Roman" w:cs="Times New Roman"/>
        </w:rPr>
        <w:t>The bar</w:t>
      </w:r>
      <w:r w:rsidRPr="003B5738">
        <w:rPr>
          <w:rFonts w:ascii="Times New Roman" w:hAnsi="Times New Roman" w:cs="Times New Roman"/>
        </w:rPr>
        <w:t xml:space="preserve"> color denotes different genomic annotations. Most regions were annotated as intronic or intergenic across all feature sets, whereas promoter-associated regions were relatively more represented in differential </w:t>
      </w:r>
      <w:r w:rsidRPr="003B5738">
        <w:rPr>
          <w:rFonts w:ascii="Times New Roman" w:eastAsia="DengXian" w:hAnsi="Times New Roman" w:cs="Times New Roman"/>
        </w:rPr>
        <w:t>OCRs</w:t>
      </w:r>
      <w:r w:rsidRPr="003B5738">
        <w:rPr>
          <w:rFonts w:ascii="Times New Roman" w:hAnsi="Times New Roman" w:cs="Times New Roman"/>
        </w:rPr>
        <w:t xml:space="preserve"> and differential peak sets.</w:t>
      </w:r>
    </w:p>
    <w:p w14:paraId="20033226"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w:t>
      </w:r>
      <w:r w:rsidRPr="003B5738">
        <w:rPr>
          <w:rFonts w:ascii="Times New Roman" w:hAnsi="Times New Roman" w:cs="Times New Roman" w:hint="eastAsia"/>
          <w:b/>
          <w:bCs/>
        </w:rPr>
        <w:t>C</w:t>
      </w:r>
      <w:r w:rsidRPr="003B5738">
        <w:rPr>
          <w:rFonts w:ascii="Times New Roman" w:hAnsi="Times New Roman" w:cs="Times New Roman"/>
          <w:b/>
          <w:bCs/>
        </w:rPr>
        <w:t>)</w:t>
      </w:r>
      <w:r w:rsidRPr="003B5738">
        <w:rPr>
          <w:rFonts w:ascii="Times New Roman" w:hAnsi="Times New Roman" w:cs="Times New Roman"/>
        </w:rPr>
        <w:t> </w:t>
      </w:r>
      <w:proofErr w:type="spellStart"/>
      <w:r w:rsidRPr="003B5738">
        <w:rPr>
          <w:rFonts w:ascii="Times New Roman" w:hAnsi="Times New Roman" w:cs="Times New Roman"/>
        </w:rPr>
        <w:t>ChromHMM</w:t>
      </w:r>
      <w:proofErr w:type="spellEnd"/>
      <w:r w:rsidRPr="003B5738">
        <w:rPr>
          <w:rFonts w:ascii="Times New Roman" w:hAnsi="Times New Roman" w:cs="Times New Roman"/>
        </w:rPr>
        <w:t xml:space="preserve"> annotation of differential region-based features. The y-axis shows </w:t>
      </w:r>
      <w:proofErr w:type="spellStart"/>
      <w:r w:rsidRPr="003B5738">
        <w:rPr>
          <w:rFonts w:ascii="Times New Roman" w:hAnsi="Times New Roman" w:cs="Times New Roman"/>
        </w:rPr>
        <w:t>ChromHMM</w:t>
      </w:r>
      <w:proofErr w:type="spellEnd"/>
      <w:r w:rsidRPr="003B5738">
        <w:rPr>
          <w:rFonts w:ascii="Times New Roman" w:hAnsi="Times New Roman" w:cs="Times New Roman"/>
        </w:rPr>
        <w:t xml:space="preserve"> states, and the x-axis shows fold enrichment. Differential peak features were enriched in enhancer-associated states, particularly </w:t>
      </w:r>
      <w:r w:rsidRPr="003B5738">
        <w:rPr>
          <w:rFonts w:ascii="Times New Roman" w:eastAsia="DengXian" w:hAnsi="Times New Roman" w:cs="Times New Roman"/>
        </w:rPr>
        <w:t>those associated with genetic</w:t>
      </w:r>
      <w:r w:rsidRPr="003B5738">
        <w:rPr>
          <w:rFonts w:ascii="Times New Roman" w:hAnsi="Times New Roman" w:cs="Times New Roman"/>
        </w:rPr>
        <w:t xml:space="preserve"> enhancers (</w:t>
      </w:r>
      <w:proofErr w:type="spellStart"/>
      <w:r w:rsidRPr="003B5738">
        <w:rPr>
          <w:rFonts w:ascii="Times New Roman" w:hAnsi="Times New Roman" w:cs="Times New Roman"/>
        </w:rPr>
        <w:t>EnhG</w:t>
      </w:r>
      <w:proofErr w:type="spellEnd"/>
      <w:r w:rsidRPr="003B5738">
        <w:rPr>
          <w:rFonts w:ascii="Times New Roman" w:hAnsi="Times New Roman" w:cs="Times New Roman"/>
        </w:rPr>
        <w:t xml:space="preserve">). </w:t>
      </w:r>
      <w:r w:rsidRPr="003B5738">
        <w:rPr>
          <w:rFonts w:ascii="Times New Roman" w:eastAsia="DengXian" w:hAnsi="Times New Roman" w:cs="Times New Roman"/>
        </w:rPr>
        <w:t>The window</w:t>
      </w:r>
      <w:r w:rsidRPr="003B5738">
        <w:rPr>
          <w:rFonts w:ascii="Times New Roman" w:hAnsi="Times New Roman" w:cs="Times New Roman"/>
        </w:rPr>
        <w:t xml:space="preserve"> and OCR features showed concordant enrichment in transcription-flanking regions, with the strongest enrichment observed for </w:t>
      </w:r>
      <w:r w:rsidRPr="003B5738">
        <w:rPr>
          <w:rFonts w:ascii="Times New Roman" w:eastAsia="DengXian" w:hAnsi="Times New Roman" w:cs="Times New Roman"/>
        </w:rPr>
        <w:t xml:space="preserve">the </w:t>
      </w:r>
      <w:r w:rsidRPr="003B5738">
        <w:rPr>
          <w:rFonts w:ascii="Times New Roman" w:hAnsi="Times New Roman" w:cs="Times New Roman"/>
        </w:rPr>
        <w:t>OCR features.</w:t>
      </w:r>
    </w:p>
    <w:p w14:paraId="35A78E62" w14:textId="77777777" w:rsidR="00732806" w:rsidRPr="003B5738" w:rsidRDefault="00732806" w:rsidP="00732806">
      <w:pPr>
        <w:rPr>
          <w:rFonts w:ascii="Times New Roman" w:hAnsi="Times New Roman" w:cs="Times New Roman"/>
        </w:rPr>
      </w:pPr>
    </w:p>
    <w:p w14:paraId="780E1060"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Supplementary Figure 3. Feature-type</w:t>
      </w:r>
      <w:r w:rsidRPr="003B5738">
        <w:rPr>
          <w:rFonts w:ascii="Times New Roman" w:hAnsi="Times New Roman" w:cs="Times New Roman" w:hint="eastAsia"/>
          <w:b/>
          <w:bCs/>
        </w:rPr>
        <w:t>-</w:t>
      </w:r>
      <w:r w:rsidRPr="003B5738">
        <w:rPr>
          <w:rFonts w:ascii="Times New Roman" w:hAnsi="Times New Roman" w:cs="Times New Roman"/>
          <w:b/>
          <w:bCs/>
        </w:rPr>
        <w:t>specific GO biological process enrichment of PDAC-associated differential 5hmC signals.</w:t>
      </w:r>
    </w:p>
    <w:p w14:paraId="4E973DB7" w14:textId="77777777" w:rsidR="00732806" w:rsidRPr="003B5738" w:rsidRDefault="00732806" w:rsidP="00732806">
      <w:pPr>
        <w:rPr>
          <w:rFonts w:ascii="Times New Roman" w:hAnsi="Times New Roman" w:cs="Times New Roman"/>
        </w:rPr>
      </w:pPr>
      <w:r w:rsidRPr="003B5738">
        <w:rPr>
          <w:rFonts w:ascii="Times New Roman" w:hAnsi="Times New Roman" w:cs="Times New Roman"/>
        </w:rPr>
        <w:t xml:space="preserve">Top enriched GO-BP terms across differential feature types. The y-axis lists </w:t>
      </w:r>
      <w:r w:rsidRPr="003B5738">
        <w:rPr>
          <w:rFonts w:ascii="Times New Roman" w:eastAsia="DengXian" w:hAnsi="Times New Roman" w:cs="Times New Roman"/>
        </w:rPr>
        <w:t xml:space="preserve">the </w:t>
      </w:r>
      <w:r w:rsidRPr="003B5738">
        <w:rPr>
          <w:rFonts w:ascii="Times New Roman" w:hAnsi="Times New Roman" w:cs="Times New Roman"/>
        </w:rPr>
        <w:t>GO terms, the x-</w:t>
      </w:r>
      <w:r w:rsidRPr="003B5738">
        <w:rPr>
          <w:rFonts w:ascii="Times New Roman" w:hAnsi="Times New Roman" w:cs="Times New Roman"/>
        </w:rPr>
        <w:lastRenderedPageBreak/>
        <w:t xml:space="preserve">axis shows </w:t>
      </w:r>
      <w:r w:rsidRPr="003B5738">
        <w:rPr>
          <w:rFonts w:ascii="Times New Roman" w:eastAsia="DengXian" w:hAnsi="Times New Roman" w:cs="Times New Roman"/>
        </w:rPr>
        <w:t xml:space="preserve">the </w:t>
      </w:r>
      <w:r w:rsidRPr="003B5738">
        <w:rPr>
          <w:rFonts w:ascii="Times New Roman" w:hAnsi="Times New Roman" w:cs="Times New Roman"/>
        </w:rPr>
        <w:t xml:space="preserve">fold enrichment, and </w:t>
      </w:r>
      <w:r w:rsidRPr="003B5738">
        <w:rPr>
          <w:rFonts w:ascii="Times New Roman" w:eastAsia="DengXian" w:hAnsi="Times New Roman" w:cs="Times New Roman"/>
        </w:rPr>
        <w:t xml:space="preserve">the </w:t>
      </w:r>
      <w:r w:rsidRPr="003B5738">
        <w:rPr>
          <w:rFonts w:ascii="Times New Roman" w:hAnsi="Times New Roman" w:cs="Times New Roman"/>
        </w:rPr>
        <w:t>bar color indicates the normalized q</w:t>
      </w:r>
      <w:r w:rsidRPr="003B5738">
        <w:rPr>
          <w:rFonts w:ascii="Times New Roman" w:eastAsia="DengXian" w:hAnsi="Times New Roman" w:cs="Times New Roman"/>
        </w:rPr>
        <w:t xml:space="preserve"> </w:t>
      </w:r>
      <w:r w:rsidRPr="003B5738">
        <w:rPr>
          <w:rFonts w:ascii="Times New Roman" w:hAnsi="Times New Roman" w:cs="Times New Roman"/>
        </w:rPr>
        <w:t>value (</w:t>
      </w:r>
      <w:proofErr w:type="spellStart"/>
      <w:r w:rsidRPr="003B5738">
        <w:rPr>
          <w:rFonts w:ascii="Times New Roman" w:hAnsi="Times New Roman" w:cs="Times New Roman"/>
        </w:rPr>
        <w:t>qvalue_norm</w:t>
      </w:r>
      <w:proofErr w:type="spellEnd"/>
      <w:r w:rsidRPr="003B5738">
        <w:rPr>
          <w:rFonts w:ascii="Times New Roman" w:hAnsi="Times New Roman" w:cs="Times New Roman"/>
        </w:rPr>
        <w:t>).</w:t>
      </w:r>
    </w:p>
    <w:p w14:paraId="1B2785A7"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 xml:space="preserve">(A) Gene. </w:t>
      </w:r>
      <w:r w:rsidRPr="003B5738">
        <w:rPr>
          <w:rFonts w:ascii="Times New Roman" w:hAnsi="Times New Roman" w:cs="Times New Roman"/>
        </w:rPr>
        <w:t xml:space="preserve">Gene-level signals were enriched </w:t>
      </w:r>
      <w:r w:rsidRPr="003B5738">
        <w:rPr>
          <w:rFonts w:ascii="Times New Roman" w:eastAsia="DengXian" w:hAnsi="Times New Roman" w:cs="Times New Roman"/>
        </w:rPr>
        <w:t xml:space="preserve">mainly </w:t>
      </w:r>
      <w:r w:rsidRPr="003B5738">
        <w:rPr>
          <w:rFonts w:ascii="Times New Roman" w:hAnsi="Times New Roman" w:cs="Times New Roman"/>
        </w:rPr>
        <w:t>in neuronal and synaptic functional programs.</w:t>
      </w:r>
    </w:p>
    <w:p w14:paraId="563F07EC"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 xml:space="preserve">(B) OCR. </w:t>
      </w:r>
      <w:r w:rsidRPr="003B5738">
        <w:rPr>
          <w:rFonts w:ascii="Times New Roman" w:hAnsi="Times New Roman" w:cs="Times New Roman"/>
        </w:rPr>
        <w:t>OCR-associated signals preferentially reflected developmental and prostaglandin/</w:t>
      </w:r>
      <w:proofErr w:type="spellStart"/>
      <w:r w:rsidRPr="003B5738">
        <w:rPr>
          <w:rFonts w:ascii="Times New Roman" w:hAnsi="Times New Roman" w:cs="Times New Roman"/>
        </w:rPr>
        <w:t>prostanoid</w:t>
      </w:r>
      <w:proofErr w:type="spellEnd"/>
      <w:r w:rsidRPr="003B5738">
        <w:rPr>
          <w:rFonts w:ascii="Times New Roman" w:hAnsi="Times New Roman" w:cs="Times New Roman"/>
        </w:rPr>
        <w:t>-related programs.</w:t>
      </w:r>
    </w:p>
    <w:p w14:paraId="4B1FC1AD"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 xml:space="preserve">(C) Peak. </w:t>
      </w:r>
      <w:r w:rsidRPr="003B5738">
        <w:rPr>
          <w:rFonts w:ascii="Times New Roman" w:hAnsi="Times New Roman" w:cs="Times New Roman"/>
        </w:rPr>
        <w:t>Peak-associated signals were enriched in hematopoietic and immune homeostasis-related processes.</w:t>
      </w:r>
    </w:p>
    <w:p w14:paraId="1C55D4A1"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 xml:space="preserve">(D) Window. </w:t>
      </w:r>
      <w:r w:rsidRPr="003B5738">
        <w:rPr>
          <w:rFonts w:ascii="Times New Roman" w:hAnsi="Times New Roman" w:cs="Times New Roman"/>
        </w:rPr>
        <w:t>Window-level signals captured broader developmental, metabolic, and regulatory programs.</w:t>
      </w:r>
    </w:p>
    <w:p w14:paraId="23CAE29B" w14:textId="77777777" w:rsidR="00732806" w:rsidRPr="003B5738" w:rsidRDefault="00732806" w:rsidP="00732806">
      <w:pPr>
        <w:rPr>
          <w:rFonts w:ascii="Times New Roman" w:hAnsi="Times New Roman" w:cs="Times New Roman"/>
        </w:rPr>
      </w:pPr>
    </w:p>
    <w:p w14:paraId="39641E0A"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Supplementary Figure 4. Additional analys</w:t>
      </w:r>
      <w:r w:rsidRPr="003B5738">
        <w:rPr>
          <w:rFonts w:ascii="Times New Roman" w:hAnsi="Times New Roman" w:cs="Times New Roman" w:hint="eastAsia"/>
          <w:b/>
          <w:bCs/>
        </w:rPr>
        <w:t>i</w:t>
      </w:r>
      <w:r w:rsidRPr="003B5738">
        <w:rPr>
          <w:rFonts w:ascii="Times New Roman" w:hAnsi="Times New Roman" w:cs="Times New Roman"/>
          <w:b/>
          <w:bCs/>
        </w:rPr>
        <w:t>s of stage-associated 5hmC dynamics in PDAC.</w:t>
      </w:r>
    </w:p>
    <w:p w14:paraId="50E13548"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(A)</w:t>
      </w:r>
      <w:r w:rsidRPr="003B5738">
        <w:rPr>
          <w:rFonts w:ascii="Times New Roman" w:hAnsi="Times New Roman" w:cs="Times New Roman"/>
        </w:rPr>
        <w:t> </w:t>
      </w:r>
      <w:r w:rsidRPr="003B5738">
        <w:rPr>
          <w:rFonts w:ascii="Times New Roman" w:eastAsia="DengXian" w:hAnsi="Times New Roman" w:cs="Times New Roman"/>
        </w:rPr>
        <w:t>Stagewise</w:t>
      </w:r>
      <w:r w:rsidRPr="003B5738">
        <w:rPr>
          <w:rFonts w:ascii="Times New Roman" w:hAnsi="Times New Roman" w:cs="Times New Roman"/>
        </w:rPr>
        <w:t xml:space="preserve"> comparison of </w:t>
      </w:r>
      <w:r w:rsidRPr="003B5738">
        <w:rPr>
          <w:rFonts w:ascii="Times New Roman" w:eastAsia="DengXian" w:hAnsi="Times New Roman" w:cs="Times New Roman"/>
        </w:rPr>
        <w:t xml:space="preserve">the </w:t>
      </w:r>
      <w:r w:rsidRPr="003B5738">
        <w:rPr>
          <w:rFonts w:ascii="Times New Roman" w:hAnsi="Times New Roman" w:cs="Times New Roman"/>
        </w:rPr>
        <w:t>motif diversity score (MDS) across stages I, II, III, and IV. End-motif diversity increased with stage, suggesting progressive fragment-end remodeling.</w:t>
      </w:r>
    </w:p>
    <w:p w14:paraId="6AC5E837"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(B)</w:t>
      </w:r>
      <w:r w:rsidRPr="003B5738">
        <w:rPr>
          <w:rFonts w:ascii="Times New Roman" w:hAnsi="Times New Roman" w:cs="Times New Roman"/>
        </w:rPr>
        <w:t xml:space="preserve"> Stagewise trends of GSVA and concordance scores across feature modalities. Among PDAC-discriminative feature types, FSD-derived metrics </w:t>
      </w:r>
      <w:r w:rsidRPr="003B5738">
        <w:rPr>
          <w:rFonts w:ascii="Times New Roman" w:eastAsia="DengXian" w:hAnsi="Times New Roman" w:cs="Times New Roman"/>
        </w:rPr>
        <w:t>significantly increased with increasing stage</w:t>
      </w:r>
      <w:r w:rsidRPr="003B5738">
        <w:rPr>
          <w:rFonts w:ascii="Times New Roman" w:hAnsi="Times New Roman" w:cs="Times New Roman"/>
        </w:rPr>
        <w:t xml:space="preserve">, whereas other modalities </w:t>
      </w:r>
      <w:r w:rsidRPr="003B5738">
        <w:rPr>
          <w:rFonts w:ascii="Times New Roman" w:eastAsia="DengXian" w:hAnsi="Times New Roman" w:cs="Times New Roman"/>
        </w:rPr>
        <w:t>did</w:t>
      </w:r>
      <w:r w:rsidRPr="003B5738">
        <w:rPr>
          <w:rFonts w:ascii="Times New Roman" w:hAnsi="Times New Roman" w:cs="Times New Roman"/>
        </w:rPr>
        <w:t xml:space="preserve"> not </w:t>
      </w:r>
      <w:r w:rsidRPr="003B5738">
        <w:rPr>
          <w:rFonts w:ascii="Times New Roman" w:eastAsia="DengXian" w:hAnsi="Times New Roman" w:cs="Times New Roman"/>
        </w:rPr>
        <w:t>significantly differ</w:t>
      </w:r>
      <w:r w:rsidRPr="003B5738">
        <w:rPr>
          <w:rFonts w:ascii="Times New Roman" w:hAnsi="Times New Roman" w:cs="Times New Roman"/>
        </w:rPr>
        <w:t>.</w:t>
      </w:r>
    </w:p>
    <w:p w14:paraId="456A76BF"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(C)</w:t>
      </w:r>
      <w:r w:rsidRPr="003B5738">
        <w:rPr>
          <w:rFonts w:ascii="Times New Roman" w:hAnsi="Times New Roman" w:cs="Times New Roman"/>
        </w:rPr>
        <w:t xml:space="preserve"> Shared-versus-unique GO-term composition among stage-associated NMF programs (peak_C1, peak_C2, peak_C3, OCR_C1, and OCR_C3). The y-axis denotes the number of enriched GO terms in each component. The x-axis denotes different components and their corresponding top-loading features used for enrichment analysis. </w:t>
      </w:r>
      <w:r w:rsidRPr="003B5738">
        <w:rPr>
          <w:rFonts w:ascii="Times New Roman" w:eastAsia="DengXian" w:hAnsi="Times New Roman" w:cs="Times New Roman"/>
        </w:rPr>
        <w:t>The numbers</w:t>
      </w:r>
      <w:r w:rsidRPr="003B5738">
        <w:rPr>
          <w:rFonts w:ascii="Times New Roman" w:hAnsi="Times New Roman" w:cs="Times New Roman"/>
        </w:rPr>
        <w:t xml:space="preserve"> above </w:t>
      </w:r>
      <w:r w:rsidRPr="003B5738">
        <w:rPr>
          <w:rFonts w:ascii="Times New Roman" w:eastAsia="DengXian" w:hAnsi="Times New Roman" w:cs="Times New Roman"/>
        </w:rPr>
        <w:t xml:space="preserve">the </w:t>
      </w:r>
      <w:r w:rsidRPr="003B5738">
        <w:rPr>
          <w:rFonts w:ascii="Times New Roman" w:hAnsi="Times New Roman" w:cs="Times New Roman"/>
        </w:rPr>
        <w:t>bars indicate total GO terms, with unique GO terms shown in parentheses. Shared terms were defined as GO terms present in at least two components, whereas unique terms were specific to a single component. These results suggest that stage-related programs share a common functional backbone while retaining nonredundant component-specific biology.</w:t>
      </w:r>
    </w:p>
    <w:p w14:paraId="205A6577" w14:textId="77777777" w:rsidR="00732806" w:rsidRPr="003B5738" w:rsidRDefault="00732806" w:rsidP="00732806">
      <w:pPr>
        <w:rPr>
          <w:rFonts w:ascii="Times New Roman" w:hAnsi="Times New Roman" w:cs="Times New Roman"/>
        </w:rPr>
      </w:pPr>
    </w:p>
    <w:p w14:paraId="46F3452C" w14:textId="77777777" w:rsidR="00732806" w:rsidRPr="003B5738" w:rsidRDefault="00732806" w:rsidP="00732806">
      <w:pPr>
        <w:rPr>
          <w:rFonts w:ascii="Times New Roman" w:hAnsi="Times New Roman" w:cs="Times New Roman"/>
          <w:b/>
          <w:bCs/>
        </w:rPr>
      </w:pPr>
      <w:r w:rsidRPr="003B5738">
        <w:rPr>
          <w:rFonts w:ascii="Times New Roman" w:hAnsi="Times New Roman" w:cs="Times New Roman"/>
          <w:b/>
          <w:bCs/>
        </w:rPr>
        <w:t xml:space="preserve">Supplementary Figure 5. Endpoint comparison and functional </w:t>
      </w:r>
      <w:r w:rsidRPr="003B5738">
        <w:rPr>
          <w:rFonts w:ascii="Times New Roman" w:hAnsi="Times New Roman" w:cs="Times New Roman" w:hint="eastAsia"/>
          <w:b/>
          <w:bCs/>
        </w:rPr>
        <w:t>enrichment</w:t>
      </w:r>
      <w:r w:rsidRPr="003B5738">
        <w:rPr>
          <w:rFonts w:ascii="Times New Roman" w:hAnsi="Times New Roman" w:cs="Times New Roman"/>
          <w:b/>
          <w:bCs/>
        </w:rPr>
        <w:t xml:space="preserve"> of </w:t>
      </w:r>
      <w:proofErr w:type="spellStart"/>
      <w:r w:rsidRPr="003B5738">
        <w:rPr>
          <w:rFonts w:ascii="Times New Roman" w:hAnsi="Times New Roman" w:cs="Times New Roman"/>
          <w:b/>
          <w:bCs/>
        </w:rPr>
        <w:t>pseudotime</w:t>
      </w:r>
      <w:proofErr w:type="spellEnd"/>
      <w:r w:rsidRPr="003B5738">
        <w:rPr>
          <w:rFonts w:ascii="Times New Roman" w:hAnsi="Times New Roman" w:cs="Times New Roman"/>
          <w:b/>
          <w:bCs/>
        </w:rPr>
        <w:t>-associated 5hmC features</w:t>
      </w:r>
    </w:p>
    <w:p w14:paraId="7DB172A3"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w:t>
      </w:r>
      <w:r w:rsidRPr="003B5738">
        <w:rPr>
          <w:rFonts w:ascii="Times New Roman" w:hAnsi="Times New Roman" w:cs="Times New Roman" w:hint="eastAsia"/>
          <w:b/>
          <w:bCs/>
        </w:rPr>
        <w:t>A</w:t>
      </w:r>
      <w:r w:rsidRPr="003B5738">
        <w:rPr>
          <w:rFonts w:ascii="Times New Roman" w:hAnsi="Times New Roman" w:cs="Times New Roman"/>
          <w:b/>
          <w:bCs/>
        </w:rPr>
        <w:t>)</w:t>
      </w:r>
      <w:r w:rsidRPr="003B5738">
        <w:rPr>
          <w:rFonts w:ascii="Times New Roman" w:hAnsi="Times New Roman" w:cs="Times New Roman"/>
        </w:rPr>
        <w:t xml:space="preserve"> GO-term enrichment of features stratified by the direction of </w:t>
      </w:r>
      <w:proofErr w:type="spellStart"/>
      <w:r w:rsidRPr="003B5738">
        <w:rPr>
          <w:rFonts w:ascii="Times New Roman" w:hAnsi="Times New Roman" w:cs="Times New Roman"/>
        </w:rPr>
        <w:t>pseudotime</w:t>
      </w:r>
      <w:proofErr w:type="spellEnd"/>
      <w:r w:rsidRPr="003B5738">
        <w:rPr>
          <w:rFonts w:ascii="Times New Roman" w:hAnsi="Times New Roman" w:cs="Times New Roman"/>
        </w:rPr>
        <w:t xml:space="preserve">-associated change: increasing versus decreasing along </w:t>
      </w:r>
      <w:proofErr w:type="spellStart"/>
      <w:r w:rsidRPr="003B5738">
        <w:rPr>
          <w:rFonts w:ascii="Times New Roman" w:hAnsi="Times New Roman" w:cs="Times New Roman"/>
        </w:rPr>
        <w:t>pseudotime</w:t>
      </w:r>
      <w:proofErr w:type="spellEnd"/>
      <w:r w:rsidRPr="003B5738">
        <w:rPr>
          <w:rFonts w:ascii="Times New Roman" w:hAnsi="Times New Roman" w:cs="Times New Roman"/>
        </w:rPr>
        <w:t xml:space="preserve">. Features increasing along </w:t>
      </w:r>
      <w:proofErr w:type="spellStart"/>
      <w:r w:rsidRPr="003B5738">
        <w:rPr>
          <w:rFonts w:ascii="Times New Roman" w:hAnsi="Times New Roman" w:cs="Times New Roman"/>
        </w:rPr>
        <w:t>pseudotime</w:t>
      </w:r>
      <w:proofErr w:type="spellEnd"/>
      <w:r w:rsidRPr="003B5738">
        <w:rPr>
          <w:rFonts w:ascii="Times New Roman" w:hAnsi="Times New Roman" w:cs="Times New Roman"/>
        </w:rPr>
        <w:t xml:space="preserve"> were enriched for signaling-related programs, whereas features decreasing along </w:t>
      </w:r>
      <w:proofErr w:type="spellStart"/>
      <w:r w:rsidRPr="003B5738">
        <w:rPr>
          <w:rFonts w:ascii="Times New Roman" w:hAnsi="Times New Roman" w:cs="Times New Roman"/>
        </w:rPr>
        <w:t>pseudotime</w:t>
      </w:r>
      <w:proofErr w:type="spellEnd"/>
      <w:r w:rsidRPr="003B5738">
        <w:rPr>
          <w:rFonts w:ascii="Times New Roman" w:hAnsi="Times New Roman" w:cs="Times New Roman"/>
        </w:rPr>
        <w:t xml:space="preserve"> were enriched for more basal cellular functions.</w:t>
      </w:r>
    </w:p>
    <w:p w14:paraId="1B87C643"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w:t>
      </w:r>
      <w:r w:rsidRPr="003B5738">
        <w:rPr>
          <w:rFonts w:ascii="Times New Roman" w:hAnsi="Times New Roman" w:cs="Times New Roman" w:hint="eastAsia"/>
          <w:b/>
          <w:bCs/>
        </w:rPr>
        <w:t>B</w:t>
      </w:r>
      <w:r w:rsidRPr="003B5738">
        <w:rPr>
          <w:rFonts w:ascii="Times New Roman" w:hAnsi="Times New Roman" w:cs="Times New Roman"/>
          <w:b/>
          <w:bCs/>
        </w:rPr>
        <w:t>)</w:t>
      </w:r>
      <w:r w:rsidRPr="003B5738">
        <w:rPr>
          <w:rFonts w:ascii="Times New Roman" w:hAnsi="Times New Roman" w:cs="Times New Roman"/>
        </w:rPr>
        <w:t xml:space="preserve"> Endpoint-setting comparison for </w:t>
      </w:r>
      <w:proofErr w:type="spellStart"/>
      <w:r w:rsidRPr="003B5738">
        <w:rPr>
          <w:rFonts w:ascii="Times New Roman" w:hAnsi="Times New Roman" w:cs="Times New Roman"/>
        </w:rPr>
        <w:t>pseudotime</w:t>
      </w:r>
      <w:proofErr w:type="spellEnd"/>
      <w:r w:rsidRPr="003B5738">
        <w:rPr>
          <w:rFonts w:ascii="Times New Roman" w:hAnsi="Times New Roman" w:cs="Times New Roman"/>
        </w:rPr>
        <w:t xml:space="preserve"> construction in gene- and peak-based feature spaces. </w:t>
      </w:r>
      <w:proofErr w:type="spellStart"/>
      <w:r w:rsidRPr="003B5738">
        <w:rPr>
          <w:rFonts w:ascii="Times New Roman" w:hAnsi="Times New Roman" w:cs="Times New Roman"/>
        </w:rPr>
        <w:t>Pseudotime</w:t>
      </w:r>
      <w:proofErr w:type="spellEnd"/>
      <w:r w:rsidRPr="003B5738">
        <w:rPr>
          <w:rFonts w:ascii="Times New Roman" w:hAnsi="Times New Roman" w:cs="Times New Roman"/>
        </w:rPr>
        <w:t xml:space="preserve"> was constructed separately using different state pairs as terminal anchors (s00 versus s11, s00 versus s01, and s00 versus s10). The s00–s11 terminal-state setting provided the most interpretable progression structure, with clearer separation along the trajectory. In contrast, using s01 or s10 as the terminal state resulted in reduced separation among the four states and failed to distinguish them along the trajectory. *p &lt; 0.05, **p &lt; 0.01, and ***p &lt; 0.001.</w:t>
      </w:r>
    </w:p>
    <w:p w14:paraId="42CDB34F" w14:textId="77777777" w:rsidR="00732806" w:rsidRPr="003B5738" w:rsidRDefault="00732806" w:rsidP="00732806">
      <w:pPr>
        <w:rPr>
          <w:rFonts w:ascii="Times New Roman" w:hAnsi="Times New Roman" w:cs="Times New Roman"/>
        </w:rPr>
      </w:pPr>
    </w:p>
    <w:p w14:paraId="6864B5AA"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Supplementary Figure 6. Model</w:t>
      </w:r>
      <w:r w:rsidRPr="003B5738">
        <w:rPr>
          <w:rFonts w:ascii="Times New Roman" w:eastAsia="DengXian" w:hAnsi="Times New Roman" w:cs="Times New Roman"/>
          <w:b/>
          <w:bCs/>
        </w:rPr>
        <w:t xml:space="preserve"> </w:t>
      </w:r>
      <w:r w:rsidRPr="003B5738">
        <w:rPr>
          <w:rFonts w:ascii="Times New Roman" w:hAnsi="Times New Roman" w:cs="Times New Roman"/>
          <w:b/>
          <w:bCs/>
        </w:rPr>
        <w:t>development details and performance comparison for detection and staging frameworks.</w:t>
      </w:r>
    </w:p>
    <w:p w14:paraId="7A9A1E09"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(A)</w:t>
      </w:r>
      <w:r w:rsidRPr="003B5738">
        <w:rPr>
          <w:rFonts w:ascii="Times New Roman" w:hAnsi="Times New Roman" w:cs="Times New Roman"/>
        </w:rPr>
        <w:t xml:space="preserve"> Schematic of first-level model construction. The workflow includes supervised feature </w:t>
      </w:r>
      <w:r w:rsidRPr="003B5738">
        <w:rPr>
          <w:rFonts w:ascii="Times New Roman" w:hAnsi="Times New Roman" w:cs="Times New Roman"/>
        </w:rPr>
        <w:lastRenderedPageBreak/>
        <w:t xml:space="preserve">selection, feature reduction, and task-specific modeling: FLAML for classification tasks and FCN for </w:t>
      </w:r>
      <w:r w:rsidRPr="003B5738">
        <w:rPr>
          <w:rFonts w:ascii="Times New Roman" w:eastAsia="DengXian" w:hAnsi="Times New Roman" w:cs="Times New Roman"/>
        </w:rPr>
        <w:t>multitask</w:t>
      </w:r>
      <w:r w:rsidRPr="003B5738">
        <w:rPr>
          <w:rFonts w:ascii="Times New Roman" w:hAnsi="Times New Roman" w:cs="Times New Roman"/>
        </w:rPr>
        <w:t xml:space="preserve"> regression/classification settings.</w:t>
      </w:r>
    </w:p>
    <w:p w14:paraId="057F32F6"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(B)</w:t>
      </w:r>
      <w:r w:rsidRPr="003B5738">
        <w:rPr>
          <w:rFonts w:ascii="Times New Roman" w:hAnsi="Times New Roman" w:cs="Times New Roman"/>
        </w:rPr>
        <w:t xml:space="preserve"> Composition of repeatedly flagged non-PDAC “abnormal” samples by clinical subgroup. The y-axis shows the proportion (%). </w:t>
      </w:r>
      <w:r w:rsidRPr="003B5738">
        <w:rPr>
          <w:rFonts w:ascii="Times New Roman" w:eastAsia="DengXian" w:hAnsi="Times New Roman" w:cs="Times New Roman"/>
        </w:rPr>
        <w:t>The abnormal</w:t>
      </w:r>
      <w:r w:rsidRPr="003B5738">
        <w:rPr>
          <w:rFonts w:ascii="Times New Roman" w:hAnsi="Times New Roman" w:cs="Times New Roman"/>
        </w:rPr>
        <w:t xml:space="preserve"> samples were enriched in inflammatory/other </w:t>
      </w:r>
      <w:r w:rsidRPr="003B5738">
        <w:rPr>
          <w:rFonts w:ascii="Times New Roman" w:eastAsia="DengXian" w:hAnsi="Times New Roman" w:cs="Times New Roman"/>
        </w:rPr>
        <w:t>nonmalignant</w:t>
      </w:r>
      <w:r w:rsidRPr="003B5738">
        <w:rPr>
          <w:rFonts w:ascii="Times New Roman" w:hAnsi="Times New Roman" w:cs="Times New Roman"/>
        </w:rPr>
        <w:t xml:space="preserve"> conditions rather than benign tumors, supporting PDAC-versus-benign redesign.</w:t>
      </w:r>
    </w:p>
    <w:p w14:paraId="7BD2CC39"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(C)</w:t>
      </w:r>
      <w:r w:rsidRPr="003B5738">
        <w:rPr>
          <w:rFonts w:ascii="Times New Roman" w:hAnsi="Times New Roman" w:cs="Times New Roman"/>
        </w:rPr>
        <w:t xml:space="preserve"> Mean test accuracy of </w:t>
      </w:r>
      <w:r w:rsidRPr="003B5738">
        <w:rPr>
          <w:rFonts w:ascii="Times New Roman" w:eastAsia="DengXian" w:hAnsi="Times New Roman" w:cs="Times New Roman"/>
        </w:rPr>
        <w:t xml:space="preserve">the </w:t>
      </w:r>
      <w:r w:rsidRPr="003B5738">
        <w:rPr>
          <w:rFonts w:ascii="Times New Roman" w:hAnsi="Times New Roman" w:cs="Times New Roman"/>
        </w:rPr>
        <w:t xml:space="preserve">first-level and second-level stacked detection models under </w:t>
      </w:r>
      <w:r w:rsidRPr="003B5738">
        <w:rPr>
          <w:rFonts w:ascii="Times New Roman" w:eastAsia="DengXian" w:hAnsi="Times New Roman" w:cs="Times New Roman"/>
        </w:rPr>
        <w:t>the two-</w:t>
      </w:r>
      <w:r w:rsidRPr="003B5738">
        <w:rPr>
          <w:rFonts w:ascii="Times New Roman" w:hAnsi="Times New Roman" w:cs="Times New Roman"/>
        </w:rPr>
        <w:t xml:space="preserve">label </w:t>
      </w:r>
      <w:r w:rsidRPr="003B5738">
        <w:rPr>
          <w:rFonts w:ascii="Times New Roman" w:eastAsia="DengXian" w:hAnsi="Times New Roman" w:cs="Times New Roman"/>
        </w:rPr>
        <w:t>design. The colored</w:t>
      </w:r>
      <w:r w:rsidRPr="003B5738">
        <w:rPr>
          <w:rFonts w:ascii="Times New Roman" w:hAnsi="Times New Roman" w:cs="Times New Roman"/>
        </w:rPr>
        <w:t xml:space="preserve"> points represent the PDAC-versus-non-PDAC and PDAC-versus-benign settings. Most models performed better under the PDAC-versus-benign design.</w:t>
      </w:r>
    </w:p>
    <w:p w14:paraId="60F1A423"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(D)</w:t>
      </w:r>
      <w:r w:rsidRPr="003B5738">
        <w:rPr>
          <w:rFonts w:ascii="Times New Roman" w:hAnsi="Times New Roman" w:cs="Times New Roman"/>
        </w:rPr>
        <w:t> Distribution of selected best estimators across outer-CV folds for each feature type. Stacked colors denote estimator types chosen by FLAML. The estimator composition was broadly stable across designs, suggesting model-selection robustness.</w:t>
      </w:r>
    </w:p>
    <w:p w14:paraId="3132AF41"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(E)</w:t>
      </w:r>
      <w:r w:rsidRPr="003B5738">
        <w:rPr>
          <w:rFonts w:ascii="Times New Roman" w:hAnsi="Times New Roman" w:cs="Times New Roman"/>
        </w:rPr>
        <w:t xml:space="preserve"> Detection performance, measured by </w:t>
      </w:r>
      <w:r w:rsidRPr="003B5738">
        <w:rPr>
          <w:rFonts w:ascii="Times New Roman" w:eastAsia="DengXian" w:hAnsi="Times New Roman" w:cs="Times New Roman"/>
        </w:rPr>
        <w:t xml:space="preserve">the </w:t>
      </w:r>
      <w:r w:rsidRPr="003B5738">
        <w:rPr>
          <w:rFonts w:ascii="Times New Roman" w:hAnsi="Times New Roman" w:cs="Times New Roman"/>
        </w:rPr>
        <w:t>mean ROC-AUC, by feature type and stacked model. The stacked model provided the best overall discrimination.</w:t>
      </w:r>
    </w:p>
    <w:p w14:paraId="007A109B"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(F)</w:t>
      </w:r>
      <w:r w:rsidRPr="003B5738">
        <w:rPr>
          <w:rFonts w:ascii="Times New Roman" w:hAnsi="Times New Roman" w:cs="Times New Roman"/>
        </w:rPr>
        <w:t> Permutation importance in the final stacked detection model. Although Artemis and motif features were retained in the selected combination, permutation testing indicated that their contributions were very limited, with both values near zero.</w:t>
      </w:r>
    </w:p>
    <w:p w14:paraId="65DBC26E" w14:textId="77777777" w:rsidR="00732806" w:rsidRPr="003B5738" w:rsidRDefault="00732806" w:rsidP="00732806">
      <w:pPr>
        <w:rPr>
          <w:rFonts w:ascii="Times New Roman" w:hAnsi="Times New Roman" w:cs="Times New Roman"/>
        </w:rPr>
      </w:pPr>
      <w:r w:rsidRPr="003B5738">
        <w:rPr>
          <w:rFonts w:ascii="Times New Roman" w:hAnsi="Times New Roman" w:cs="Times New Roman"/>
          <w:b/>
          <w:bCs/>
        </w:rPr>
        <w:t>(G</w:t>
      </w:r>
      <w:r w:rsidRPr="003B5738">
        <w:rPr>
          <w:rFonts w:ascii="Times New Roman" w:hAnsi="Times New Roman" w:cs="Times New Roman" w:hint="eastAsia"/>
          <w:b/>
          <w:bCs/>
        </w:rPr>
        <w:t>-</w:t>
      </w:r>
      <w:r w:rsidRPr="003B5738">
        <w:rPr>
          <w:rFonts w:ascii="Times New Roman" w:hAnsi="Times New Roman" w:cs="Times New Roman"/>
          <w:b/>
          <w:bCs/>
        </w:rPr>
        <w:t>H)</w:t>
      </w:r>
      <w:r w:rsidRPr="003B5738">
        <w:rPr>
          <w:rFonts w:ascii="Times New Roman" w:hAnsi="Times New Roman" w:cs="Times New Roman" w:hint="eastAsia"/>
        </w:rPr>
        <w:t xml:space="preserve"> </w:t>
      </w:r>
      <w:r w:rsidRPr="003B5738">
        <w:rPr>
          <w:rFonts w:ascii="Times New Roman" w:hAnsi="Times New Roman" w:cs="Times New Roman"/>
        </w:rPr>
        <w:t xml:space="preserve">Comparison of stage-prediction performance across first-level and stacked models using </w:t>
      </w:r>
      <w:r w:rsidRPr="003B5738">
        <w:rPr>
          <w:rFonts w:ascii="Times New Roman" w:hAnsi="Times New Roman" w:cs="Times New Roman"/>
          <w:b/>
          <w:bCs/>
        </w:rPr>
        <w:t>mean test log loss</w:t>
      </w:r>
      <w:r w:rsidRPr="003B5738">
        <w:rPr>
          <w:rFonts w:ascii="Times New Roman" w:hAnsi="Times New Roman" w:cs="Times New Roman"/>
        </w:rPr>
        <w:t xml:space="preserve"> </w:t>
      </w:r>
      <w:r w:rsidRPr="003B5738">
        <w:rPr>
          <w:rFonts w:ascii="Times New Roman" w:hAnsi="Times New Roman" w:cs="Times New Roman"/>
          <w:b/>
          <w:bCs/>
        </w:rPr>
        <w:t>(G)</w:t>
      </w:r>
      <w:r w:rsidRPr="003B5738">
        <w:rPr>
          <w:rFonts w:ascii="Times New Roman" w:hAnsi="Times New Roman" w:cs="Times New Roman"/>
        </w:rPr>
        <w:t xml:space="preserve"> and </w:t>
      </w:r>
      <w:r w:rsidRPr="003B5738">
        <w:rPr>
          <w:rFonts w:ascii="Times New Roman" w:hAnsi="Times New Roman" w:cs="Times New Roman"/>
          <w:b/>
          <w:bCs/>
        </w:rPr>
        <w:t>mean macro-AUC</w:t>
      </w:r>
      <w:r w:rsidRPr="003B5738">
        <w:rPr>
          <w:rFonts w:ascii="Times New Roman" w:hAnsi="Times New Roman" w:cs="Times New Roman"/>
        </w:rPr>
        <w:t xml:space="preserve"> </w:t>
      </w:r>
      <w:r w:rsidRPr="003B5738">
        <w:rPr>
          <w:rFonts w:ascii="Times New Roman" w:hAnsi="Times New Roman" w:cs="Times New Roman"/>
          <w:b/>
          <w:bCs/>
        </w:rPr>
        <w:t>(H)</w:t>
      </w:r>
      <w:r w:rsidRPr="003B5738">
        <w:rPr>
          <w:rFonts w:ascii="Times New Roman" w:hAnsi="Times New Roman" w:cs="Times New Roman"/>
        </w:rPr>
        <w:t xml:space="preserve">. Although the </w:t>
      </w:r>
      <w:r w:rsidRPr="003B5738">
        <w:rPr>
          <w:rFonts w:ascii="Times New Roman" w:eastAsia="DengXian" w:hAnsi="Times New Roman" w:cs="Times New Roman"/>
        </w:rPr>
        <w:t xml:space="preserve">mean log loss of the </w:t>
      </w:r>
      <w:r w:rsidRPr="003B5738">
        <w:rPr>
          <w:rFonts w:ascii="Times New Roman" w:hAnsi="Times New Roman" w:cs="Times New Roman"/>
        </w:rPr>
        <w:t xml:space="preserve">stacked model </w:t>
      </w:r>
      <w:r w:rsidRPr="003B5738">
        <w:rPr>
          <w:rFonts w:ascii="Times New Roman" w:eastAsia="DengXian" w:hAnsi="Times New Roman" w:cs="Times New Roman"/>
        </w:rPr>
        <w:t>was</w:t>
      </w:r>
      <w:r w:rsidRPr="003B5738">
        <w:rPr>
          <w:rFonts w:ascii="Times New Roman" w:hAnsi="Times New Roman" w:cs="Times New Roman"/>
        </w:rPr>
        <w:t xml:space="preserve"> slightly less favorable </w:t>
      </w:r>
      <w:r w:rsidRPr="003B5738">
        <w:rPr>
          <w:rFonts w:ascii="Times New Roman" w:eastAsia="DengXian" w:hAnsi="Times New Roman" w:cs="Times New Roman"/>
        </w:rPr>
        <w:t>than that of the</w:t>
      </w:r>
      <w:r w:rsidRPr="003B5738">
        <w:rPr>
          <w:rFonts w:ascii="Times New Roman" w:hAnsi="Times New Roman" w:cs="Times New Roman"/>
        </w:rPr>
        <w:t xml:space="preserve"> first-level </w:t>
      </w:r>
      <w:r w:rsidRPr="003B5738">
        <w:rPr>
          <w:rFonts w:ascii="Times New Roman" w:eastAsia="DengXian" w:hAnsi="Times New Roman" w:cs="Times New Roman"/>
        </w:rPr>
        <w:t xml:space="preserve">OCR </w:t>
      </w:r>
      <w:r w:rsidRPr="003B5738">
        <w:rPr>
          <w:rFonts w:ascii="Times New Roman" w:hAnsi="Times New Roman" w:cs="Times New Roman"/>
        </w:rPr>
        <w:t xml:space="preserve">model, it achieved the highest macro-AUC among all </w:t>
      </w:r>
      <w:r w:rsidRPr="003B5738">
        <w:rPr>
          <w:rFonts w:ascii="Times New Roman" w:eastAsia="DengXian" w:hAnsi="Times New Roman" w:cs="Times New Roman"/>
        </w:rPr>
        <w:t xml:space="preserve">the </w:t>
      </w:r>
      <w:r w:rsidRPr="003B5738">
        <w:rPr>
          <w:rFonts w:ascii="Times New Roman" w:hAnsi="Times New Roman" w:cs="Times New Roman"/>
        </w:rPr>
        <w:t>models, indicating superior overall multiclass discrimination.</w:t>
      </w:r>
    </w:p>
    <w:p w14:paraId="3ABED1AD" w14:textId="77777777" w:rsidR="00732806" w:rsidRPr="003B5738" w:rsidRDefault="00732806" w:rsidP="00732806">
      <w:pPr>
        <w:rPr>
          <w:rFonts w:ascii="Times New Roman" w:hAnsi="Times New Roman" w:cs="Times New Roman"/>
        </w:rPr>
      </w:pPr>
    </w:p>
    <w:p w14:paraId="457EA560"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Supplementary Table 1. Clinicopathological characteristics of the study cohort.</w:t>
      </w:r>
    </w:p>
    <w:p w14:paraId="269B3150"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Supplementary Table 2. Sequencing and alignment quality metrics for cfDNA 5hmC-Seal data.</w:t>
      </w:r>
    </w:p>
    <w:p w14:paraId="2ABF90F2"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Supplementary Table 3. Genomic annotation of 5hmC-associated features (OCRs, peaks, and windows).</w:t>
      </w:r>
    </w:p>
    <w:p w14:paraId="12286750"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Supplementary Table 4. GO enrichment and semantic-similarity reduction of PDAC versus non-PDAC differential 5hmC features.</w:t>
      </w:r>
    </w:p>
    <w:p w14:paraId="331021E9"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Supplementary Table 5. GO enrichment results for stage-associated NMF programs and semantic-similarity reduction of shared GO terms.</w:t>
      </w:r>
    </w:p>
    <w:p w14:paraId="0CF1A3D1"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 xml:space="preserve">Supplementary Table 6. </w:t>
      </w:r>
      <w:proofErr w:type="spellStart"/>
      <w:r w:rsidRPr="003B5738">
        <w:rPr>
          <w:rFonts w:ascii="Times New Roman" w:hAnsi="Times New Roman" w:cs="Times New Roman"/>
          <w:b/>
          <w:bCs/>
        </w:rPr>
        <w:t>Pseudotime</w:t>
      </w:r>
      <w:proofErr w:type="spellEnd"/>
      <w:r w:rsidRPr="003B5738">
        <w:rPr>
          <w:rFonts w:ascii="Times New Roman" w:hAnsi="Times New Roman" w:cs="Times New Roman"/>
          <w:b/>
          <w:bCs/>
        </w:rPr>
        <w:t>-associated differential features along LM- and VI-related pathways.</w:t>
      </w:r>
    </w:p>
    <w:p w14:paraId="2D2636EF"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 xml:space="preserve">Supplementary Table 7. GO enrichment results for LM/VI pathway-specific and </w:t>
      </w:r>
      <w:proofErr w:type="spellStart"/>
      <w:r w:rsidRPr="003B5738">
        <w:rPr>
          <w:rFonts w:ascii="Times New Roman" w:hAnsi="Times New Roman" w:cs="Times New Roman"/>
          <w:b/>
          <w:bCs/>
        </w:rPr>
        <w:t>pseudotime</w:t>
      </w:r>
      <w:proofErr w:type="spellEnd"/>
      <w:r w:rsidRPr="003B5738">
        <w:rPr>
          <w:rFonts w:ascii="Times New Roman" w:hAnsi="Times New Roman" w:cs="Times New Roman"/>
          <w:b/>
          <w:bCs/>
        </w:rPr>
        <w:t>-associated differential features.</w:t>
      </w:r>
    </w:p>
    <w:p w14:paraId="2E163688"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Supplementary Table 8. Non-PDAC samples repeatedly flagged as abnormal in the detection framework.</w:t>
      </w:r>
    </w:p>
    <w:p w14:paraId="2536D2BA"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 xml:space="preserve">Supplementary Table 9. Performance and optimal feature-type combinations of two-level </w:t>
      </w:r>
      <w:r w:rsidRPr="003B5738">
        <w:rPr>
          <w:rFonts w:ascii="Times New Roman" w:hAnsi="Times New Roman" w:cs="Times New Roman"/>
          <w:b/>
          <w:bCs/>
        </w:rPr>
        <w:lastRenderedPageBreak/>
        <w:t>models for detection, staging, and subtyping.</w:t>
      </w:r>
    </w:p>
    <w:p w14:paraId="433F02CF" w14:textId="77777777" w:rsidR="00732806" w:rsidRPr="003B5738" w:rsidRDefault="00732806" w:rsidP="00732806">
      <w:pPr>
        <w:spacing w:after="160" w:line="278" w:lineRule="auto"/>
        <w:rPr>
          <w:rFonts w:ascii="Times New Roman" w:hAnsi="Times New Roman" w:cs="Times New Roman"/>
          <w:b/>
          <w:bCs/>
        </w:rPr>
      </w:pPr>
      <w:r w:rsidRPr="003B5738">
        <w:rPr>
          <w:rFonts w:ascii="Times New Roman" w:hAnsi="Times New Roman" w:cs="Times New Roman"/>
          <w:b/>
          <w:bCs/>
        </w:rPr>
        <w:t>Supplementary Table 10. Detailed model performance metrics across detection, staging, and subtyping.</w:t>
      </w:r>
    </w:p>
    <w:p w14:paraId="635BA5D9" w14:textId="77777777" w:rsidR="00732806" w:rsidRPr="003B5738" w:rsidRDefault="00732806" w:rsidP="00732806">
      <w:pPr>
        <w:rPr>
          <w:rFonts w:ascii="Times New Roman" w:hAnsi="Times New Roman" w:cs="Times New Roman"/>
          <w:b/>
          <w:bCs/>
        </w:rPr>
      </w:pPr>
    </w:p>
    <w:p w14:paraId="4DF67030" w14:textId="77777777" w:rsidR="00732806" w:rsidRPr="003B5738" w:rsidRDefault="00732806" w:rsidP="00732806">
      <w:pPr>
        <w:pStyle w:val="EndNoteBibliography"/>
        <w:rPr>
          <w:rFonts w:ascii="Times New Roman" w:hAnsi="Times New Roman" w:cs="Times New Roman"/>
          <w:b/>
          <w:bCs/>
          <w:noProof w:val="0"/>
          <w:sz w:val="24"/>
          <w:szCs w:val="32"/>
        </w:rPr>
      </w:pPr>
    </w:p>
    <w:p w14:paraId="11E3C3AA" w14:textId="77777777" w:rsidR="00933BE5" w:rsidRDefault="00933BE5"/>
    <w:sectPr w:rsidR="00933BE5" w:rsidSect="00732806">
      <w:footerReference w:type="default" r:id="rId4"/>
      <w:pgSz w:w="11906" w:h="16838"/>
      <w:pgMar w:top="1440" w:right="1800" w:bottom="1440" w:left="1800" w:header="851" w:footer="992" w:gutter="0"/>
      <w:lnNumType w:countBy="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344251"/>
      <w:docPartObj>
        <w:docPartGallery w:val="Page Numbers (Bottom of Page)"/>
        <w:docPartUnique/>
      </w:docPartObj>
    </w:sdtPr>
    <w:sdtContent>
      <w:sdt>
        <w:sdtPr>
          <w:id w:val="1728636285"/>
          <w:docPartObj>
            <w:docPartGallery w:val="Page Numbers (Top of Page)"/>
            <w:docPartUnique/>
          </w:docPartObj>
        </w:sdtPr>
        <w:sdtContent>
          <w:p w14:paraId="023AD308" w14:textId="77777777" w:rsidR="00000000" w:rsidRPr="003B5738" w:rsidRDefault="00000000">
            <w:pPr>
              <w:pStyle w:val="Footer"/>
              <w:jc w:val="center"/>
            </w:pPr>
            <w:r w:rsidRPr="003B5738">
              <w:t xml:space="preserve"> </w:t>
            </w:r>
            <w:r w:rsidRPr="003B5738">
              <w:rPr>
                <w:b/>
                <w:bCs/>
                <w:sz w:val="24"/>
                <w:szCs w:val="24"/>
              </w:rPr>
              <w:fldChar w:fldCharType="begin"/>
            </w:r>
            <w:r w:rsidRPr="003B5738">
              <w:rPr>
                <w:b/>
                <w:bCs/>
              </w:rPr>
              <w:instrText>PAGE</w:instrText>
            </w:r>
            <w:r w:rsidRPr="003B5738">
              <w:rPr>
                <w:b/>
                <w:bCs/>
                <w:sz w:val="24"/>
                <w:szCs w:val="24"/>
              </w:rPr>
              <w:fldChar w:fldCharType="separate"/>
            </w:r>
            <w:r w:rsidRPr="003B5738">
              <w:rPr>
                <w:b/>
                <w:bCs/>
              </w:rPr>
              <w:t>2</w:t>
            </w:r>
            <w:r w:rsidRPr="003B5738">
              <w:rPr>
                <w:b/>
                <w:bCs/>
                <w:sz w:val="24"/>
                <w:szCs w:val="24"/>
              </w:rPr>
              <w:fldChar w:fldCharType="end"/>
            </w:r>
            <w:r w:rsidRPr="003B5738">
              <w:t>/</w:t>
            </w:r>
            <w:r w:rsidRPr="003B5738">
              <w:rPr>
                <w:b/>
                <w:bCs/>
                <w:sz w:val="24"/>
                <w:szCs w:val="24"/>
              </w:rPr>
              <w:fldChar w:fldCharType="begin"/>
            </w:r>
            <w:r w:rsidRPr="003B5738">
              <w:rPr>
                <w:b/>
                <w:bCs/>
              </w:rPr>
              <w:instrText>NUMPAGES</w:instrText>
            </w:r>
            <w:r w:rsidRPr="003B5738">
              <w:rPr>
                <w:b/>
                <w:bCs/>
                <w:sz w:val="24"/>
                <w:szCs w:val="24"/>
              </w:rPr>
              <w:fldChar w:fldCharType="separate"/>
            </w:r>
            <w:r w:rsidRPr="003B5738">
              <w:rPr>
                <w:b/>
                <w:bCs/>
              </w:rPr>
              <w:t>2</w:t>
            </w:r>
            <w:r w:rsidRPr="003B5738">
              <w:rPr>
                <w:b/>
                <w:bCs/>
                <w:sz w:val="24"/>
                <w:szCs w:val="24"/>
              </w:rPr>
              <w:fldChar w:fldCharType="end"/>
            </w:r>
          </w:p>
        </w:sdtContent>
      </w:sdt>
    </w:sdtContent>
  </w:sdt>
  <w:p w14:paraId="25BE9B78" w14:textId="77777777" w:rsidR="00000000" w:rsidRPr="003B5738"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06"/>
    <w:rsid w:val="00732806"/>
    <w:rsid w:val="00933BE5"/>
    <w:rsid w:val="00BB145B"/>
    <w:rsid w:val="00D730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925D"/>
  <w15:chartTrackingRefBased/>
  <w15:docId w15:val="{6A8CD90D-57C9-492F-B851-B357DDF5D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806"/>
    <w:pPr>
      <w:widowControl w:val="0"/>
      <w:spacing w:after="0" w:line="240" w:lineRule="auto"/>
      <w:jc w:val="both"/>
    </w:pPr>
    <w:rPr>
      <w:rFonts w:eastAsiaTheme="minorEastAsia"/>
      <w:sz w:val="21"/>
      <w:szCs w:val="22"/>
      <w:lang w:val="en-US" w:eastAsia="zh-CN"/>
      <w14:ligatures w14:val="none"/>
    </w:rPr>
  </w:style>
  <w:style w:type="paragraph" w:styleId="Heading1">
    <w:name w:val="heading 1"/>
    <w:basedOn w:val="Normal"/>
    <w:next w:val="Normal"/>
    <w:link w:val="Heading1Char"/>
    <w:uiPriority w:val="9"/>
    <w:qFormat/>
    <w:rsid w:val="00732806"/>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732806"/>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732806"/>
    <w:pPr>
      <w:keepNext/>
      <w:keepLines/>
      <w:widowControl/>
      <w:spacing w:before="160" w:after="80" w:line="278" w:lineRule="auto"/>
      <w:jc w:val="left"/>
      <w:outlineLvl w:val="2"/>
    </w:pPr>
    <w:rPr>
      <w:rFonts w:eastAsiaTheme="majorEastAsia" w:cstheme="majorBidi"/>
      <w:color w:val="0F4761" w:themeColor="accent1" w:themeShade="BF"/>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732806"/>
    <w:pPr>
      <w:keepNext/>
      <w:keepLines/>
      <w:widowControl/>
      <w:spacing w:before="80" w:after="40" w:line="278" w:lineRule="auto"/>
      <w:jc w:val="left"/>
      <w:outlineLvl w:val="3"/>
    </w:pPr>
    <w:rPr>
      <w:rFonts w:eastAsiaTheme="majorEastAsia" w:cstheme="majorBidi"/>
      <w:i/>
      <w:iCs/>
      <w:color w:val="0F4761" w:themeColor="accent1" w:themeShade="BF"/>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732806"/>
    <w:pPr>
      <w:keepNext/>
      <w:keepLines/>
      <w:widowControl/>
      <w:spacing w:before="80" w:after="40" w:line="278" w:lineRule="auto"/>
      <w:jc w:val="left"/>
      <w:outlineLvl w:val="4"/>
    </w:pPr>
    <w:rPr>
      <w:rFonts w:eastAsiaTheme="majorEastAsia" w:cstheme="majorBidi"/>
      <w:color w:val="0F4761" w:themeColor="accent1" w:themeShade="BF"/>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732806"/>
    <w:pPr>
      <w:keepNext/>
      <w:keepLines/>
      <w:widowControl/>
      <w:spacing w:before="40" w:line="278" w:lineRule="auto"/>
      <w:jc w:val="left"/>
      <w:outlineLvl w:val="5"/>
    </w:pPr>
    <w:rPr>
      <w:rFonts w:eastAsiaTheme="majorEastAsia" w:cstheme="majorBidi"/>
      <w:i/>
      <w:iCs/>
      <w:color w:val="595959" w:themeColor="text1" w:themeTint="A6"/>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732806"/>
    <w:pPr>
      <w:keepNext/>
      <w:keepLines/>
      <w:widowControl/>
      <w:spacing w:before="40" w:line="278" w:lineRule="auto"/>
      <w:jc w:val="left"/>
      <w:outlineLvl w:val="6"/>
    </w:pPr>
    <w:rPr>
      <w:rFonts w:eastAsiaTheme="majorEastAsia" w:cstheme="majorBidi"/>
      <w:color w:val="595959" w:themeColor="text1" w:themeTint="A6"/>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732806"/>
    <w:pPr>
      <w:keepNext/>
      <w:keepLines/>
      <w:widowControl/>
      <w:spacing w:line="278" w:lineRule="auto"/>
      <w:jc w:val="left"/>
      <w:outlineLvl w:val="7"/>
    </w:pPr>
    <w:rPr>
      <w:rFonts w:eastAsiaTheme="majorEastAsia" w:cstheme="majorBidi"/>
      <w:i/>
      <w:iCs/>
      <w:color w:val="272727" w:themeColor="text1" w:themeTint="D8"/>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732806"/>
    <w:pPr>
      <w:keepNext/>
      <w:keepLines/>
      <w:widowControl/>
      <w:spacing w:line="278" w:lineRule="auto"/>
      <w:jc w:val="left"/>
      <w:outlineLvl w:val="8"/>
    </w:pPr>
    <w:rPr>
      <w:rFonts w:eastAsiaTheme="majorEastAsia" w:cstheme="majorBidi"/>
      <w:color w:val="272727" w:themeColor="text1" w:themeTint="D8"/>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8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8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8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8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8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806"/>
    <w:rPr>
      <w:rFonts w:eastAsiaTheme="majorEastAsia" w:cstheme="majorBidi"/>
      <w:color w:val="272727" w:themeColor="text1" w:themeTint="D8"/>
    </w:rPr>
  </w:style>
  <w:style w:type="paragraph" w:styleId="Title">
    <w:name w:val="Title"/>
    <w:basedOn w:val="Normal"/>
    <w:next w:val="Normal"/>
    <w:link w:val="TitleChar"/>
    <w:uiPriority w:val="10"/>
    <w:qFormat/>
    <w:rsid w:val="00732806"/>
    <w:pPr>
      <w:widowControl/>
      <w:spacing w:after="80"/>
      <w:contextualSpacing/>
      <w:jc w:val="left"/>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732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806"/>
    <w:pPr>
      <w:widowControl/>
      <w:numPr>
        <w:ilvl w:val="1"/>
      </w:numPr>
      <w:spacing w:after="160" w:line="278" w:lineRule="auto"/>
      <w:jc w:val="left"/>
    </w:pPr>
    <w:rPr>
      <w:rFonts w:eastAsiaTheme="majorEastAsia" w:cstheme="majorBidi"/>
      <w:color w:val="595959" w:themeColor="text1" w:themeTint="A6"/>
      <w:spacing w:val="15"/>
      <w:sz w:val="28"/>
      <w:szCs w:val="28"/>
      <w:lang w:val="en-IN" w:eastAsia="en-US"/>
      <w14:ligatures w14:val="standardContextual"/>
    </w:rPr>
  </w:style>
  <w:style w:type="character" w:customStyle="1" w:styleId="SubtitleChar">
    <w:name w:val="Subtitle Char"/>
    <w:basedOn w:val="DefaultParagraphFont"/>
    <w:link w:val="Subtitle"/>
    <w:uiPriority w:val="11"/>
    <w:rsid w:val="00732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806"/>
    <w:pPr>
      <w:widowControl/>
      <w:spacing w:before="160" w:after="160" w:line="278" w:lineRule="auto"/>
      <w:jc w:val="center"/>
    </w:pPr>
    <w:rPr>
      <w:rFonts w:eastAsiaTheme="minorHAnsi"/>
      <w:i/>
      <w:iCs/>
      <w:color w:val="404040" w:themeColor="text1" w:themeTint="BF"/>
      <w:sz w:val="24"/>
      <w:szCs w:val="24"/>
      <w:lang w:val="en-IN" w:eastAsia="en-US"/>
      <w14:ligatures w14:val="standardContextual"/>
    </w:rPr>
  </w:style>
  <w:style w:type="character" w:customStyle="1" w:styleId="QuoteChar">
    <w:name w:val="Quote Char"/>
    <w:basedOn w:val="DefaultParagraphFont"/>
    <w:link w:val="Quote"/>
    <w:uiPriority w:val="29"/>
    <w:rsid w:val="00732806"/>
    <w:rPr>
      <w:i/>
      <w:iCs/>
      <w:color w:val="404040" w:themeColor="text1" w:themeTint="BF"/>
    </w:rPr>
  </w:style>
  <w:style w:type="paragraph" w:styleId="ListParagraph">
    <w:name w:val="List Paragraph"/>
    <w:basedOn w:val="Normal"/>
    <w:uiPriority w:val="34"/>
    <w:qFormat/>
    <w:rsid w:val="00732806"/>
    <w:pPr>
      <w:widowControl/>
      <w:spacing w:after="160" w:line="278" w:lineRule="auto"/>
      <w:ind w:left="720"/>
      <w:contextualSpacing/>
      <w:jc w:val="left"/>
    </w:pPr>
    <w:rPr>
      <w:rFonts w:eastAsiaTheme="minorHAnsi"/>
      <w:sz w:val="24"/>
      <w:szCs w:val="24"/>
      <w:lang w:val="en-IN" w:eastAsia="en-US"/>
      <w14:ligatures w14:val="standardContextual"/>
    </w:rPr>
  </w:style>
  <w:style w:type="character" w:styleId="IntenseEmphasis">
    <w:name w:val="Intense Emphasis"/>
    <w:basedOn w:val="DefaultParagraphFont"/>
    <w:uiPriority w:val="21"/>
    <w:qFormat/>
    <w:rsid w:val="00732806"/>
    <w:rPr>
      <w:i/>
      <w:iCs/>
      <w:color w:val="0F4761" w:themeColor="accent1" w:themeShade="BF"/>
    </w:rPr>
  </w:style>
  <w:style w:type="paragraph" w:styleId="IntenseQuote">
    <w:name w:val="Intense Quote"/>
    <w:basedOn w:val="Normal"/>
    <w:next w:val="Normal"/>
    <w:link w:val="IntenseQuoteChar"/>
    <w:uiPriority w:val="30"/>
    <w:qFormat/>
    <w:rsid w:val="00732806"/>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732806"/>
    <w:rPr>
      <w:i/>
      <w:iCs/>
      <w:color w:val="0F4761" w:themeColor="accent1" w:themeShade="BF"/>
    </w:rPr>
  </w:style>
  <w:style w:type="character" w:styleId="IntenseReference">
    <w:name w:val="Intense Reference"/>
    <w:basedOn w:val="DefaultParagraphFont"/>
    <w:uiPriority w:val="32"/>
    <w:qFormat/>
    <w:rsid w:val="00732806"/>
    <w:rPr>
      <w:b/>
      <w:bCs/>
      <w:smallCaps/>
      <w:color w:val="0F4761" w:themeColor="accent1" w:themeShade="BF"/>
      <w:spacing w:val="5"/>
    </w:rPr>
  </w:style>
  <w:style w:type="paragraph" w:styleId="Footer">
    <w:name w:val="footer"/>
    <w:basedOn w:val="Normal"/>
    <w:link w:val="FooterChar"/>
    <w:uiPriority w:val="99"/>
    <w:unhideWhenUsed/>
    <w:rsid w:val="00732806"/>
    <w:pPr>
      <w:tabs>
        <w:tab w:val="center" w:pos="4153"/>
        <w:tab w:val="right" w:pos="8306"/>
      </w:tabs>
      <w:snapToGrid w:val="0"/>
      <w:spacing w:after="160"/>
      <w:jc w:val="left"/>
    </w:pPr>
    <w:rPr>
      <w:sz w:val="18"/>
      <w:szCs w:val="18"/>
      <w14:ligatures w14:val="standardContextual"/>
    </w:rPr>
  </w:style>
  <w:style w:type="character" w:customStyle="1" w:styleId="FooterChar">
    <w:name w:val="Footer Char"/>
    <w:basedOn w:val="DefaultParagraphFont"/>
    <w:link w:val="Footer"/>
    <w:uiPriority w:val="99"/>
    <w:rsid w:val="00732806"/>
    <w:rPr>
      <w:rFonts w:eastAsiaTheme="minorEastAsia"/>
      <w:sz w:val="18"/>
      <w:szCs w:val="18"/>
      <w:lang w:val="en-US" w:eastAsia="zh-CN"/>
    </w:rPr>
  </w:style>
  <w:style w:type="paragraph" w:customStyle="1" w:styleId="EndNoteBibliography">
    <w:name w:val="EndNote Bibliography"/>
    <w:basedOn w:val="Normal"/>
    <w:link w:val="EndNoteBibliography0"/>
    <w:rsid w:val="00732806"/>
    <w:rPr>
      <w:rFonts w:ascii="DengXian" w:eastAsia="DengXian" w:hAnsi="DengXian"/>
      <w:noProof/>
      <w:sz w:val="20"/>
    </w:rPr>
  </w:style>
  <w:style w:type="character" w:customStyle="1" w:styleId="EndNoteBibliography0">
    <w:name w:val="EndNote Bibliography 字符"/>
    <w:basedOn w:val="DefaultParagraphFont"/>
    <w:link w:val="EndNoteBibliography"/>
    <w:rsid w:val="00732806"/>
    <w:rPr>
      <w:rFonts w:ascii="DengXian" w:eastAsia="DengXian" w:hAnsi="DengXian"/>
      <w:noProof/>
      <w:sz w:val="20"/>
      <w:szCs w:val="22"/>
      <w:lang w:val="en-US" w:eastAsia="zh-CN"/>
      <w14:ligatures w14:val="none"/>
    </w:rPr>
  </w:style>
  <w:style w:type="character" w:styleId="LineNumber">
    <w:name w:val="line number"/>
    <w:basedOn w:val="DefaultParagraphFont"/>
    <w:uiPriority w:val="99"/>
    <w:semiHidden/>
    <w:unhideWhenUsed/>
    <w:rsid w:val="00732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1348</Words>
  <Characters>7690</Characters>
  <Application>Microsoft Office Word</Application>
  <DocSecurity>0</DocSecurity>
  <Lines>64</Lines>
  <Paragraphs>18</Paragraphs>
  <ScaleCrop>false</ScaleCrop>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Divviyasri Ramesh (Integra)</dc:creator>
  <cp:keywords/>
  <dc:description/>
  <cp:lastModifiedBy>Divviyasri Ramesh (Integra)</cp:lastModifiedBy>
  <cp:revision>1</cp:revision>
  <dcterms:created xsi:type="dcterms:W3CDTF">2026-08-13T05:29:00Z</dcterms:created>
  <dcterms:modified xsi:type="dcterms:W3CDTF">2026-08-13T05:29:00Z</dcterms:modified>
</cp:coreProperties>
</file>