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0786D" w14:textId="230FDEFE" w:rsidR="002B1936" w:rsidRPr="0080143B" w:rsidRDefault="00D160D6" w:rsidP="00202026">
      <w:pPr>
        <w:spacing w:line="360" w:lineRule="auto"/>
        <w:jc w:val="both"/>
        <w:rPr>
          <w:rFonts w:eastAsia="宋体" w:cs="Times New Roman"/>
          <w:b/>
          <w:lang w:eastAsia="zh-CN"/>
        </w:rPr>
      </w:pPr>
      <w:r w:rsidRPr="0080143B">
        <w:rPr>
          <w:rFonts w:cs="Times New Roman"/>
          <w:b/>
        </w:rPr>
        <w:t>Supplementa</w:t>
      </w:r>
      <w:r w:rsidR="00563B10" w:rsidRPr="0080143B">
        <w:rPr>
          <w:rFonts w:eastAsia="宋体" w:cs="Times New Roman"/>
          <w:b/>
          <w:lang w:eastAsia="zh-CN"/>
        </w:rPr>
        <w:t>ry</w:t>
      </w:r>
      <w:r w:rsidRPr="0080143B">
        <w:rPr>
          <w:rFonts w:cs="Times New Roman"/>
          <w:b/>
        </w:rPr>
        <w:t xml:space="preserve"> Methods</w:t>
      </w:r>
    </w:p>
    <w:p w14:paraId="2697954C" w14:textId="77777777" w:rsidR="00F30026" w:rsidRPr="00AB27B1" w:rsidRDefault="006A4234" w:rsidP="00202026">
      <w:pPr>
        <w:spacing w:line="360" w:lineRule="auto"/>
        <w:rPr>
          <w:rFonts w:eastAsia="宋体" w:cs="Times New Roman"/>
          <w:b/>
          <w:bCs/>
          <w:lang w:eastAsia="zh-CN" w:bidi="ar"/>
        </w:rPr>
      </w:pPr>
      <w:r w:rsidRPr="00AB27B1">
        <w:rPr>
          <w:rFonts w:eastAsia="宋体" w:cs="Times New Roman"/>
          <w:b/>
          <w:bCs/>
          <w:lang w:bidi="ar"/>
        </w:rPr>
        <w:t>1. Trial information (Patient 1 and 2)</w:t>
      </w:r>
    </w:p>
    <w:p w14:paraId="5DC5F550" w14:textId="77777777" w:rsidR="00F30026" w:rsidRPr="00AB27B1" w:rsidRDefault="006A4234" w:rsidP="00202026">
      <w:pPr>
        <w:spacing w:line="360" w:lineRule="auto"/>
        <w:rPr>
          <w:rFonts w:eastAsia="宋体" w:cs="Times New Roman"/>
          <w:b/>
          <w:bCs/>
          <w:lang w:eastAsia="zh-CN" w:bidi="ar"/>
        </w:rPr>
      </w:pPr>
      <w:r w:rsidRPr="00AB27B1">
        <w:rPr>
          <w:rFonts w:eastAsia="宋体" w:cs="Times New Roman"/>
          <w:lang w:bidi="ar"/>
        </w:rPr>
        <w:t xml:space="preserve">Trial title: </w:t>
      </w:r>
      <w:r w:rsidRPr="00AB27B1">
        <w:rPr>
          <w:rFonts w:eastAsia="宋体" w:cs="Times New Roman"/>
        </w:rPr>
        <w:t>Autologous and Donor-derived CD7 CAR-T Therapy in Refractory or Relapsed T-cell Malignancies (ClinicalTrials.gov ID: NCT06316427).</w:t>
      </w:r>
    </w:p>
    <w:p w14:paraId="047D6FFF" w14:textId="3EB91777" w:rsidR="006A4234" w:rsidRPr="00AB27B1" w:rsidRDefault="006A4234" w:rsidP="00202026">
      <w:pPr>
        <w:spacing w:line="360" w:lineRule="auto"/>
        <w:rPr>
          <w:rFonts w:eastAsia="宋体" w:cs="Times New Roman"/>
          <w:b/>
          <w:bCs/>
          <w:lang w:bidi="ar"/>
        </w:rPr>
      </w:pPr>
      <w:r w:rsidRPr="00AB27B1">
        <w:rPr>
          <w:rFonts w:eastAsia="宋体" w:cs="Times New Roman"/>
          <w:lang w:bidi="ar"/>
        </w:rPr>
        <w:t>Inclusion criteria:</w:t>
      </w:r>
    </w:p>
    <w:p w14:paraId="7EA148DC" w14:textId="16A27DF7" w:rsidR="006A4234" w:rsidRPr="00AB27B1" w:rsidRDefault="006A4234" w:rsidP="00202026">
      <w:pPr>
        <w:spacing w:line="360" w:lineRule="auto"/>
        <w:rPr>
          <w:rFonts w:eastAsia="宋体" w:cs="Times New Roman"/>
          <w:lang w:eastAsia="zh-CN" w:bidi="ar"/>
        </w:rPr>
      </w:pPr>
      <w:r w:rsidRPr="00AB27B1">
        <w:rPr>
          <w:rFonts w:eastAsia="宋体" w:cs="Times New Roman"/>
          <w:lang w:bidi="ar"/>
        </w:rPr>
        <w:t>Patients were eligible if they met all of the following conditions: (1) Diagnosis of relapsed or refractory CD7-positive T-ALL/LBL that had progressed after, or was intolerant to, all available standard therapies, with no remaining curative options (e.g., SCT or chemotherapy); or patients with confirmed CD7 antigen expression who achieved complete remission within 3 months but remained MRD-positive. (2) Tumor cells in the bone marrow or cerebrospinal fluid were required to be CD7-positive by flow cytometry, or tumor tissue was required to be CD7-positive by immunohistochemistry. CD7 positivity was defined as follows: for flow cytometry, tumor cells with &gt;80% CD7 expression and mean fluorescence intensity (MFI) comparable to normal T cells were considered fully positive, whereas tumor cells with &gt;80% CD7 expression but with MFI at least 1 log lower than normal T cells were considered dim, and tumor cells expressing CD7 in 20-80% of the population were considered partially positive; for immunohistochemistry, tumor cells with &gt;30% CD7 expression were considered positive. (3) Male or female patients aged 1-70 years. (4) No history of severe allergic constitution. (5) Eastern Cooperative Oncology Group (ECOG) performance status score of 0-2. (6) Estimated life expectancy of at least 60 days, as determined by the investigator. (7) Written informed consent was obtained from all participants prior to any screening procedures. Participants were required to have the capacity to understand and sign the informed consent form and to comply with the study schedule and procedures. For candidates aged 19-70 years, sufficient awareness and understanding to provide informed consent were required. Children aged 1-7 years were enrolled with written consent from their legal guardians or patient advocates. Children aged 8-18 years were required to provide assent, with written consent also obtained from their legal guardians or patient advocates.</w:t>
      </w:r>
    </w:p>
    <w:p w14:paraId="0C7508E6" w14:textId="77777777" w:rsidR="006A4234" w:rsidRPr="00AB27B1" w:rsidRDefault="006A4234" w:rsidP="00202026">
      <w:pPr>
        <w:spacing w:line="360" w:lineRule="auto"/>
        <w:rPr>
          <w:rFonts w:eastAsia="宋体" w:cs="Times New Roman"/>
          <w:lang w:bidi="ar"/>
        </w:rPr>
      </w:pPr>
      <w:r w:rsidRPr="00AB27B1">
        <w:rPr>
          <w:rFonts w:eastAsia="宋体" w:cs="Times New Roman"/>
          <w:lang w:bidi="ar"/>
        </w:rPr>
        <w:t>Exclusion criteria:</w:t>
      </w:r>
    </w:p>
    <w:p w14:paraId="00E32578" w14:textId="77777777" w:rsidR="006A4234" w:rsidRPr="00AB27B1" w:rsidRDefault="006A4234" w:rsidP="00202026">
      <w:pPr>
        <w:spacing w:line="360" w:lineRule="auto"/>
        <w:rPr>
          <w:rFonts w:eastAsia="宋体" w:cs="Times New Roman"/>
          <w:lang w:bidi="ar"/>
        </w:rPr>
      </w:pPr>
      <w:r w:rsidRPr="00AB27B1">
        <w:rPr>
          <w:rFonts w:eastAsia="宋体" w:cs="Times New Roman"/>
          <w:lang w:bidi="ar"/>
        </w:rPr>
        <w:t xml:space="preserve">Patients who meet any of following exclusion criteria would be excluded: (1) Intracranial hypertension or disorder of consciousness. (2) Symptomatic heart failure or severe arrhythmia. (3) Symptoms of severe respiratory failure. (4) Complicated with other types of malignant tumors. (5) Diffuse intravascular coagulation. (6) Serum creatinine and / or blood urea nitrogen ≥1.5 times of the normal value. (7) Suffering from sepsis or other uncontrollable infections. (8) Patients with uncontrollable diabetes. (9) </w:t>
      </w:r>
      <w:r w:rsidRPr="00AB27B1">
        <w:rPr>
          <w:rFonts w:eastAsia="宋体" w:cs="Times New Roman"/>
          <w:lang w:bidi="ar"/>
        </w:rPr>
        <w:lastRenderedPageBreak/>
        <w:t>Severe mental disorders. (10) Obvious and active intracranial lesions were detected by cranial magnetic resonance imaging (MRI). (11) Allergic constitution. (12) Have received organ transplantation (excluding bone marrow transplant). (13) Reproductive-aged female patients with positive blood human chorionic gonadotropin (HCG) test. (14) Screened to be positive of infection of hepatitis (including hepatitis B and C), acquired immunodeficiency syndrome (AIDS) or syphilis.</w:t>
      </w:r>
    </w:p>
    <w:p w14:paraId="25210BC4" w14:textId="77777777" w:rsidR="006A4234" w:rsidRPr="0080143B" w:rsidRDefault="006A4234" w:rsidP="00202026">
      <w:pPr>
        <w:spacing w:line="360" w:lineRule="auto"/>
        <w:rPr>
          <w:rFonts w:eastAsia="宋体" w:cs="Times New Roman"/>
          <w:lang w:bidi="ar"/>
        </w:rPr>
      </w:pPr>
    </w:p>
    <w:p w14:paraId="7FCD2741" w14:textId="77777777" w:rsidR="006A4234" w:rsidRPr="00AB27B1" w:rsidRDefault="006A4234" w:rsidP="00202026">
      <w:pPr>
        <w:spacing w:line="360" w:lineRule="auto"/>
        <w:rPr>
          <w:rFonts w:eastAsia="宋体" w:cs="Times New Roman"/>
          <w:b/>
          <w:bCs/>
          <w:lang w:bidi="ar"/>
        </w:rPr>
      </w:pPr>
      <w:r w:rsidRPr="00AB27B1">
        <w:rPr>
          <w:rFonts w:eastAsia="宋体" w:cs="Times New Roman"/>
          <w:b/>
          <w:bCs/>
          <w:lang w:bidi="ar"/>
        </w:rPr>
        <w:t>2. Trial information (Patient 3)</w:t>
      </w:r>
    </w:p>
    <w:p w14:paraId="3BA74130" w14:textId="163D3ACF" w:rsidR="006A4234" w:rsidRPr="00AB27B1" w:rsidRDefault="006A4234" w:rsidP="00202026">
      <w:pPr>
        <w:spacing w:line="360" w:lineRule="auto"/>
        <w:rPr>
          <w:rFonts w:eastAsia="宋体" w:cs="Times New Roman"/>
          <w:lang w:eastAsia="zh-CN" w:bidi="ar"/>
        </w:rPr>
      </w:pPr>
      <w:r w:rsidRPr="00AB27B1">
        <w:rPr>
          <w:rFonts w:eastAsia="宋体" w:cs="Times New Roman"/>
        </w:rPr>
        <w:t>Trial title: A Multicenter, Open-Label, Non-Randomized, Single-Arm Clinical Study of Nanobody CD5-CAR T Cell Therapy for Refractory/​Relapsed T Lymphocyte Malignancies (ClinicalTrials.gov ID: NCT07070323).</w:t>
      </w:r>
    </w:p>
    <w:p w14:paraId="1A7CACA0" w14:textId="77777777" w:rsidR="006A4234" w:rsidRPr="00AB27B1" w:rsidRDefault="006A4234" w:rsidP="00202026">
      <w:pPr>
        <w:spacing w:line="360" w:lineRule="auto"/>
        <w:rPr>
          <w:rFonts w:eastAsia="宋体" w:cs="Times New Roman"/>
          <w:lang w:bidi="ar"/>
        </w:rPr>
      </w:pPr>
      <w:r w:rsidRPr="00AB27B1">
        <w:rPr>
          <w:rFonts w:eastAsia="宋体" w:cs="Times New Roman"/>
          <w:lang w:bidi="ar"/>
        </w:rPr>
        <w:t>Inclusion criteria:</w:t>
      </w:r>
    </w:p>
    <w:p w14:paraId="15DE1548" w14:textId="32622FA6" w:rsidR="006A4234" w:rsidRPr="00AB27B1" w:rsidRDefault="006A4234" w:rsidP="00202026">
      <w:pPr>
        <w:spacing w:line="360" w:lineRule="auto"/>
        <w:rPr>
          <w:rFonts w:eastAsia="宋体" w:cs="Times New Roman"/>
          <w:lang w:eastAsia="zh-CN" w:bidi="ar"/>
        </w:rPr>
      </w:pPr>
      <w:r w:rsidRPr="00AB27B1">
        <w:rPr>
          <w:rFonts w:eastAsia="宋体" w:cs="Times New Roman"/>
          <w:lang w:bidi="ar"/>
        </w:rPr>
        <w:t>Patients were eligible if they met all the following conditions: (1) Diagnosis of relapsed or refractory CD5+ T-cell malignancies that had progressed after, or was intolerant to, all available standard therapies, with no remaining curative options (e.g., SCT or chemotherapy). (2) For subjects who received autologous CD5 CAR T cells, the tumor burden in peripheral blood is less than 20% and suspending anti-neoplastic treatment for more than 2 weeks. Tumor cells in the bone marrow or cerebrospinal fluid were required to be CD5-positive by flow cytometry, or tumor tissue was required to be CD5-positive by immunohistochemistry. CD5 positivity was defined as follows: positive rate &gt;80% by flow cytometry with less than 1 log difference in mean fluorescence intensity from normal T cells, or positive rate &gt;30% positive by immunohistochemistry. (3) Male or female patients aged 1-70 years. (4) No history of severe allergic constitution. (5) Eastern Cooperative Oncology Group (ECOG) performance status score of 0-2. (6) Estimated life expectancy of at least 60 days, as determined by the investigator. (7) Written informed consent was obtained from all participants prior to any screening procedures. Participants were required to have the capacity to understand and sign the informed consent form and to comply with the study schedule and procedures. For candidates aged 19-70 years, sufficient awareness and understanding to provide informed consent were required. Children aged 1-7 years were enrolled with written consent from their legal guardians or patient advocates. Children aged 8-18 years were required to provide assent, with written consent also obtained from their legal guardians or patient advocates. (8) Have available allogeneic hematopoietic stem cell transplantation donor for the subject who received newly matched donor-derived CD5 CAR T cells and is willing to perform SCT when CR is achieved.</w:t>
      </w:r>
    </w:p>
    <w:p w14:paraId="03E328C0" w14:textId="77777777" w:rsidR="006A4234" w:rsidRPr="00AB27B1" w:rsidRDefault="006A4234" w:rsidP="00202026">
      <w:pPr>
        <w:spacing w:line="360" w:lineRule="auto"/>
        <w:rPr>
          <w:rFonts w:eastAsia="微软雅黑" w:cs="Times New Roman"/>
          <w:lang w:bidi="ar"/>
        </w:rPr>
      </w:pPr>
      <w:r w:rsidRPr="00AB27B1">
        <w:rPr>
          <w:rFonts w:eastAsia="宋体" w:cs="Times New Roman"/>
          <w:lang w:bidi="ar"/>
        </w:rPr>
        <w:t>Exclusion criteria:</w:t>
      </w:r>
      <w:r w:rsidRPr="00AB27B1">
        <w:rPr>
          <w:rFonts w:eastAsia="微软雅黑" w:cs="Times New Roman"/>
          <w:lang w:bidi="ar"/>
        </w:rPr>
        <w:t xml:space="preserve"> </w:t>
      </w:r>
    </w:p>
    <w:p w14:paraId="3C9F0D11" w14:textId="77777777" w:rsidR="006A4234" w:rsidRPr="00AB27B1" w:rsidRDefault="006A4234" w:rsidP="00202026">
      <w:pPr>
        <w:spacing w:line="360" w:lineRule="auto"/>
        <w:rPr>
          <w:rFonts w:eastAsia="宋体" w:cs="Times New Roman"/>
          <w:lang w:bidi="ar"/>
        </w:rPr>
      </w:pPr>
      <w:r w:rsidRPr="00AB27B1">
        <w:rPr>
          <w:rFonts w:eastAsia="宋体" w:cs="Times New Roman"/>
          <w:lang w:bidi="ar"/>
        </w:rPr>
        <w:lastRenderedPageBreak/>
        <w:t>Patients who meet any of following exclusion criteria would be excluded: (1) Intracranial hypertension or disorder of consciousness. (2) Symptomatic heart failure or severe arrhythmia. (3) Symptoms of severe respiratory failure. (4) Complicated with other types of malignant tumors. (5) Diffuse intravascular coagulation. (6) Serum creatinine and / or blood urea nitrogen ≥1.5 times of the normal value. (7) Suffering from sepsis or other uncontrollable infections. (8) Patients with uncontrollable diabetes. (9) Severe mental disorders. (10) Obvious and active intracranial lesions were detected by cranial magnetic resonance imaging (MRI). (11) Have received organ transplantation (excluding bone marrow transplant). (12) Reproductive-aged female patients with positive blood human chorionic gonadotropin (HCG) test. (13) Screened to be positive of infection of hepatitis (including hepatitis B and C), acquired immunodeficiency syndrome (AIDS) or syphilis. (14) Post-CAR SCT is not feasible in patients who plan to receive newly matched donor-derived CD5 CAR T cells. (15) Inability to collect peripheral blood mononuclear cells (PBMC) or no frozen PBMC available for CAR T cell manufacturing.</w:t>
      </w:r>
    </w:p>
    <w:p w14:paraId="101C144F" w14:textId="77777777" w:rsidR="0066415D" w:rsidRPr="0080143B" w:rsidRDefault="0066415D" w:rsidP="00202026">
      <w:pPr>
        <w:spacing w:after="40" w:line="360" w:lineRule="auto"/>
        <w:rPr>
          <w:rFonts w:eastAsia="宋体" w:cs="Times New Roman"/>
          <w:strike/>
          <w:lang w:eastAsia="zh-CN"/>
        </w:rPr>
      </w:pPr>
    </w:p>
    <w:p w14:paraId="64E781DD" w14:textId="77777777" w:rsidR="00D21497" w:rsidRPr="0080143B" w:rsidRDefault="00D21497" w:rsidP="00202026">
      <w:pPr>
        <w:spacing w:line="360" w:lineRule="auto"/>
        <w:rPr>
          <w:rFonts w:eastAsia="宋体" w:cs="Times New Roman"/>
          <w:lang w:eastAsia="zh-CN"/>
        </w:rPr>
      </w:pPr>
      <w:r w:rsidRPr="0080143B">
        <w:rPr>
          <w:rFonts w:eastAsia="宋体" w:cs="Times New Roman"/>
          <w:b/>
          <w:lang w:eastAsia="zh-CN"/>
        </w:rPr>
        <w:t xml:space="preserve">3. </w:t>
      </w:r>
      <w:r w:rsidR="002C5F29" w:rsidRPr="0080143B">
        <w:rPr>
          <w:rFonts w:cs="Times New Roman"/>
          <w:b/>
        </w:rPr>
        <w:t>Definition of</w:t>
      </w:r>
      <w:r w:rsidR="002C5F29" w:rsidRPr="0080143B">
        <w:rPr>
          <w:rFonts w:eastAsia="宋体" w:cs="Times New Roman"/>
          <w:b/>
          <w:lang w:eastAsia="zh-CN"/>
        </w:rPr>
        <w:t xml:space="preserve"> </w:t>
      </w:r>
      <w:r w:rsidR="00DB7FB0" w:rsidRPr="0080143B">
        <w:rPr>
          <w:rFonts w:eastAsia="宋体" w:cs="Times New Roman"/>
          <w:b/>
        </w:rPr>
        <w:t>mixed chimerism with cytopenia (MCC)</w:t>
      </w:r>
    </w:p>
    <w:p w14:paraId="4E7A6997" w14:textId="76D1AD05" w:rsidR="00CA2FEC" w:rsidRPr="00AB27B1" w:rsidRDefault="00CA2FEC" w:rsidP="00202026">
      <w:pPr>
        <w:spacing w:line="360" w:lineRule="auto"/>
        <w:rPr>
          <w:rFonts w:eastAsia="宋体" w:cs="Times New Roman"/>
        </w:rPr>
      </w:pPr>
      <w:r w:rsidRPr="00AB27B1">
        <w:rPr>
          <w:rFonts w:eastAsia="宋体" w:cs="Times New Roman"/>
        </w:rPr>
        <w:t>MCC was defined as ≥2-lineage cytopenia persisting for ≥14 days beyond day +28 after allogeneic hematopoietic stem cell transplantation (allo-HSCT), with 5–95% HSCT-donor chimerism in the myeloid and/or lymphoid compartments, and in the absence of relapse, active infection, drug toxicity, or acute graft-versus-host disease (GVHD) [1-3]. The diagnosis required all of the following criteria:</w:t>
      </w:r>
    </w:p>
    <w:p w14:paraId="4931973A" w14:textId="6967D3F8" w:rsidR="00CA2FEC" w:rsidRPr="00AB27B1" w:rsidRDefault="00125C4E" w:rsidP="00202026">
      <w:pPr>
        <w:spacing w:line="360" w:lineRule="auto"/>
        <w:rPr>
          <w:rFonts w:eastAsia="宋体" w:cs="Times New Roman"/>
        </w:rPr>
      </w:pPr>
      <w:r w:rsidRPr="00AB27B1">
        <w:rPr>
          <w:rFonts w:eastAsia="宋体" w:cs="Times New Roman"/>
          <w:lang w:eastAsia="zh-CN"/>
        </w:rPr>
        <w:t xml:space="preserve">(1) </w:t>
      </w:r>
      <w:r w:rsidR="00CA2FEC" w:rsidRPr="00AB27B1">
        <w:rPr>
          <w:rFonts w:eastAsia="宋体" w:cs="Times New Roman"/>
        </w:rPr>
        <w:t>Cytopenia in ≥2 lineages, defined as at least two of the following: absolute neutrophil count (ANC) &lt;0.5 × 10⁹/L, platelet count &lt;20 × 10⁹/L, or hemoglobin &lt;</w:t>
      </w:r>
      <w:r w:rsidR="00A554AA" w:rsidRPr="00AB27B1">
        <w:rPr>
          <w:rFonts w:eastAsia="宋体" w:cs="Times New Roman"/>
          <w:lang w:eastAsia="zh-CN"/>
        </w:rPr>
        <w:t>8</w:t>
      </w:r>
      <w:r w:rsidR="00CA2FEC" w:rsidRPr="00AB27B1">
        <w:rPr>
          <w:rFonts w:eastAsia="宋体" w:cs="Times New Roman"/>
        </w:rPr>
        <w:t>0 g/L, sustained for ≥14 consecutive days.</w:t>
      </w:r>
    </w:p>
    <w:p w14:paraId="0E836FF4" w14:textId="3CF6CB2B" w:rsidR="00CA2FEC" w:rsidRPr="00AB27B1" w:rsidRDefault="00125C4E" w:rsidP="00202026">
      <w:pPr>
        <w:spacing w:line="360" w:lineRule="auto"/>
        <w:rPr>
          <w:rFonts w:eastAsia="宋体" w:cs="Times New Roman"/>
        </w:rPr>
      </w:pPr>
      <w:r w:rsidRPr="00AB27B1">
        <w:rPr>
          <w:rFonts w:eastAsia="宋体" w:cs="Times New Roman"/>
          <w:lang w:eastAsia="zh-CN"/>
        </w:rPr>
        <w:t xml:space="preserve">(2) </w:t>
      </w:r>
      <w:r w:rsidR="00CA2FEC" w:rsidRPr="00AB27B1">
        <w:rPr>
          <w:rFonts w:eastAsia="宋体" w:cs="Times New Roman"/>
        </w:rPr>
        <w:t>Transfusion or growth-factor dependence (red-cell or platelet transfusion within the preceding 7 days, or ongoing granulocyte colony-stimulating factor [G-CSF] support).</w:t>
      </w:r>
    </w:p>
    <w:p w14:paraId="636A9BFC" w14:textId="1D241BEB" w:rsidR="00CA2FEC" w:rsidRPr="00AB27B1" w:rsidRDefault="00125C4E" w:rsidP="00202026">
      <w:pPr>
        <w:spacing w:line="360" w:lineRule="auto"/>
        <w:rPr>
          <w:rFonts w:eastAsia="宋体" w:cs="Times New Roman"/>
        </w:rPr>
      </w:pPr>
      <w:r w:rsidRPr="00AB27B1">
        <w:rPr>
          <w:rFonts w:eastAsia="宋体" w:cs="Times New Roman"/>
          <w:lang w:eastAsia="zh-CN"/>
        </w:rPr>
        <w:t xml:space="preserve">(3) </w:t>
      </w:r>
      <w:r w:rsidR="00CA2FEC" w:rsidRPr="00AB27B1">
        <w:rPr>
          <w:rFonts w:eastAsia="宋体" w:cs="Times New Roman"/>
        </w:rPr>
        <w:t>HSCT-donor chimerism of 5–95% on bulk bone marrow aspirate, reflecting overall engraftment.</w:t>
      </w:r>
    </w:p>
    <w:p w14:paraId="0BEF032B" w14:textId="7A481DB1" w:rsidR="00CA2FEC" w:rsidRPr="00AB27B1" w:rsidRDefault="00125C4E" w:rsidP="00202026">
      <w:pPr>
        <w:spacing w:line="360" w:lineRule="auto"/>
        <w:rPr>
          <w:rFonts w:eastAsia="宋体" w:cs="Times New Roman"/>
        </w:rPr>
      </w:pPr>
      <w:r w:rsidRPr="00AB27B1">
        <w:rPr>
          <w:rFonts w:eastAsia="宋体" w:cs="Times New Roman"/>
          <w:lang w:eastAsia="zh-CN"/>
        </w:rPr>
        <w:t xml:space="preserve">(4) </w:t>
      </w:r>
      <w:r w:rsidR="00CA2FEC" w:rsidRPr="00AB27B1">
        <w:rPr>
          <w:rFonts w:eastAsia="宋体" w:cs="Times New Roman"/>
        </w:rPr>
        <w:t>HSCT-donor chimerism of 5–95% in peripheral-blood CD3+ T cells by three-party short tandem repeat (STR) analysis.</w:t>
      </w:r>
    </w:p>
    <w:p w14:paraId="24C0335C" w14:textId="160C4E45" w:rsidR="009C678F" w:rsidRPr="00AB27B1" w:rsidRDefault="00125C4E" w:rsidP="00202026">
      <w:pPr>
        <w:spacing w:line="360" w:lineRule="auto"/>
        <w:rPr>
          <w:rFonts w:eastAsia="宋体" w:cs="Times New Roman"/>
        </w:rPr>
      </w:pPr>
      <w:r w:rsidRPr="00AB27B1">
        <w:rPr>
          <w:rFonts w:eastAsia="宋体" w:cs="Times New Roman"/>
          <w:lang w:eastAsia="zh-CN"/>
        </w:rPr>
        <w:t xml:space="preserve">(5) </w:t>
      </w:r>
      <w:r w:rsidR="00CA2FEC" w:rsidRPr="00AB27B1">
        <w:rPr>
          <w:rFonts w:eastAsia="宋体" w:cs="Times New Roman"/>
        </w:rPr>
        <w:t>Exclusion of hematologic relapse, acute GVHD, active infection, and myelosuppressive drug exposure within the preceding 14 days.</w:t>
      </w:r>
    </w:p>
    <w:p w14:paraId="3C54C657" w14:textId="77777777" w:rsidR="000A38E5" w:rsidRPr="0080143B" w:rsidRDefault="000A38E5" w:rsidP="00202026">
      <w:pPr>
        <w:spacing w:line="360" w:lineRule="auto"/>
        <w:rPr>
          <w:rFonts w:eastAsia="宋体" w:cs="Times New Roman"/>
          <w:color w:val="EE0000"/>
        </w:rPr>
      </w:pPr>
    </w:p>
    <w:p w14:paraId="55D9D4EF" w14:textId="77777777" w:rsidR="003637E9" w:rsidRPr="0080143B" w:rsidRDefault="003637E9" w:rsidP="00202026">
      <w:pPr>
        <w:spacing w:line="360" w:lineRule="auto"/>
        <w:jc w:val="both"/>
        <w:rPr>
          <w:rFonts w:eastAsia="宋体" w:cs="Times New Roman"/>
          <w:b/>
          <w:lang w:eastAsia="zh-CN"/>
        </w:rPr>
      </w:pPr>
      <w:r w:rsidRPr="0080143B">
        <w:rPr>
          <w:rFonts w:eastAsia="宋体" w:cs="Times New Roman"/>
          <w:b/>
          <w:lang w:eastAsia="zh-CN"/>
        </w:rPr>
        <w:t xml:space="preserve">4. </w:t>
      </w:r>
      <w:r w:rsidRPr="0080143B">
        <w:rPr>
          <w:rFonts w:cs="Times New Roman"/>
          <w:b/>
        </w:rPr>
        <w:t>Quantitative PCR for CAR Transgene Copies</w:t>
      </w:r>
    </w:p>
    <w:p w14:paraId="0343C12D" w14:textId="1ED1BE3D" w:rsidR="0087732F" w:rsidRPr="00F67AEF" w:rsidRDefault="006726B7" w:rsidP="00202026">
      <w:pPr>
        <w:spacing w:line="360" w:lineRule="auto"/>
        <w:jc w:val="both"/>
        <w:rPr>
          <w:rFonts w:cs="Times New Roman"/>
        </w:rPr>
      </w:pPr>
      <w:r w:rsidRPr="00F67AEF">
        <w:rPr>
          <w:rFonts w:cs="Times New Roman"/>
        </w:rPr>
        <w:lastRenderedPageBreak/>
        <w:t xml:space="preserve">Genomic DNA was extracted from peripheral blood mononuclear cells (PBMCs) using the TIANamp Blood DNA Kit (TIANGEN, Beijing, China). CAR transgene copies were quantified by TaqMan-based quantitative PCR (qPCR) using primers and a hydrolysis probe specific for the CAR construct, </w:t>
      </w:r>
      <w:r w:rsidRPr="00F67AEF">
        <w:t>with simultaneous detection of a single-copy reference gene.</w:t>
      </w:r>
      <w:r w:rsidRPr="00F67AEF">
        <w:rPr>
          <w:rFonts w:cs="Times New Roman"/>
        </w:rPr>
        <w:t xml:space="preserve"> The primer pair consisted of the forward primer 5′ </w:t>
      </w:r>
      <w:r w:rsidR="004F6FE8">
        <w:rPr>
          <w:rFonts w:eastAsia="宋体" w:cs="Times New Roman" w:hint="eastAsia"/>
          <w:lang w:eastAsia="zh-CN"/>
        </w:rPr>
        <w:t>-</w:t>
      </w:r>
      <w:r w:rsidRPr="00F67AEF">
        <w:rPr>
          <w:rFonts w:cs="Times New Roman"/>
        </w:rPr>
        <w:t>GGAGCTAGAACGATTCGCAGTTA</w:t>
      </w:r>
      <w:r w:rsidR="004F6FE8">
        <w:rPr>
          <w:rFonts w:eastAsia="宋体" w:cs="Times New Roman" w:hint="eastAsia"/>
          <w:lang w:eastAsia="zh-CN"/>
        </w:rPr>
        <w:t>-</w:t>
      </w:r>
      <w:r w:rsidRPr="00F67AEF">
        <w:rPr>
          <w:rFonts w:cs="Times New Roman"/>
        </w:rPr>
        <w:t xml:space="preserve">3′ and the reverse primer 5′ </w:t>
      </w:r>
      <w:r w:rsidR="004F6FE8">
        <w:rPr>
          <w:rFonts w:eastAsia="宋体" w:cs="Times New Roman" w:hint="eastAsia"/>
          <w:lang w:eastAsia="zh-CN"/>
        </w:rPr>
        <w:t>-</w:t>
      </w:r>
      <w:r w:rsidRPr="00F67AEF">
        <w:rPr>
          <w:rFonts w:cs="Times New Roman"/>
        </w:rPr>
        <w:t>GGTTGTAGCTGTCCCAGTATTTGTC</w:t>
      </w:r>
      <w:r w:rsidR="004F6FE8">
        <w:rPr>
          <w:rFonts w:eastAsia="宋体" w:cs="Times New Roman" w:hint="eastAsia"/>
          <w:lang w:eastAsia="zh-CN"/>
        </w:rPr>
        <w:t>-</w:t>
      </w:r>
      <w:r w:rsidRPr="00F67AEF">
        <w:rPr>
          <w:rFonts w:cs="Times New Roman"/>
        </w:rPr>
        <w:t>3′. The hydrolysis probe was 5′</w:t>
      </w:r>
      <w:r w:rsidR="004F6FE8">
        <w:rPr>
          <w:rFonts w:eastAsia="宋体" w:cs="Times New Roman" w:hint="eastAsia"/>
          <w:lang w:eastAsia="zh-CN"/>
        </w:rPr>
        <w:t>-</w:t>
      </w:r>
      <w:r w:rsidRPr="00F67AEF">
        <w:rPr>
          <w:rFonts w:cs="Times New Roman"/>
        </w:rPr>
        <w:t>labelled with 6</w:t>
      </w:r>
      <w:r w:rsidR="004F6FE8">
        <w:rPr>
          <w:rFonts w:eastAsia="宋体" w:cs="Times New Roman" w:hint="eastAsia"/>
          <w:lang w:eastAsia="zh-CN"/>
        </w:rPr>
        <w:t>-</w:t>
      </w:r>
      <w:r w:rsidRPr="00F67AEF">
        <w:rPr>
          <w:rFonts w:cs="Times New Roman"/>
        </w:rPr>
        <w:t xml:space="preserve"> carboxyfluorescein (FAM) and 3′</w:t>
      </w:r>
      <w:r w:rsidR="004F6FE8">
        <w:rPr>
          <w:rFonts w:eastAsia="宋体" w:cs="Times New Roman" w:hint="eastAsia"/>
          <w:lang w:eastAsia="zh-CN"/>
        </w:rPr>
        <w:t>-</w:t>
      </w:r>
      <w:r w:rsidRPr="00F67AEF">
        <w:rPr>
          <w:rFonts w:cs="Times New Roman"/>
        </w:rPr>
        <w:t xml:space="preserve">quenched with Black Hole Quencher 1 (BHQ1), with the sequence 5′ </w:t>
      </w:r>
      <w:r w:rsidR="005A2A5E">
        <w:rPr>
          <w:rFonts w:eastAsia="宋体" w:cs="Times New Roman" w:hint="eastAsia"/>
          <w:lang w:eastAsia="zh-CN"/>
        </w:rPr>
        <w:t>-</w:t>
      </w:r>
      <w:r w:rsidRPr="00F67AEF">
        <w:rPr>
          <w:rFonts w:cs="Times New Roman"/>
        </w:rPr>
        <w:t xml:space="preserve">FAM ACAGCCTTCTGATGTTTCTAACAGGCCAGG 3′(BHQ1). A standard curve was generated from serial 10-fold dilutions of a linearized plasmid containing the full CAR cassette, spanning 10¹ to 10⁷ copies per reaction, run in triplicate in every assay; the standard curve was accepted when slope was -3.1 to -3.6 and R² ≥0.99. Each sample was assayed in triplicate on an ABI 7500 PCR System using Taqman fast advanced master mix. </w:t>
      </w:r>
      <w:r w:rsidRPr="00F67AEF">
        <w:t>A single-copy reference gene was co-amplified for input normalization.</w:t>
      </w:r>
      <w:r w:rsidRPr="00F67AEF">
        <w:rPr>
          <w:rFonts w:cs="Times New Roman"/>
        </w:rPr>
        <w:t xml:space="preserve"> </w:t>
      </w:r>
      <w:r w:rsidR="00E95916" w:rsidRPr="00F67AEF">
        <w:t>The limit of detection</w:t>
      </w:r>
      <w:r w:rsidR="00C83988">
        <w:rPr>
          <w:rFonts w:eastAsia="宋体" w:hint="eastAsia"/>
          <w:lang w:eastAsia="zh-CN"/>
        </w:rPr>
        <w:t xml:space="preserve"> (LOD)</w:t>
      </w:r>
      <w:r w:rsidR="00E95916" w:rsidRPr="00F67AEF">
        <w:t xml:space="preserve"> was 10 copies per reaction.</w:t>
      </w:r>
      <w:r w:rsidR="00E95916">
        <w:rPr>
          <w:rFonts w:eastAsia="宋体" w:hint="eastAsia"/>
          <w:lang w:eastAsia="zh-CN"/>
        </w:rPr>
        <w:t xml:space="preserve"> </w:t>
      </w:r>
      <w:r w:rsidRPr="00F67AEF">
        <w:t xml:space="preserve">Results </w:t>
      </w:r>
      <w:r w:rsidRPr="00F67AEF">
        <w:rPr>
          <w:rFonts w:cs="Times New Roman"/>
        </w:rPr>
        <w:t>are reported</w:t>
      </w:r>
      <w:r w:rsidRPr="00F67AEF">
        <w:t xml:space="preserve"> as the percentage of CAR transgene copies relative to the single-copy reference gene.</w:t>
      </w:r>
      <w:r w:rsidRPr="00F67AEF">
        <w:rPr>
          <w:rFonts w:cs="Times New Roman"/>
        </w:rPr>
        <w:t xml:space="preserve"> The amount of input genomic DNA was calculated from the single-copy reference gene copy number (B) as B/304 ng, where 304 represents the number of haploid genome equivalents per ng human genomic DNA, based on a genome size of 3 × 10⁹ bp and an average molecular weight of 660 g/mol per bp. CAR transgene copies per ng genomic DNA were calculated as 304 × (A/B), where A is the CAR transgene copy number. Accordingly, CAR transgene copies per µg genomic DNA were calculated as: CAR transgene copies/µg genomic DNA = 3.04 × 10⁵ × (A/B), where A is the CAR transgene copy number and B is the single-copy reference gene copy number</w:t>
      </w:r>
      <w:r w:rsidR="00F67AEF">
        <w:rPr>
          <w:rFonts w:eastAsia="宋体" w:cs="Times New Roman" w:hint="eastAsia"/>
          <w:lang w:eastAsia="zh-CN"/>
        </w:rPr>
        <w:t xml:space="preserve"> </w:t>
      </w:r>
      <w:r w:rsidR="001578E8" w:rsidRPr="00F67AEF">
        <w:rPr>
          <w:rFonts w:cs="Times New Roman"/>
        </w:rPr>
        <w:t>[4-5]</w:t>
      </w:r>
      <w:r w:rsidRPr="00F67AEF">
        <w:rPr>
          <w:rFonts w:cs="Times New Roman"/>
        </w:rPr>
        <w:t>.</w:t>
      </w:r>
      <w:r w:rsidR="0087732F" w:rsidRPr="00F67AEF">
        <w:rPr>
          <w:rFonts w:cs="Times New Roman"/>
        </w:rPr>
        <w:t xml:space="preserve"> </w:t>
      </w:r>
    </w:p>
    <w:p w14:paraId="71A41280" w14:textId="77777777" w:rsidR="00BA0FB5" w:rsidRPr="0080143B" w:rsidRDefault="00BA0FB5" w:rsidP="00202026">
      <w:pPr>
        <w:spacing w:line="360" w:lineRule="auto"/>
        <w:jc w:val="both"/>
        <w:rPr>
          <w:rFonts w:eastAsia="宋体" w:cs="Times New Roman"/>
          <w:lang w:eastAsia="zh-CN"/>
        </w:rPr>
      </w:pPr>
    </w:p>
    <w:p w14:paraId="36E0ADCA" w14:textId="77777777" w:rsidR="009109DD" w:rsidRPr="0080143B" w:rsidRDefault="009109DD" w:rsidP="00202026">
      <w:pPr>
        <w:spacing w:line="360" w:lineRule="auto"/>
        <w:jc w:val="both"/>
        <w:rPr>
          <w:rFonts w:eastAsia="宋体" w:cs="Times New Roman"/>
          <w:b/>
          <w:lang w:eastAsia="zh-CN"/>
        </w:rPr>
      </w:pPr>
      <w:r w:rsidRPr="0080143B">
        <w:rPr>
          <w:rFonts w:eastAsia="宋体" w:cs="Times New Roman"/>
          <w:b/>
          <w:lang w:eastAsia="zh-CN"/>
        </w:rPr>
        <w:t xml:space="preserve">5. </w:t>
      </w:r>
      <w:r w:rsidRPr="0080143B">
        <w:rPr>
          <w:rFonts w:cs="Times New Roman"/>
          <w:b/>
        </w:rPr>
        <w:t>Flow Cytometry</w:t>
      </w:r>
    </w:p>
    <w:p w14:paraId="1EFF374D" w14:textId="0100A071" w:rsidR="00D711EA" w:rsidRPr="001B5E96" w:rsidRDefault="00A06DBB" w:rsidP="00202026">
      <w:pPr>
        <w:spacing w:line="360" w:lineRule="auto"/>
        <w:jc w:val="both"/>
        <w:rPr>
          <w:rFonts w:eastAsia="宋体" w:cs="Times New Roman"/>
          <w:lang w:eastAsia="zh-CN"/>
        </w:rPr>
      </w:pPr>
      <w:r w:rsidRPr="001B5E96">
        <w:rPr>
          <w:rFonts w:cs="Times New Roman"/>
        </w:rPr>
        <w:t>Whole blood was stained with anti-CD45 PerCP-Cy5.5 (cat. 9982312, clone HI30, BioLegend, USA), anti-CD3 FITC (cat. Z6410047, clone UCHT1, Quantobio, Beijing, China), anti-CD4 PE-Cy7 (cat. Z6410024, clone SK3, Quantobio, Beijing, China), anti-CD8 APC-Cy7 (cat. Z6410025, clone HIT8a, Quantobio, Beijing, China), anti-CD5 BV605 (cat. 364020, clone L17F12, BioLegend, USA), and anti-CD7 APC (cat. A6005R12, clone 124-1D1, Quantobio, Beijing, China). CD7 (or CD5) CAR-T cells were detected with anti-EGFR PE (cat. 352904, clone AY13, BioLegend, USA)</w:t>
      </w:r>
      <w:r w:rsidR="004310E7">
        <w:rPr>
          <w:rFonts w:eastAsia="宋体" w:cs="Times New Roman" w:hint="eastAsia"/>
          <w:lang w:eastAsia="zh-CN"/>
        </w:rPr>
        <w:t xml:space="preserve">. </w:t>
      </w:r>
      <w:r w:rsidRPr="001B5E96">
        <w:rPr>
          <w:rFonts w:cs="Times New Roman"/>
        </w:rPr>
        <w:t xml:space="preserve">Dead cells were excluded using Fixable Viability Dye-Zombie NIR (BioLegend). Samples were acquired on a full spectrum cytometer (Cytek NL-CLC) and analyzed in Kaluza v2.3 (Beckman Coulter). The gating hierarchy was: lymphocytes (FSC-A/SSC-A) → singlets (FSC-A/FSC-H) → live cells → CD3⁺ → CAR⁺, with subsequent gating on CD4/CD8. </w:t>
      </w:r>
      <w:r w:rsidR="00E64148" w:rsidRPr="001B5E96">
        <w:rPr>
          <w:rFonts w:eastAsia="宋体" w:cs="Times New Roman"/>
          <w:lang w:eastAsia="zh-CN"/>
        </w:rPr>
        <w:t>For immune reconstitution, the gating hierarchy was: lymphocytes (FSC-</w:t>
      </w:r>
      <w:r w:rsidR="00E64148" w:rsidRPr="001B5E96">
        <w:rPr>
          <w:rFonts w:eastAsia="宋体" w:cs="Times New Roman"/>
          <w:lang w:eastAsia="zh-CN"/>
        </w:rPr>
        <w:lastRenderedPageBreak/>
        <w:t>A/SSC-A) → singlets (FSC-A/FSC-H) → live cells → CD45⁺ → lymphocytes (CD45st⁺ SSCdim⁺) → T cells (CD3⁺), B cells (CD19⁺), and NK cells (CD3⁻CD56/16⁺), with subsequent gating on CD4, CD8, DNT, DPT, and NKT within T cells, and further assessment of CD7</w:t>
      </w:r>
      <w:r w:rsidR="00A80E9D" w:rsidRPr="001B5E96">
        <w:rPr>
          <w:rFonts w:cs="Times New Roman"/>
        </w:rPr>
        <w:t xml:space="preserve"> (or CD5)</w:t>
      </w:r>
      <w:r w:rsidR="00E64148" w:rsidRPr="001B5E96">
        <w:rPr>
          <w:rFonts w:eastAsia="宋体" w:cs="Times New Roman"/>
          <w:lang w:eastAsia="zh-CN"/>
        </w:rPr>
        <w:t xml:space="preserve"> expression in CD4⁺ and CD8⁺ T cells.</w:t>
      </w:r>
      <w:r w:rsidR="008804DE" w:rsidRPr="001B5E96">
        <w:rPr>
          <w:rFonts w:eastAsia="宋体" w:cs="Times New Roman"/>
          <w:lang w:eastAsia="zh-CN"/>
        </w:rPr>
        <w:t xml:space="preserve"> </w:t>
      </w:r>
      <w:r w:rsidRPr="001B5E96">
        <w:rPr>
          <w:rFonts w:cs="Times New Roman"/>
        </w:rPr>
        <w:t>A minimum of 50,000 CD3⁺ events were acquired per sample. The limit of detection (LOD) for CAR⁺ cells, calculated as mean + 3 SD of 20 CAR-T-negative donor controls, was 0.035% of CD3⁺ T cells; the lower limit of quantification (LLOQ), defined as the lowest concentration with a coefficient of variation &lt;30% on triplicate dilutions, was 0.15% of CD3⁺ T cells (1.44 cells/µL), consistent with published validation data for flow-cytometric CAR-T quantification.</w:t>
      </w:r>
    </w:p>
    <w:p w14:paraId="31D1B207" w14:textId="77777777" w:rsidR="00E4085A" w:rsidRPr="0080143B" w:rsidRDefault="00E4085A" w:rsidP="00202026">
      <w:pPr>
        <w:spacing w:line="360" w:lineRule="auto"/>
        <w:jc w:val="both"/>
        <w:rPr>
          <w:rFonts w:eastAsia="宋体" w:cs="Times New Roman"/>
          <w:lang w:eastAsia="zh-CN"/>
        </w:rPr>
      </w:pPr>
    </w:p>
    <w:p w14:paraId="6EBD9C39" w14:textId="77777777" w:rsidR="00E4085A" w:rsidRPr="0080143B" w:rsidRDefault="00E4085A" w:rsidP="00202026">
      <w:pPr>
        <w:spacing w:line="360" w:lineRule="auto"/>
        <w:jc w:val="both"/>
        <w:rPr>
          <w:rFonts w:eastAsia="宋体" w:cs="Times New Roman"/>
          <w:b/>
          <w:lang w:eastAsia="zh-CN"/>
        </w:rPr>
      </w:pPr>
      <w:r w:rsidRPr="0080143B">
        <w:rPr>
          <w:rFonts w:eastAsia="宋体" w:cs="Times New Roman"/>
          <w:b/>
          <w:lang w:eastAsia="zh-CN"/>
        </w:rPr>
        <w:t xml:space="preserve">6. </w:t>
      </w:r>
      <w:r w:rsidRPr="0080143B">
        <w:rPr>
          <w:rFonts w:cs="Times New Roman"/>
          <w:b/>
        </w:rPr>
        <w:t>Chimerism Analysis</w:t>
      </w:r>
    </w:p>
    <w:p w14:paraId="5FDEA22F" w14:textId="1582DF0F" w:rsidR="00444EEA" w:rsidRPr="00005D95" w:rsidRDefault="00444EEA" w:rsidP="00202026">
      <w:pPr>
        <w:spacing w:line="360" w:lineRule="auto"/>
        <w:jc w:val="both"/>
        <w:rPr>
          <w:rFonts w:eastAsia="宋体" w:cs="Times New Roman"/>
          <w:lang w:eastAsia="zh-CN"/>
        </w:rPr>
      </w:pPr>
      <w:r w:rsidRPr="00005D95">
        <w:rPr>
          <w:rFonts w:eastAsia="宋体" w:cs="Times New Roman"/>
          <w:lang w:eastAsia="zh-CN"/>
        </w:rPr>
        <w:t>CD3⁺ T cells were isolated from peripheral blood mononuclear cells (PBMCs) by magnetic positive selection using human CD3 MicroBeads (Miltenyi Biotec), with &gt;95% purity confirmed by flow cytometry. Bone marrow mononuclear cells (BMMNCs) were isolated from bone marrow aspirates by density-gradient centrifugation using Ficoll-Paque PLUS (GE Healthcare) according to the manufacturer’s instructions. Genomic DNA was extracted from sorted CD3⁺ cells, BMMNCs,</w:t>
      </w:r>
      <w:r w:rsidR="00F126A8">
        <w:rPr>
          <w:rFonts w:eastAsia="宋体" w:cs="Times New Roman" w:hint="eastAsia"/>
          <w:lang w:eastAsia="zh-CN"/>
        </w:rPr>
        <w:t xml:space="preserve"> </w:t>
      </w:r>
      <w:r w:rsidRPr="00005D95">
        <w:rPr>
          <w:rFonts w:eastAsia="宋体" w:cs="Times New Roman"/>
          <w:lang w:eastAsia="zh-CN"/>
        </w:rPr>
        <w:t xml:space="preserve">pre-transplant donor and recipient reference samples. Donor chimerism was assessed by short tandem repeat (STR) PCR using the AmpFISTR Identifiler Plus PCR Amplification Kit on an Applied Biosystems 3500 Genetic Analyzer, with peak heights and areas analyzed in GeneMapper v5. </w:t>
      </w:r>
      <w:r w:rsidR="00E83251" w:rsidRPr="00E83251">
        <w:rPr>
          <w:rFonts w:eastAsia="宋体" w:cs="Times New Roman"/>
          <w:lang w:eastAsia="zh-CN"/>
        </w:rPr>
        <w:t>The STR panel included 15 STR loci and the amelogenin sex-determining marker for each donor and recipient.</w:t>
      </w:r>
      <w:r w:rsidR="00E83251">
        <w:rPr>
          <w:rFonts w:eastAsia="宋体" w:cs="Times New Roman" w:hint="eastAsia"/>
          <w:lang w:eastAsia="zh-CN"/>
        </w:rPr>
        <w:t xml:space="preserve"> </w:t>
      </w:r>
      <w:r w:rsidRPr="00005D95">
        <w:rPr>
          <w:rFonts w:eastAsia="宋体" w:cs="Times New Roman"/>
          <w:lang w:eastAsia="zh-CN"/>
        </w:rPr>
        <w:t>The analytical sensitivity for minor populations was 1–5%, and the validated limit of detection was 1%. When alleles were shared between donors, overlapping peaks were excluded, and only non-overlapping peaks were used to discriminate the donors. For patients in whom the CAR-T cell donor and the HSCT donor were distinct, three-party chimerism analysis (recipient, CAR-T donor, and HSCT donor) was performed using informative STR loci that uniquely discriminated each contributor. Complete donor chimerism was defined as ≥95% HSCT donor-derived alleles, and mixed chimerism was defined as 5–95% HSCT donor-derived alleles.</w:t>
      </w:r>
    </w:p>
    <w:p w14:paraId="49851862" w14:textId="77777777" w:rsidR="007C1AAA" w:rsidRPr="0080143B" w:rsidRDefault="007C1AAA" w:rsidP="00202026">
      <w:pPr>
        <w:spacing w:line="360" w:lineRule="auto"/>
        <w:jc w:val="both"/>
        <w:rPr>
          <w:rFonts w:eastAsia="宋体" w:cs="Times New Roman"/>
          <w:lang w:eastAsia="zh-CN"/>
        </w:rPr>
      </w:pPr>
    </w:p>
    <w:p w14:paraId="56667522" w14:textId="77777777" w:rsidR="00EF14AF" w:rsidRPr="0080143B" w:rsidRDefault="00EF14AF" w:rsidP="00202026">
      <w:pPr>
        <w:spacing w:line="360" w:lineRule="auto"/>
        <w:jc w:val="both"/>
        <w:rPr>
          <w:rFonts w:eastAsia="宋体" w:cs="Times New Roman"/>
          <w:b/>
          <w:lang w:eastAsia="zh-CN"/>
        </w:rPr>
      </w:pPr>
      <w:r w:rsidRPr="0080143B">
        <w:rPr>
          <w:rFonts w:eastAsia="宋体" w:cs="Times New Roman"/>
          <w:b/>
          <w:lang w:eastAsia="zh-CN"/>
        </w:rPr>
        <w:t xml:space="preserve">7. </w:t>
      </w:r>
      <w:r w:rsidRPr="0080143B">
        <w:rPr>
          <w:rFonts w:cs="Times New Roman"/>
          <w:b/>
        </w:rPr>
        <w:t>Generation of CD7- or CD5-Knockout Donor Lymphocytes</w:t>
      </w:r>
    </w:p>
    <w:p w14:paraId="5CFAD040" w14:textId="31A9AC8F" w:rsidR="00BF1452" w:rsidRPr="005D2903" w:rsidRDefault="0070683D" w:rsidP="00202026">
      <w:pPr>
        <w:spacing w:line="360" w:lineRule="auto"/>
        <w:jc w:val="both"/>
        <w:rPr>
          <w:rFonts w:eastAsia="宋体" w:cs="Times New Roman"/>
          <w:lang w:eastAsia="zh-CN"/>
        </w:rPr>
      </w:pPr>
      <w:r w:rsidRPr="005D2903">
        <w:rPr>
          <w:rFonts w:eastAsia="宋体" w:cs="Times New Roman"/>
          <w:lang w:eastAsia="zh-CN"/>
        </w:rPr>
        <w:t xml:space="preserve">Cryopreserved PBMCs from the original HSCT donor were thawed and activated with Dynabeads Human T-Activator CD3/CD28 (Gibco) at a bead-to-cell ratio of 1:1 in serum-free medium (TexMACS GMP Medium, Miltenyi Biotec) supplemented with IL-2 (200 IU/mL). After 48-72 h of activation, Cas9 ribonucleoprotein (RNP) complexes were assembled by incubating recombinant Sp Cas9 protein </w:t>
      </w:r>
      <w:r w:rsidRPr="005D2903">
        <w:rPr>
          <w:rFonts w:eastAsia="宋体" w:cs="Times New Roman"/>
          <w:lang w:eastAsia="zh-CN"/>
        </w:rPr>
        <w:lastRenderedPageBreak/>
        <w:t>(KACTUS CAS-EE109  Cas9 Nuclease)  with chemically modified sgRNA targeting CD7 (target sequence: 5′-CACCTGCCAGGCCATCACGG-3′) or CD5 (target sequence: 5′-AGACTTTTGACGCTTGACTG-3′) at a 1:2 molar ratio for 15 min at room temperature. RNPs were delivered into activated T cells by electroporation on a X-Porator H1 Electroporation System device using the Opti-MEM culture medium. After electroporation, cells were expanded for an additional 6-8 days in the same serum-free cytokine medium, with medium replacement every 1-2 days. Knockout efficiency was quantified by flow cytometry as the percentage of CD7⁻ or CD5⁻ cells within the CD3⁺ population and ranged from 80% to 95% across batches. Release criteria for clinical infusion were: viability ≥70% (7-AAD), CD7 (or CD5) knockout ≥50%, negative sterility (BacT/ALERT), negative mycoplasma (MycoAlert, Lonza), and endotoxin &lt;5 EU/kg recipient body weight (LAL assay).</w:t>
      </w:r>
    </w:p>
    <w:p w14:paraId="34D02A3B" w14:textId="77777777" w:rsidR="003457EB" w:rsidRPr="0080143B" w:rsidRDefault="003457EB" w:rsidP="00202026">
      <w:pPr>
        <w:spacing w:line="360" w:lineRule="auto"/>
        <w:jc w:val="both"/>
        <w:rPr>
          <w:rFonts w:eastAsia="宋体" w:cs="Times New Roman"/>
          <w:color w:val="EE0000"/>
          <w:lang w:eastAsia="zh-CN"/>
        </w:rPr>
      </w:pPr>
    </w:p>
    <w:p w14:paraId="5FE99D22" w14:textId="77777777" w:rsidR="005650AF" w:rsidRDefault="00BF1452" w:rsidP="005650AF">
      <w:pPr>
        <w:spacing w:line="360" w:lineRule="auto"/>
        <w:jc w:val="both"/>
        <w:rPr>
          <w:rFonts w:eastAsia="宋体" w:cs="Times New Roman"/>
          <w:b/>
          <w:lang w:eastAsia="zh-CN"/>
        </w:rPr>
      </w:pPr>
      <w:r w:rsidRPr="0080143B">
        <w:rPr>
          <w:rFonts w:eastAsia="宋体" w:cs="Times New Roman"/>
          <w:b/>
          <w:lang w:eastAsia="zh-CN"/>
        </w:rPr>
        <w:t xml:space="preserve">8. </w:t>
      </w:r>
      <w:r w:rsidRPr="0080143B">
        <w:rPr>
          <w:rFonts w:cs="Times New Roman"/>
          <w:b/>
        </w:rPr>
        <w:t>Infusion of Knockout Donor Lymphocytes</w:t>
      </w:r>
    </w:p>
    <w:p w14:paraId="115B3782" w14:textId="1A1983FF" w:rsidR="005650AF" w:rsidRPr="005650AF" w:rsidRDefault="005650AF" w:rsidP="005650AF">
      <w:pPr>
        <w:spacing w:line="360" w:lineRule="auto"/>
        <w:jc w:val="both"/>
        <w:rPr>
          <w:rFonts w:eastAsia="宋体" w:cs="Times New Roman"/>
          <w:b/>
          <w:lang w:eastAsia="zh-CN"/>
        </w:rPr>
      </w:pPr>
      <w:r w:rsidRPr="00DF4D5B">
        <w:rPr>
          <w:rFonts w:eastAsia="宋体" w:cs="Times New Roman"/>
        </w:rPr>
        <w:t xml:space="preserve">Patient 2 was diagnosed with mixed chimerism with cytopenia (MCC) on </w:t>
      </w:r>
      <w:r>
        <w:rPr>
          <w:rFonts w:cs="Times New Roman" w:hint="eastAsia"/>
        </w:rPr>
        <w:t>9</w:t>
      </w:r>
      <w:r w:rsidRPr="000363E0">
        <w:rPr>
          <w:rFonts w:cs="Times New Roman" w:hint="eastAsia"/>
          <w:vertAlign w:val="superscript"/>
        </w:rPr>
        <w:t>th</w:t>
      </w:r>
      <w:r w:rsidRPr="00DF4D5B">
        <w:rPr>
          <w:rFonts w:eastAsia="宋体" w:cs="Times New Roman"/>
        </w:rPr>
        <w:t xml:space="preserve"> October, 2025 (day +30 post-HSCT). Additional maternal peripheral blood stem cell (PBSC) infusions were administered on </w:t>
      </w:r>
      <w:r w:rsidRPr="00890ABC">
        <w:rPr>
          <w:rFonts w:cs="Times New Roman" w:hint="eastAsia"/>
        </w:rPr>
        <w:t>7</w:t>
      </w:r>
      <w:r w:rsidRPr="009A41E5">
        <w:rPr>
          <w:rFonts w:cs="Times New Roman" w:hint="eastAsia"/>
          <w:vertAlign w:val="superscript"/>
        </w:rPr>
        <w:t>th</w:t>
      </w:r>
      <w:r w:rsidRPr="00890ABC">
        <w:rPr>
          <w:rFonts w:cs="Times New Roman" w:hint="eastAsia"/>
        </w:rPr>
        <w:t>, 9</w:t>
      </w:r>
      <w:r w:rsidRPr="009A41E5">
        <w:rPr>
          <w:rFonts w:cs="Times New Roman" w:hint="eastAsia"/>
          <w:vertAlign w:val="superscript"/>
        </w:rPr>
        <w:t>th</w:t>
      </w:r>
      <w:r w:rsidRPr="00890ABC">
        <w:rPr>
          <w:rFonts w:cs="Times New Roman" w:hint="eastAsia"/>
        </w:rPr>
        <w:t xml:space="preserve"> and 20</w:t>
      </w:r>
      <w:r w:rsidRPr="009A41E5">
        <w:rPr>
          <w:rFonts w:cs="Times New Roman" w:hint="eastAsia"/>
          <w:vertAlign w:val="superscript"/>
        </w:rPr>
        <w:t>th</w:t>
      </w:r>
      <w:r w:rsidRPr="00890ABC">
        <w:rPr>
          <w:rFonts w:cs="Times New Roman" w:hint="eastAsia"/>
        </w:rPr>
        <w:t xml:space="preserve"> </w:t>
      </w:r>
      <w:r w:rsidRPr="00890ABC">
        <w:rPr>
          <w:rFonts w:cs="Times New Roman"/>
        </w:rPr>
        <w:t>October, 2025.</w:t>
      </w:r>
      <w:r>
        <w:rPr>
          <w:rFonts w:cs="Times New Roman" w:hint="eastAsia"/>
        </w:rPr>
        <w:t xml:space="preserve"> </w:t>
      </w:r>
      <w:r w:rsidRPr="00DF4D5B">
        <w:rPr>
          <w:rFonts w:eastAsia="宋体" w:cs="Times New Roman"/>
        </w:rPr>
        <w:t xml:space="preserve">Flu/Cy (fludarabine 30 mg/m² for 3 days and cyclophosphamide 250 mg/m² for 3 days) was initiated on </w:t>
      </w:r>
      <w:r>
        <w:rPr>
          <w:rFonts w:cs="Times New Roman" w:hint="eastAsia"/>
        </w:rPr>
        <w:t>12</w:t>
      </w:r>
      <w:r w:rsidRPr="009A41E5">
        <w:rPr>
          <w:rFonts w:cs="Times New Roman" w:hint="eastAsia"/>
          <w:vertAlign w:val="superscript"/>
        </w:rPr>
        <w:t>th</w:t>
      </w:r>
      <w:r w:rsidRPr="00DF4D5B">
        <w:rPr>
          <w:rFonts w:eastAsia="宋体" w:cs="Times New Roman"/>
        </w:rPr>
        <w:t xml:space="preserve"> October</w:t>
      </w:r>
      <w:r>
        <w:rPr>
          <w:rFonts w:eastAsia="宋体" w:cs="Times New Roman" w:hint="eastAsia"/>
        </w:rPr>
        <w:t xml:space="preserve"> </w:t>
      </w:r>
      <w:r w:rsidRPr="00DF4D5B">
        <w:rPr>
          <w:rFonts w:eastAsia="宋体" w:cs="Times New Roman"/>
        </w:rPr>
        <w:t xml:space="preserve">(day +33). CD7-knockout donor lymphocytes (MNC 49.4 × 10⁶ cells/kg; CD3⁺ T cells 19.6 × 10⁶ cells/kg) were infused on </w:t>
      </w:r>
      <w:r>
        <w:rPr>
          <w:rFonts w:cs="Times New Roman" w:hint="eastAsia"/>
        </w:rPr>
        <w:t>17</w:t>
      </w:r>
      <w:r w:rsidRPr="009A41E5">
        <w:rPr>
          <w:rFonts w:cs="Times New Roman" w:hint="eastAsia"/>
          <w:vertAlign w:val="superscript"/>
        </w:rPr>
        <w:t>th</w:t>
      </w:r>
      <w:r w:rsidRPr="00DF4D5B">
        <w:rPr>
          <w:rFonts w:eastAsia="宋体" w:cs="Times New Roman"/>
        </w:rPr>
        <w:t xml:space="preserve"> October (day +38). </w:t>
      </w:r>
    </w:p>
    <w:p w14:paraId="1806D21F" w14:textId="736D3EFB" w:rsidR="00CE6A18" w:rsidRPr="00C01389" w:rsidRDefault="005650AF" w:rsidP="005650AF">
      <w:pPr>
        <w:spacing w:line="360" w:lineRule="auto"/>
        <w:jc w:val="both"/>
        <w:rPr>
          <w:rFonts w:eastAsia="宋体" w:cs="Times New Roman"/>
          <w:lang w:eastAsia="zh-CN"/>
        </w:rPr>
      </w:pPr>
      <w:r w:rsidRPr="00DF4D5B">
        <w:rPr>
          <w:rFonts w:eastAsia="宋体" w:cs="Times New Roman"/>
        </w:rPr>
        <w:t xml:space="preserve">In Patient 3, mixed chimerism without cytopenia occurred on </w:t>
      </w:r>
      <w:r>
        <w:rPr>
          <w:rFonts w:cs="Times New Roman" w:hint="eastAsia"/>
        </w:rPr>
        <w:t>22</w:t>
      </w:r>
      <w:r w:rsidRPr="009A41E5">
        <w:rPr>
          <w:rFonts w:cs="Times New Roman" w:hint="eastAsia"/>
          <w:vertAlign w:val="superscript"/>
        </w:rPr>
        <w:t>th</w:t>
      </w:r>
      <w:r w:rsidRPr="00DF4D5B">
        <w:rPr>
          <w:rFonts w:eastAsia="宋体" w:cs="Times New Roman"/>
        </w:rPr>
        <w:t xml:space="preserve"> October, 2025 (day +21 post-HSCT). Two infusions of CD5-knockout donor lymphocytes (MNC 11.8 × 10⁶ and 8.9 × 10⁶ cells/kg; CD3⁺ T cells 8.02 × 10⁶ and 6.07 × 10⁶ cells/kg) were administered on </w:t>
      </w:r>
      <w:r>
        <w:rPr>
          <w:rFonts w:cs="Times New Roman" w:hint="eastAsia"/>
        </w:rPr>
        <w:t>27</w:t>
      </w:r>
      <w:r w:rsidRPr="009A41E5">
        <w:rPr>
          <w:rFonts w:cs="Times New Roman" w:hint="eastAsia"/>
          <w:vertAlign w:val="superscript"/>
        </w:rPr>
        <w:t>th</w:t>
      </w:r>
      <w:r w:rsidRPr="00DF4D5B">
        <w:rPr>
          <w:rFonts w:eastAsia="宋体" w:cs="Times New Roman"/>
        </w:rPr>
        <w:t xml:space="preserve"> October and </w:t>
      </w:r>
      <w:r>
        <w:rPr>
          <w:rFonts w:cs="Times New Roman" w:hint="eastAsia"/>
        </w:rPr>
        <w:t>19</w:t>
      </w:r>
      <w:r w:rsidRPr="009A41E5">
        <w:rPr>
          <w:rFonts w:cs="Times New Roman" w:hint="eastAsia"/>
          <w:vertAlign w:val="superscript"/>
        </w:rPr>
        <w:t>th</w:t>
      </w:r>
      <w:r w:rsidRPr="00DF4D5B">
        <w:rPr>
          <w:rFonts w:eastAsia="宋体" w:cs="Times New Roman"/>
        </w:rPr>
        <w:t xml:space="preserve"> November, 2025 (days +26 and +49 post-HSCT), without Flu/Cy lymphodepletion. Premedication included diphenhydramine and acetaminophen. After KO-DLI, none of the patients developed cytokine release syndrome, immune effector cell-associated neurotoxicity syndrome, acute graft-versus-host disease, or infection.</w:t>
      </w:r>
    </w:p>
    <w:p w14:paraId="4C5D11C0" w14:textId="77777777" w:rsidR="00E72712" w:rsidRPr="0080143B" w:rsidRDefault="00E72712" w:rsidP="00202026">
      <w:pPr>
        <w:spacing w:line="360" w:lineRule="auto"/>
        <w:jc w:val="both"/>
        <w:rPr>
          <w:rFonts w:eastAsia="宋体" w:cs="Times New Roman"/>
          <w:b/>
          <w:lang w:eastAsia="zh-CN"/>
        </w:rPr>
      </w:pPr>
      <w:r w:rsidRPr="0080143B">
        <w:rPr>
          <w:rFonts w:eastAsia="宋体" w:cs="Times New Roman"/>
          <w:b/>
          <w:lang w:eastAsia="zh-CN"/>
        </w:rPr>
        <w:t xml:space="preserve">9. </w:t>
      </w:r>
      <w:r w:rsidRPr="0080143B">
        <w:rPr>
          <w:rFonts w:cs="Times New Roman"/>
          <w:b/>
        </w:rPr>
        <w:t>Statistical Analysis</w:t>
      </w:r>
    </w:p>
    <w:p w14:paraId="52B50F3D" w14:textId="53DB046F" w:rsidR="00D90A17" w:rsidRPr="0080143B" w:rsidRDefault="00E4278C" w:rsidP="00202026">
      <w:pPr>
        <w:spacing w:line="360" w:lineRule="auto"/>
        <w:jc w:val="both"/>
        <w:rPr>
          <w:rFonts w:eastAsia="宋体" w:cs="Times New Roman"/>
          <w:lang w:eastAsia="zh-CN"/>
        </w:rPr>
      </w:pPr>
      <w:r w:rsidRPr="0080143B">
        <w:rPr>
          <w:rFonts w:cs="Times New Roman"/>
        </w:rPr>
        <w:t>Given the case</w:t>
      </w:r>
      <w:r w:rsidRPr="0080143B">
        <w:rPr>
          <w:rFonts w:cs="Times New Roman"/>
        </w:rPr>
        <w:noBreakHyphen/>
        <w:t>series design, descriptive statistics were used. Continuous variables are presented as median (range); categorical variables as counts (percentages). No formal hypothesis testing was performed.</w:t>
      </w:r>
    </w:p>
    <w:p w14:paraId="56332B30" w14:textId="77777777" w:rsidR="002878C3" w:rsidRPr="0080143B" w:rsidRDefault="002878C3" w:rsidP="00202026">
      <w:pPr>
        <w:spacing w:line="360" w:lineRule="auto"/>
        <w:jc w:val="both"/>
        <w:rPr>
          <w:rFonts w:eastAsia="宋体" w:cs="Times New Roman"/>
          <w:lang w:eastAsia="zh-CN"/>
        </w:rPr>
      </w:pPr>
    </w:p>
    <w:p w14:paraId="72B4B75B" w14:textId="0736E593" w:rsidR="002878C3" w:rsidRPr="0080143B" w:rsidRDefault="003546EB" w:rsidP="00202026">
      <w:pPr>
        <w:spacing w:line="360" w:lineRule="auto"/>
        <w:rPr>
          <w:rFonts w:eastAsia="宋体" w:cs="Times New Roman"/>
          <w:b/>
          <w:bCs/>
          <w:lang w:eastAsia="zh-CN"/>
        </w:rPr>
      </w:pPr>
      <w:r w:rsidRPr="0080143B">
        <w:rPr>
          <w:rFonts w:eastAsia="宋体" w:cs="Times New Roman"/>
          <w:b/>
          <w:bCs/>
          <w:color w:val="000000"/>
          <w:lang w:eastAsia="zh-CN"/>
        </w:rPr>
        <w:t xml:space="preserve">10. </w:t>
      </w:r>
      <w:r w:rsidR="003C7567" w:rsidRPr="0080143B">
        <w:rPr>
          <w:rFonts w:cs="Times New Roman"/>
          <w:b/>
          <w:bCs/>
          <w:color w:val="000000"/>
        </w:rPr>
        <w:t>References</w:t>
      </w:r>
    </w:p>
    <w:p w14:paraId="208DD5B7" w14:textId="77777777" w:rsidR="003C7567" w:rsidRPr="0080143B" w:rsidRDefault="003C7567" w:rsidP="00202026">
      <w:pPr>
        <w:pStyle w:val="ae"/>
        <w:widowControl w:val="0"/>
        <w:numPr>
          <w:ilvl w:val="0"/>
          <w:numId w:val="11"/>
        </w:numPr>
        <w:spacing w:after="0" w:line="360" w:lineRule="auto"/>
        <w:jc w:val="both"/>
        <w:rPr>
          <w:rFonts w:eastAsia="仿宋" w:cs="Times New Roman"/>
          <w:color w:val="000000"/>
        </w:rPr>
      </w:pPr>
      <w:r w:rsidRPr="0080143B">
        <w:rPr>
          <w:rFonts w:eastAsia="仿宋" w:cs="Times New Roman"/>
          <w:color w:val="000000"/>
        </w:rPr>
        <w:lastRenderedPageBreak/>
        <w:t>Bader P, Kreyenberg H, Bacigalupo A. Documentation of engraftment and chimerism after HCT. In: Sureda A, Corbacioglu S, Greco R, Kröger N, Carreras E, editors. The EBMT Handbook: Hematopoietic Cell Transplantation and Cellular Therapies. 8th ed. Cham: Springer; 2024. p. 183–8.</w:t>
      </w:r>
    </w:p>
    <w:p w14:paraId="7C4C8214" w14:textId="77777777" w:rsidR="003C7567" w:rsidRPr="0080143B" w:rsidRDefault="003C7567" w:rsidP="00202026">
      <w:pPr>
        <w:pStyle w:val="ae"/>
        <w:widowControl w:val="0"/>
        <w:numPr>
          <w:ilvl w:val="0"/>
          <w:numId w:val="11"/>
        </w:numPr>
        <w:spacing w:after="0" w:line="360" w:lineRule="auto"/>
        <w:jc w:val="both"/>
        <w:rPr>
          <w:rFonts w:eastAsia="仿宋" w:cs="Times New Roman"/>
          <w:color w:val="000000"/>
        </w:rPr>
      </w:pPr>
      <w:r w:rsidRPr="0080143B">
        <w:rPr>
          <w:rFonts w:eastAsia="仿宋" w:cs="Times New Roman"/>
          <w:color w:val="000000"/>
        </w:rPr>
        <w:t>Kharfan-Dabaja MA, Kumar A, Ayala E, Aljurf M, Nishihori T, Marsh R, et al. Standardizing definitions of hematopoietic recovery, graft rejection, graft failure, poor graft function, and donor chimerism in allogeneic hematopoietic cell transplantation: a report on behalf of the American Society for Transplantation and Cellular Therapy. Transplant Cell Ther. 2021;27(8):642–9.</w:t>
      </w:r>
    </w:p>
    <w:p w14:paraId="1E2726BD" w14:textId="77777777" w:rsidR="003C7567" w:rsidRPr="0080143B" w:rsidRDefault="003C7567" w:rsidP="00202026">
      <w:pPr>
        <w:pStyle w:val="ae"/>
        <w:widowControl w:val="0"/>
        <w:numPr>
          <w:ilvl w:val="0"/>
          <w:numId w:val="11"/>
        </w:numPr>
        <w:spacing w:after="0" w:line="360" w:lineRule="auto"/>
        <w:jc w:val="both"/>
        <w:rPr>
          <w:rFonts w:eastAsia="仿宋" w:cs="Times New Roman"/>
          <w:color w:val="000000"/>
        </w:rPr>
      </w:pPr>
      <w:r w:rsidRPr="0080143B">
        <w:rPr>
          <w:rFonts w:eastAsia="仿宋" w:cs="Times New Roman"/>
          <w:color w:val="000000"/>
        </w:rPr>
        <w:t>Prabahran A, Koldej R, Chee L, Szer J, Ritchie D. Non-relapse cytopenias</w:t>
      </w:r>
    </w:p>
    <w:p w14:paraId="5F05E2AC" w14:textId="77777777" w:rsidR="003C7567" w:rsidRPr="0080143B" w:rsidRDefault="003C7567" w:rsidP="00202026">
      <w:pPr>
        <w:pStyle w:val="ae"/>
        <w:spacing w:line="360" w:lineRule="auto"/>
        <w:ind w:left="440"/>
        <w:rPr>
          <w:rFonts w:eastAsia="仿宋" w:cs="Times New Roman"/>
          <w:color w:val="000000"/>
        </w:rPr>
      </w:pPr>
      <w:r w:rsidRPr="0080143B">
        <w:rPr>
          <w:rFonts w:eastAsia="仿宋" w:cs="Times New Roman"/>
          <w:color w:val="000000"/>
        </w:rPr>
        <w:t>following allogeneic stem cell transplantation, a case based review. Bone Marrow</w:t>
      </w:r>
    </w:p>
    <w:p w14:paraId="7FD5BB4B" w14:textId="77777777" w:rsidR="003C7567" w:rsidRPr="0080143B" w:rsidRDefault="003C7567" w:rsidP="00202026">
      <w:pPr>
        <w:pStyle w:val="ae"/>
        <w:spacing w:line="360" w:lineRule="auto"/>
        <w:ind w:left="440"/>
        <w:rPr>
          <w:rFonts w:eastAsia="仿宋" w:cs="Times New Roman"/>
          <w:color w:val="000000"/>
        </w:rPr>
      </w:pPr>
      <w:r w:rsidRPr="0080143B">
        <w:rPr>
          <w:rFonts w:eastAsia="仿宋" w:cs="Times New Roman"/>
          <w:color w:val="000000"/>
        </w:rPr>
        <w:t xml:space="preserve">Transplant. 2022; 57: 1489-99. </w:t>
      </w:r>
    </w:p>
    <w:p w14:paraId="3C7E674D" w14:textId="0B887D37" w:rsidR="00753C45" w:rsidRPr="0080143B" w:rsidRDefault="00753C45" w:rsidP="00202026">
      <w:pPr>
        <w:pStyle w:val="ae"/>
        <w:widowControl w:val="0"/>
        <w:numPr>
          <w:ilvl w:val="0"/>
          <w:numId w:val="11"/>
        </w:numPr>
        <w:spacing w:after="0" w:line="360" w:lineRule="auto"/>
        <w:jc w:val="both"/>
        <w:rPr>
          <w:rFonts w:eastAsia="仿宋" w:cs="Times New Roman"/>
          <w:color w:val="000000"/>
        </w:rPr>
      </w:pPr>
      <w:r w:rsidRPr="0080143B">
        <w:rPr>
          <w:rFonts w:eastAsia="仿宋" w:cs="Times New Roman"/>
          <w:color w:val="000000"/>
        </w:rPr>
        <w:t>Kalos M, Levine BL, Porter DL, Katz S, Grupp SA, Bagg A, et al. T cells with chimeric antigen receptors have potent antitumor effects and can establish memory in patients with advanced leukemia. Sci Transl Med. 2011;</w:t>
      </w:r>
      <w:r w:rsidR="00650C14">
        <w:rPr>
          <w:rFonts w:eastAsia="仿宋" w:cs="Times New Roman" w:hint="eastAsia"/>
          <w:color w:val="000000"/>
          <w:lang w:eastAsia="zh-CN"/>
        </w:rPr>
        <w:t xml:space="preserve"> </w:t>
      </w:r>
      <w:r w:rsidRPr="0080143B">
        <w:rPr>
          <w:rFonts w:eastAsia="仿宋" w:cs="Times New Roman"/>
          <w:color w:val="000000"/>
        </w:rPr>
        <w:t>3:95ra73.</w:t>
      </w:r>
    </w:p>
    <w:p w14:paraId="5DA000D6" w14:textId="294B1668" w:rsidR="002878C3" w:rsidRPr="00F70C9B" w:rsidRDefault="00753C45" w:rsidP="00202026">
      <w:pPr>
        <w:pStyle w:val="ae"/>
        <w:widowControl w:val="0"/>
        <w:numPr>
          <w:ilvl w:val="0"/>
          <w:numId w:val="11"/>
        </w:numPr>
        <w:spacing w:after="0" w:line="360" w:lineRule="auto"/>
        <w:jc w:val="both"/>
        <w:rPr>
          <w:rFonts w:eastAsia="仿宋" w:cs="Times New Roman"/>
          <w:color w:val="000000"/>
        </w:rPr>
      </w:pPr>
      <w:r w:rsidRPr="0080143B">
        <w:rPr>
          <w:rFonts w:eastAsia="仿宋" w:cs="Times New Roman"/>
          <w:color w:val="000000"/>
        </w:rPr>
        <w:t>Kunz A, Gern U, Schmitt A, Neuber B, Wang L, Hückelhoven-Krauss A, et al. Optimized Assessment of qPCR-Based Vector Copy Numbers as a Safety Parameter for GMP-Grade CAR T Cells and Monitoring of Frequency in Patients. Mol Ther Methods Clin Dev. 2020;</w:t>
      </w:r>
      <w:r w:rsidR="000E0212">
        <w:rPr>
          <w:rFonts w:eastAsia="仿宋" w:cs="Times New Roman" w:hint="eastAsia"/>
          <w:color w:val="000000"/>
          <w:lang w:eastAsia="zh-CN"/>
        </w:rPr>
        <w:t xml:space="preserve"> </w:t>
      </w:r>
      <w:r w:rsidRPr="0080143B">
        <w:rPr>
          <w:rFonts w:eastAsia="仿宋" w:cs="Times New Roman"/>
          <w:color w:val="000000"/>
        </w:rPr>
        <w:t>17:448-54</w:t>
      </w:r>
      <w:r w:rsidR="000E0212">
        <w:rPr>
          <w:rFonts w:eastAsia="仿宋" w:cs="Times New Roman" w:hint="eastAsia"/>
          <w:color w:val="000000"/>
          <w:lang w:eastAsia="zh-CN"/>
        </w:rPr>
        <w:t>.</w:t>
      </w:r>
    </w:p>
    <w:sectPr w:rsidR="002878C3" w:rsidRPr="00F70C9B" w:rsidSect="00647CBA">
      <w:footerReference w:type="default" r:id="rId8"/>
      <w:pgSz w:w="12240" w:h="15840"/>
      <w:pgMar w:top="1417" w:right="1417" w:bottom="1417" w:left="1417"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527B9" w14:textId="77777777" w:rsidR="00AC20FE" w:rsidRDefault="00AC20FE" w:rsidP="00691EAE">
      <w:pPr>
        <w:spacing w:after="0" w:line="240" w:lineRule="auto"/>
      </w:pPr>
      <w:r>
        <w:separator/>
      </w:r>
    </w:p>
  </w:endnote>
  <w:endnote w:type="continuationSeparator" w:id="0">
    <w:p w14:paraId="16E92673" w14:textId="77777777" w:rsidR="00AC20FE" w:rsidRDefault="00AC20FE" w:rsidP="00691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venirLTStd-Book">
    <w:altName w:val="Cambria"/>
    <w:panose1 w:val="00000000000000000000"/>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9063316"/>
      <w:docPartObj>
        <w:docPartGallery w:val="Page Numbers (Bottom of Page)"/>
        <w:docPartUnique/>
      </w:docPartObj>
    </w:sdtPr>
    <w:sdtContent>
      <w:p w14:paraId="1A8C4B0E" w14:textId="03FD0E25" w:rsidR="007F0B22" w:rsidRDefault="007F0B22">
        <w:pPr>
          <w:pStyle w:val="a7"/>
          <w:jc w:val="center"/>
        </w:pPr>
        <w:r>
          <w:fldChar w:fldCharType="begin"/>
        </w:r>
        <w:r>
          <w:instrText>PAGE   \* MERGEFORMAT</w:instrText>
        </w:r>
        <w:r>
          <w:fldChar w:fldCharType="separate"/>
        </w:r>
        <w:r>
          <w:rPr>
            <w:lang w:val="zh-CN" w:eastAsia="zh-CN"/>
          </w:rPr>
          <w:t>2</w:t>
        </w:r>
        <w:r>
          <w:fldChar w:fldCharType="end"/>
        </w:r>
      </w:p>
    </w:sdtContent>
  </w:sdt>
  <w:p w14:paraId="02700B7B" w14:textId="77777777" w:rsidR="007F0B22" w:rsidRDefault="007F0B2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2B4CE" w14:textId="77777777" w:rsidR="00AC20FE" w:rsidRDefault="00AC20FE" w:rsidP="00691EAE">
      <w:pPr>
        <w:spacing w:after="0" w:line="240" w:lineRule="auto"/>
      </w:pPr>
      <w:r>
        <w:separator/>
      </w:r>
    </w:p>
  </w:footnote>
  <w:footnote w:type="continuationSeparator" w:id="0">
    <w:p w14:paraId="431A5EAE" w14:textId="77777777" w:rsidR="00AC20FE" w:rsidRDefault="00AC20FE" w:rsidP="00691E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2605A0C"/>
    <w:multiLevelType w:val="multilevel"/>
    <w:tmpl w:val="91D87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8542EE3"/>
    <w:multiLevelType w:val="hybridMultilevel"/>
    <w:tmpl w:val="F1B0B604"/>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6CBE72BA"/>
    <w:multiLevelType w:val="multilevel"/>
    <w:tmpl w:val="18665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EB077A4"/>
    <w:multiLevelType w:val="multilevel"/>
    <w:tmpl w:val="27DA4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07651179">
    <w:abstractNumId w:val="8"/>
  </w:num>
  <w:num w:numId="2" w16cid:durableId="900482686">
    <w:abstractNumId w:val="6"/>
  </w:num>
  <w:num w:numId="3" w16cid:durableId="1855727727">
    <w:abstractNumId w:val="5"/>
  </w:num>
  <w:num w:numId="4" w16cid:durableId="670184256">
    <w:abstractNumId w:val="4"/>
  </w:num>
  <w:num w:numId="5" w16cid:durableId="478570806">
    <w:abstractNumId w:val="7"/>
  </w:num>
  <w:num w:numId="6" w16cid:durableId="2125882306">
    <w:abstractNumId w:val="3"/>
  </w:num>
  <w:num w:numId="7" w16cid:durableId="1698658516">
    <w:abstractNumId w:val="2"/>
  </w:num>
  <w:num w:numId="8" w16cid:durableId="985280326">
    <w:abstractNumId w:val="1"/>
  </w:num>
  <w:num w:numId="9" w16cid:durableId="596600373">
    <w:abstractNumId w:val="0"/>
  </w:num>
  <w:num w:numId="10" w16cid:durableId="695230468">
    <w:abstractNumId w:val="11"/>
  </w:num>
  <w:num w:numId="11" w16cid:durableId="863052631">
    <w:abstractNumId w:val="10"/>
  </w:num>
  <w:num w:numId="12" w16cid:durableId="43914510">
    <w:abstractNumId w:val="12"/>
  </w:num>
  <w:num w:numId="13" w16cid:durableId="17719735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0DC"/>
    <w:rsid w:val="0000543B"/>
    <w:rsid w:val="00005B78"/>
    <w:rsid w:val="00005D95"/>
    <w:rsid w:val="000060DD"/>
    <w:rsid w:val="00015928"/>
    <w:rsid w:val="000209FF"/>
    <w:rsid w:val="00027DEC"/>
    <w:rsid w:val="00031BA3"/>
    <w:rsid w:val="00034616"/>
    <w:rsid w:val="000367CB"/>
    <w:rsid w:val="000379B8"/>
    <w:rsid w:val="000420FD"/>
    <w:rsid w:val="0005076D"/>
    <w:rsid w:val="00050C57"/>
    <w:rsid w:val="00055B5A"/>
    <w:rsid w:val="000600BA"/>
    <w:rsid w:val="0006063C"/>
    <w:rsid w:val="00061585"/>
    <w:rsid w:val="0006354B"/>
    <w:rsid w:val="000665E9"/>
    <w:rsid w:val="00066F4C"/>
    <w:rsid w:val="000733BF"/>
    <w:rsid w:val="0007646F"/>
    <w:rsid w:val="000853A1"/>
    <w:rsid w:val="000878D8"/>
    <w:rsid w:val="00087F5B"/>
    <w:rsid w:val="00092327"/>
    <w:rsid w:val="00095FFC"/>
    <w:rsid w:val="000969B8"/>
    <w:rsid w:val="000A38E5"/>
    <w:rsid w:val="000A7A8A"/>
    <w:rsid w:val="000B2FE3"/>
    <w:rsid w:val="000B364A"/>
    <w:rsid w:val="000C42D7"/>
    <w:rsid w:val="000E0212"/>
    <w:rsid w:val="000E3A1F"/>
    <w:rsid w:val="000E3D7E"/>
    <w:rsid w:val="000E440C"/>
    <w:rsid w:val="000E594B"/>
    <w:rsid w:val="000E5FA1"/>
    <w:rsid w:val="000E71D7"/>
    <w:rsid w:val="000F211D"/>
    <w:rsid w:val="000F5C30"/>
    <w:rsid w:val="00100E32"/>
    <w:rsid w:val="00102E6A"/>
    <w:rsid w:val="0011068C"/>
    <w:rsid w:val="00113568"/>
    <w:rsid w:val="00113BED"/>
    <w:rsid w:val="00115640"/>
    <w:rsid w:val="00117380"/>
    <w:rsid w:val="00120F37"/>
    <w:rsid w:val="001249B9"/>
    <w:rsid w:val="0012520E"/>
    <w:rsid w:val="00125C4E"/>
    <w:rsid w:val="0013109E"/>
    <w:rsid w:val="00131F25"/>
    <w:rsid w:val="00135E67"/>
    <w:rsid w:val="00143067"/>
    <w:rsid w:val="00145A93"/>
    <w:rsid w:val="0015074B"/>
    <w:rsid w:val="00155961"/>
    <w:rsid w:val="0015656A"/>
    <w:rsid w:val="001578E8"/>
    <w:rsid w:val="001602CA"/>
    <w:rsid w:val="00162295"/>
    <w:rsid w:val="001638C6"/>
    <w:rsid w:val="00164DEE"/>
    <w:rsid w:val="00166D0D"/>
    <w:rsid w:val="00167F68"/>
    <w:rsid w:val="001706A7"/>
    <w:rsid w:val="00170BED"/>
    <w:rsid w:val="00170D39"/>
    <w:rsid w:val="00171237"/>
    <w:rsid w:val="0017275E"/>
    <w:rsid w:val="00172B5B"/>
    <w:rsid w:val="00173A14"/>
    <w:rsid w:val="001749AC"/>
    <w:rsid w:val="00176746"/>
    <w:rsid w:val="00184B23"/>
    <w:rsid w:val="001852CA"/>
    <w:rsid w:val="00196974"/>
    <w:rsid w:val="001A1CAC"/>
    <w:rsid w:val="001A47F8"/>
    <w:rsid w:val="001A57B8"/>
    <w:rsid w:val="001B5E96"/>
    <w:rsid w:val="001B6372"/>
    <w:rsid w:val="001C4606"/>
    <w:rsid w:val="001C7D02"/>
    <w:rsid w:val="001D2E87"/>
    <w:rsid w:val="001D7BBA"/>
    <w:rsid w:val="001E01AE"/>
    <w:rsid w:val="001E2017"/>
    <w:rsid w:val="001E24D2"/>
    <w:rsid w:val="001E29A6"/>
    <w:rsid w:val="001E3CAD"/>
    <w:rsid w:val="001F13EE"/>
    <w:rsid w:val="00201BB7"/>
    <w:rsid w:val="00202026"/>
    <w:rsid w:val="00204359"/>
    <w:rsid w:val="0020794C"/>
    <w:rsid w:val="00207EBE"/>
    <w:rsid w:val="002111EB"/>
    <w:rsid w:val="00212D7D"/>
    <w:rsid w:val="002153F6"/>
    <w:rsid w:val="00215B39"/>
    <w:rsid w:val="0022438B"/>
    <w:rsid w:val="00224516"/>
    <w:rsid w:val="002338BB"/>
    <w:rsid w:val="00234182"/>
    <w:rsid w:val="00247B20"/>
    <w:rsid w:val="00253319"/>
    <w:rsid w:val="00253681"/>
    <w:rsid w:val="0025574E"/>
    <w:rsid w:val="00255C9E"/>
    <w:rsid w:val="002572F2"/>
    <w:rsid w:val="002576DD"/>
    <w:rsid w:val="00262F2E"/>
    <w:rsid w:val="0026652D"/>
    <w:rsid w:val="002709C3"/>
    <w:rsid w:val="002757E9"/>
    <w:rsid w:val="002843E4"/>
    <w:rsid w:val="002854E6"/>
    <w:rsid w:val="002866BF"/>
    <w:rsid w:val="002878C3"/>
    <w:rsid w:val="00287EEE"/>
    <w:rsid w:val="00291A73"/>
    <w:rsid w:val="0029639D"/>
    <w:rsid w:val="00296EFB"/>
    <w:rsid w:val="002A1410"/>
    <w:rsid w:val="002A3058"/>
    <w:rsid w:val="002A6C65"/>
    <w:rsid w:val="002B01DE"/>
    <w:rsid w:val="002B1936"/>
    <w:rsid w:val="002B4AF5"/>
    <w:rsid w:val="002C5F29"/>
    <w:rsid w:val="002C6C0B"/>
    <w:rsid w:val="002D087E"/>
    <w:rsid w:val="002D14AC"/>
    <w:rsid w:val="002D26FD"/>
    <w:rsid w:val="002D421B"/>
    <w:rsid w:val="002E3E73"/>
    <w:rsid w:val="002F08D8"/>
    <w:rsid w:val="002F5401"/>
    <w:rsid w:val="002F645F"/>
    <w:rsid w:val="002F6C20"/>
    <w:rsid w:val="00304F2E"/>
    <w:rsid w:val="00307D07"/>
    <w:rsid w:val="00312667"/>
    <w:rsid w:val="0031317F"/>
    <w:rsid w:val="0031446B"/>
    <w:rsid w:val="00315D51"/>
    <w:rsid w:val="0031699F"/>
    <w:rsid w:val="00320DFC"/>
    <w:rsid w:val="00320ECF"/>
    <w:rsid w:val="0032109B"/>
    <w:rsid w:val="00321B20"/>
    <w:rsid w:val="00326F90"/>
    <w:rsid w:val="00335187"/>
    <w:rsid w:val="0033571B"/>
    <w:rsid w:val="003421DF"/>
    <w:rsid w:val="00345002"/>
    <w:rsid w:val="003457EB"/>
    <w:rsid w:val="00346A80"/>
    <w:rsid w:val="003472EE"/>
    <w:rsid w:val="00347FC2"/>
    <w:rsid w:val="003546EB"/>
    <w:rsid w:val="00357D56"/>
    <w:rsid w:val="00361B5B"/>
    <w:rsid w:val="00361C7F"/>
    <w:rsid w:val="003637E9"/>
    <w:rsid w:val="00365E1C"/>
    <w:rsid w:val="003705C4"/>
    <w:rsid w:val="00375EA5"/>
    <w:rsid w:val="00376942"/>
    <w:rsid w:val="00382B6E"/>
    <w:rsid w:val="003919EC"/>
    <w:rsid w:val="00395844"/>
    <w:rsid w:val="003A025D"/>
    <w:rsid w:val="003A1A65"/>
    <w:rsid w:val="003A301E"/>
    <w:rsid w:val="003A4E23"/>
    <w:rsid w:val="003A7877"/>
    <w:rsid w:val="003B04B2"/>
    <w:rsid w:val="003B0A72"/>
    <w:rsid w:val="003B1AC3"/>
    <w:rsid w:val="003B7639"/>
    <w:rsid w:val="003B7F63"/>
    <w:rsid w:val="003C2EEC"/>
    <w:rsid w:val="003C4611"/>
    <w:rsid w:val="003C57EB"/>
    <w:rsid w:val="003C6531"/>
    <w:rsid w:val="003C7567"/>
    <w:rsid w:val="003D2043"/>
    <w:rsid w:val="003D3092"/>
    <w:rsid w:val="003D69FD"/>
    <w:rsid w:val="003D7B26"/>
    <w:rsid w:val="003E2543"/>
    <w:rsid w:val="003E43BD"/>
    <w:rsid w:val="003E4A23"/>
    <w:rsid w:val="003E4DAF"/>
    <w:rsid w:val="003F00C4"/>
    <w:rsid w:val="003F00FE"/>
    <w:rsid w:val="003F5A4E"/>
    <w:rsid w:val="003F62C5"/>
    <w:rsid w:val="004005B2"/>
    <w:rsid w:val="00400985"/>
    <w:rsid w:val="00401B7F"/>
    <w:rsid w:val="00402E99"/>
    <w:rsid w:val="00404976"/>
    <w:rsid w:val="00404C8C"/>
    <w:rsid w:val="00421650"/>
    <w:rsid w:val="004247AD"/>
    <w:rsid w:val="0042535C"/>
    <w:rsid w:val="00426A8B"/>
    <w:rsid w:val="00426F32"/>
    <w:rsid w:val="004304FF"/>
    <w:rsid w:val="004310E7"/>
    <w:rsid w:val="00435D40"/>
    <w:rsid w:val="00440E25"/>
    <w:rsid w:val="004415D1"/>
    <w:rsid w:val="00444EEA"/>
    <w:rsid w:val="00445329"/>
    <w:rsid w:val="00446FFE"/>
    <w:rsid w:val="004532DB"/>
    <w:rsid w:val="004553B4"/>
    <w:rsid w:val="00455E87"/>
    <w:rsid w:val="00456759"/>
    <w:rsid w:val="0045769F"/>
    <w:rsid w:val="00461232"/>
    <w:rsid w:val="0046471C"/>
    <w:rsid w:val="0047012E"/>
    <w:rsid w:val="0047254D"/>
    <w:rsid w:val="00474363"/>
    <w:rsid w:val="00482AB6"/>
    <w:rsid w:val="004866C9"/>
    <w:rsid w:val="00494697"/>
    <w:rsid w:val="004958AD"/>
    <w:rsid w:val="0049649E"/>
    <w:rsid w:val="004A0991"/>
    <w:rsid w:val="004A6D89"/>
    <w:rsid w:val="004B24D9"/>
    <w:rsid w:val="004B31BB"/>
    <w:rsid w:val="004B33F5"/>
    <w:rsid w:val="004B4E38"/>
    <w:rsid w:val="004B5800"/>
    <w:rsid w:val="004B59C9"/>
    <w:rsid w:val="004C0026"/>
    <w:rsid w:val="004C6C83"/>
    <w:rsid w:val="004C75DA"/>
    <w:rsid w:val="004D3337"/>
    <w:rsid w:val="004D6725"/>
    <w:rsid w:val="004D765C"/>
    <w:rsid w:val="004E03BB"/>
    <w:rsid w:val="004E09E5"/>
    <w:rsid w:val="004E391B"/>
    <w:rsid w:val="004E43AC"/>
    <w:rsid w:val="004E7AFE"/>
    <w:rsid w:val="004F4B12"/>
    <w:rsid w:val="004F5810"/>
    <w:rsid w:val="004F6FE8"/>
    <w:rsid w:val="00500194"/>
    <w:rsid w:val="00504AE4"/>
    <w:rsid w:val="00506B01"/>
    <w:rsid w:val="00511506"/>
    <w:rsid w:val="00511EC7"/>
    <w:rsid w:val="00512654"/>
    <w:rsid w:val="00515481"/>
    <w:rsid w:val="00515D68"/>
    <w:rsid w:val="00516F05"/>
    <w:rsid w:val="00517BC4"/>
    <w:rsid w:val="00523B4F"/>
    <w:rsid w:val="0053178C"/>
    <w:rsid w:val="0053415B"/>
    <w:rsid w:val="00541379"/>
    <w:rsid w:val="00543EA2"/>
    <w:rsid w:val="0054717C"/>
    <w:rsid w:val="00562BAC"/>
    <w:rsid w:val="0056320B"/>
    <w:rsid w:val="005639E9"/>
    <w:rsid w:val="00563B10"/>
    <w:rsid w:val="005650AF"/>
    <w:rsid w:val="00565921"/>
    <w:rsid w:val="00567653"/>
    <w:rsid w:val="0057110A"/>
    <w:rsid w:val="00573EB4"/>
    <w:rsid w:val="00581D56"/>
    <w:rsid w:val="00582D25"/>
    <w:rsid w:val="00585B7E"/>
    <w:rsid w:val="00585C3E"/>
    <w:rsid w:val="00592FD9"/>
    <w:rsid w:val="00595B71"/>
    <w:rsid w:val="005A2A5E"/>
    <w:rsid w:val="005A328F"/>
    <w:rsid w:val="005A4F25"/>
    <w:rsid w:val="005A7339"/>
    <w:rsid w:val="005C047F"/>
    <w:rsid w:val="005C31B7"/>
    <w:rsid w:val="005C52B7"/>
    <w:rsid w:val="005C5AB1"/>
    <w:rsid w:val="005D1B46"/>
    <w:rsid w:val="005D1FFB"/>
    <w:rsid w:val="005D2440"/>
    <w:rsid w:val="005D2903"/>
    <w:rsid w:val="005D36F6"/>
    <w:rsid w:val="005E2C2F"/>
    <w:rsid w:val="005E2E04"/>
    <w:rsid w:val="005E5C9D"/>
    <w:rsid w:val="005F10B3"/>
    <w:rsid w:val="005F2141"/>
    <w:rsid w:val="005F320C"/>
    <w:rsid w:val="00606BAC"/>
    <w:rsid w:val="00606D69"/>
    <w:rsid w:val="00613313"/>
    <w:rsid w:val="00614E05"/>
    <w:rsid w:val="00615D7E"/>
    <w:rsid w:val="0062033B"/>
    <w:rsid w:val="00624CB3"/>
    <w:rsid w:val="00631115"/>
    <w:rsid w:val="00635394"/>
    <w:rsid w:val="00637C02"/>
    <w:rsid w:val="00643D86"/>
    <w:rsid w:val="00647669"/>
    <w:rsid w:val="00647CBA"/>
    <w:rsid w:val="006506FF"/>
    <w:rsid w:val="00650C14"/>
    <w:rsid w:val="00651CEC"/>
    <w:rsid w:val="00654165"/>
    <w:rsid w:val="00655075"/>
    <w:rsid w:val="00655F60"/>
    <w:rsid w:val="00656747"/>
    <w:rsid w:val="006615FD"/>
    <w:rsid w:val="00661ABC"/>
    <w:rsid w:val="0066415D"/>
    <w:rsid w:val="006648F0"/>
    <w:rsid w:val="00670BC2"/>
    <w:rsid w:val="006726B7"/>
    <w:rsid w:val="00673886"/>
    <w:rsid w:val="00674B49"/>
    <w:rsid w:val="00674D25"/>
    <w:rsid w:val="00674F7C"/>
    <w:rsid w:val="006822EB"/>
    <w:rsid w:val="00682E47"/>
    <w:rsid w:val="00691EAE"/>
    <w:rsid w:val="0069349A"/>
    <w:rsid w:val="00697095"/>
    <w:rsid w:val="006A4234"/>
    <w:rsid w:val="006A491C"/>
    <w:rsid w:val="006A4FCC"/>
    <w:rsid w:val="006B0F9C"/>
    <w:rsid w:val="006B3717"/>
    <w:rsid w:val="006B5692"/>
    <w:rsid w:val="006B6021"/>
    <w:rsid w:val="006C046C"/>
    <w:rsid w:val="006C5DC9"/>
    <w:rsid w:val="006D4235"/>
    <w:rsid w:val="006E1345"/>
    <w:rsid w:val="006E2763"/>
    <w:rsid w:val="006E4813"/>
    <w:rsid w:val="006E50BF"/>
    <w:rsid w:val="006F1639"/>
    <w:rsid w:val="006F1DB0"/>
    <w:rsid w:val="006F3B32"/>
    <w:rsid w:val="006F5AE1"/>
    <w:rsid w:val="00704327"/>
    <w:rsid w:val="00704397"/>
    <w:rsid w:val="00704501"/>
    <w:rsid w:val="0070683D"/>
    <w:rsid w:val="0071082E"/>
    <w:rsid w:val="0071670A"/>
    <w:rsid w:val="00724074"/>
    <w:rsid w:val="00724AA9"/>
    <w:rsid w:val="007252AB"/>
    <w:rsid w:val="00726B55"/>
    <w:rsid w:val="007365DC"/>
    <w:rsid w:val="00744F81"/>
    <w:rsid w:val="00745E6F"/>
    <w:rsid w:val="0074627E"/>
    <w:rsid w:val="00753C45"/>
    <w:rsid w:val="00757382"/>
    <w:rsid w:val="00762992"/>
    <w:rsid w:val="00766CC8"/>
    <w:rsid w:val="00767246"/>
    <w:rsid w:val="00772B66"/>
    <w:rsid w:val="00773023"/>
    <w:rsid w:val="00777272"/>
    <w:rsid w:val="0078451B"/>
    <w:rsid w:val="0078554D"/>
    <w:rsid w:val="00786966"/>
    <w:rsid w:val="0079259D"/>
    <w:rsid w:val="0079267B"/>
    <w:rsid w:val="00792DE2"/>
    <w:rsid w:val="007948FA"/>
    <w:rsid w:val="007A5ED0"/>
    <w:rsid w:val="007A6B53"/>
    <w:rsid w:val="007B11AB"/>
    <w:rsid w:val="007B41D1"/>
    <w:rsid w:val="007B63DF"/>
    <w:rsid w:val="007B6F02"/>
    <w:rsid w:val="007C0178"/>
    <w:rsid w:val="007C0863"/>
    <w:rsid w:val="007C0F64"/>
    <w:rsid w:val="007C1AAA"/>
    <w:rsid w:val="007C3C69"/>
    <w:rsid w:val="007C4D86"/>
    <w:rsid w:val="007C6691"/>
    <w:rsid w:val="007D200D"/>
    <w:rsid w:val="007D3D61"/>
    <w:rsid w:val="007D4822"/>
    <w:rsid w:val="007D7D18"/>
    <w:rsid w:val="007E2741"/>
    <w:rsid w:val="007E77C8"/>
    <w:rsid w:val="007E7E54"/>
    <w:rsid w:val="007F07C5"/>
    <w:rsid w:val="007F0B22"/>
    <w:rsid w:val="00800598"/>
    <w:rsid w:val="0080143B"/>
    <w:rsid w:val="008017D0"/>
    <w:rsid w:val="00821D64"/>
    <w:rsid w:val="00827E47"/>
    <w:rsid w:val="008305E9"/>
    <w:rsid w:val="008311C9"/>
    <w:rsid w:val="00831615"/>
    <w:rsid w:val="008319A2"/>
    <w:rsid w:val="0083711F"/>
    <w:rsid w:val="008436C4"/>
    <w:rsid w:val="00844D47"/>
    <w:rsid w:val="008509CE"/>
    <w:rsid w:val="00850A5E"/>
    <w:rsid w:val="00854F2E"/>
    <w:rsid w:val="00855264"/>
    <w:rsid w:val="00855D3F"/>
    <w:rsid w:val="0086302F"/>
    <w:rsid w:val="00863825"/>
    <w:rsid w:val="00863E55"/>
    <w:rsid w:val="00865315"/>
    <w:rsid w:val="008655B0"/>
    <w:rsid w:val="00866A69"/>
    <w:rsid w:val="00870C2D"/>
    <w:rsid w:val="00870EF3"/>
    <w:rsid w:val="00872F59"/>
    <w:rsid w:val="008752FC"/>
    <w:rsid w:val="0087732F"/>
    <w:rsid w:val="008804DE"/>
    <w:rsid w:val="00883059"/>
    <w:rsid w:val="00887F77"/>
    <w:rsid w:val="00897743"/>
    <w:rsid w:val="008A068D"/>
    <w:rsid w:val="008A1723"/>
    <w:rsid w:val="008A62FE"/>
    <w:rsid w:val="008B1353"/>
    <w:rsid w:val="008B17BE"/>
    <w:rsid w:val="008B25BF"/>
    <w:rsid w:val="008C327A"/>
    <w:rsid w:val="008C702A"/>
    <w:rsid w:val="008D0F2D"/>
    <w:rsid w:val="008D11CD"/>
    <w:rsid w:val="008D7D55"/>
    <w:rsid w:val="008E47B7"/>
    <w:rsid w:val="008E6898"/>
    <w:rsid w:val="008E7D59"/>
    <w:rsid w:val="008F5AB4"/>
    <w:rsid w:val="00907144"/>
    <w:rsid w:val="009109DD"/>
    <w:rsid w:val="009133BB"/>
    <w:rsid w:val="00915352"/>
    <w:rsid w:val="00925586"/>
    <w:rsid w:val="0093008A"/>
    <w:rsid w:val="009317CE"/>
    <w:rsid w:val="0093389C"/>
    <w:rsid w:val="009356E5"/>
    <w:rsid w:val="00937879"/>
    <w:rsid w:val="00940DC8"/>
    <w:rsid w:val="009431D3"/>
    <w:rsid w:val="00945710"/>
    <w:rsid w:val="009510FD"/>
    <w:rsid w:val="00952502"/>
    <w:rsid w:val="00952B30"/>
    <w:rsid w:val="00953F07"/>
    <w:rsid w:val="00957747"/>
    <w:rsid w:val="009641A3"/>
    <w:rsid w:val="00964D88"/>
    <w:rsid w:val="00972FB1"/>
    <w:rsid w:val="00974141"/>
    <w:rsid w:val="00974B6D"/>
    <w:rsid w:val="00976B1F"/>
    <w:rsid w:val="00976F74"/>
    <w:rsid w:val="00977DFB"/>
    <w:rsid w:val="00981B2A"/>
    <w:rsid w:val="00981BD4"/>
    <w:rsid w:val="0098748B"/>
    <w:rsid w:val="00990C14"/>
    <w:rsid w:val="00995F9A"/>
    <w:rsid w:val="009A2B07"/>
    <w:rsid w:val="009A4FB2"/>
    <w:rsid w:val="009A7399"/>
    <w:rsid w:val="009B0378"/>
    <w:rsid w:val="009B2AD6"/>
    <w:rsid w:val="009B3732"/>
    <w:rsid w:val="009B71FC"/>
    <w:rsid w:val="009B7EA4"/>
    <w:rsid w:val="009C2605"/>
    <w:rsid w:val="009C3A52"/>
    <w:rsid w:val="009C6143"/>
    <w:rsid w:val="009C678F"/>
    <w:rsid w:val="009D422D"/>
    <w:rsid w:val="009E055C"/>
    <w:rsid w:val="009E25E7"/>
    <w:rsid w:val="009E39DA"/>
    <w:rsid w:val="009F57B6"/>
    <w:rsid w:val="009F7243"/>
    <w:rsid w:val="00A027DE"/>
    <w:rsid w:val="00A06DBB"/>
    <w:rsid w:val="00A11588"/>
    <w:rsid w:val="00A1391C"/>
    <w:rsid w:val="00A13F95"/>
    <w:rsid w:val="00A166BB"/>
    <w:rsid w:val="00A239A2"/>
    <w:rsid w:val="00A25978"/>
    <w:rsid w:val="00A2649D"/>
    <w:rsid w:val="00A4255E"/>
    <w:rsid w:val="00A4531B"/>
    <w:rsid w:val="00A47F4A"/>
    <w:rsid w:val="00A5329E"/>
    <w:rsid w:val="00A54DFC"/>
    <w:rsid w:val="00A554AA"/>
    <w:rsid w:val="00A56EA6"/>
    <w:rsid w:val="00A62651"/>
    <w:rsid w:val="00A65246"/>
    <w:rsid w:val="00A67C7B"/>
    <w:rsid w:val="00A779F1"/>
    <w:rsid w:val="00A80E9D"/>
    <w:rsid w:val="00A914CA"/>
    <w:rsid w:val="00A92BAB"/>
    <w:rsid w:val="00A94BD1"/>
    <w:rsid w:val="00A94BDD"/>
    <w:rsid w:val="00A97782"/>
    <w:rsid w:val="00A978C4"/>
    <w:rsid w:val="00AA05C0"/>
    <w:rsid w:val="00AA0D12"/>
    <w:rsid w:val="00AA1D8D"/>
    <w:rsid w:val="00AA77DF"/>
    <w:rsid w:val="00AB0DB6"/>
    <w:rsid w:val="00AB27B1"/>
    <w:rsid w:val="00AB4950"/>
    <w:rsid w:val="00AB4CEF"/>
    <w:rsid w:val="00AB6987"/>
    <w:rsid w:val="00AB71FE"/>
    <w:rsid w:val="00AC08D8"/>
    <w:rsid w:val="00AC0E16"/>
    <w:rsid w:val="00AC14B6"/>
    <w:rsid w:val="00AC20FE"/>
    <w:rsid w:val="00AC38B4"/>
    <w:rsid w:val="00AD3424"/>
    <w:rsid w:val="00AD4124"/>
    <w:rsid w:val="00AE0877"/>
    <w:rsid w:val="00AE1EF6"/>
    <w:rsid w:val="00AE3958"/>
    <w:rsid w:val="00AE763D"/>
    <w:rsid w:val="00AF33BC"/>
    <w:rsid w:val="00B0219C"/>
    <w:rsid w:val="00B133FD"/>
    <w:rsid w:val="00B23588"/>
    <w:rsid w:val="00B2612E"/>
    <w:rsid w:val="00B30E0A"/>
    <w:rsid w:val="00B44EF0"/>
    <w:rsid w:val="00B47730"/>
    <w:rsid w:val="00B50568"/>
    <w:rsid w:val="00B511C3"/>
    <w:rsid w:val="00B5444D"/>
    <w:rsid w:val="00B554DC"/>
    <w:rsid w:val="00B604A2"/>
    <w:rsid w:val="00B63A75"/>
    <w:rsid w:val="00B64B0C"/>
    <w:rsid w:val="00B6652D"/>
    <w:rsid w:val="00B7040D"/>
    <w:rsid w:val="00B736A1"/>
    <w:rsid w:val="00B74999"/>
    <w:rsid w:val="00B867DE"/>
    <w:rsid w:val="00B870A8"/>
    <w:rsid w:val="00BA0FB5"/>
    <w:rsid w:val="00BA1637"/>
    <w:rsid w:val="00BA3AEC"/>
    <w:rsid w:val="00BA5936"/>
    <w:rsid w:val="00BB5B5E"/>
    <w:rsid w:val="00BC0F3A"/>
    <w:rsid w:val="00BC4442"/>
    <w:rsid w:val="00BC5889"/>
    <w:rsid w:val="00BC7996"/>
    <w:rsid w:val="00BD0E6D"/>
    <w:rsid w:val="00BD410F"/>
    <w:rsid w:val="00BD71B8"/>
    <w:rsid w:val="00BE17F5"/>
    <w:rsid w:val="00BF1452"/>
    <w:rsid w:val="00BF31D8"/>
    <w:rsid w:val="00BF52B4"/>
    <w:rsid w:val="00C01389"/>
    <w:rsid w:val="00C015F2"/>
    <w:rsid w:val="00C01E66"/>
    <w:rsid w:val="00C0241A"/>
    <w:rsid w:val="00C14200"/>
    <w:rsid w:val="00C14386"/>
    <w:rsid w:val="00C20F29"/>
    <w:rsid w:val="00C25DB5"/>
    <w:rsid w:val="00C265D0"/>
    <w:rsid w:val="00C30645"/>
    <w:rsid w:val="00C32629"/>
    <w:rsid w:val="00C35869"/>
    <w:rsid w:val="00C443D9"/>
    <w:rsid w:val="00C4777A"/>
    <w:rsid w:val="00C5110D"/>
    <w:rsid w:val="00C512CB"/>
    <w:rsid w:val="00C515E0"/>
    <w:rsid w:val="00C5163D"/>
    <w:rsid w:val="00C54B03"/>
    <w:rsid w:val="00C54B99"/>
    <w:rsid w:val="00C60E05"/>
    <w:rsid w:val="00C63509"/>
    <w:rsid w:val="00C63AC9"/>
    <w:rsid w:val="00C663B7"/>
    <w:rsid w:val="00C66B46"/>
    <w:rsid w:val="00C672FB"/>
    <w:rsid w:val="00C72BEC"/>
    <w:rsid w:val="00C765DD"/>
    <w:rsid w:val="00C80F0C"/>
    <w:rsid w:val="00C8223A"/>
    <w:rsid w:val="00C83988"/>
    <w:rsid w:val="00C85E3A"/>
    <w:rsid w:val="00C9391C"/>
    <w:rsid w:val="00CA2FEC"/>
    <w:rsid w:val="00CA5D0C"/>
    <w:rsid w:val="00CA6F52"/>
    <w:rsid w:val="00CB0664"/>
    <w:rsid w:val="00CB3656"/>
    <w:rsid w:val="00CB3A5C"/>
    <w:rsid w:val="00CB5839"/>
    <w:rsid w:val="00CB72A3"/>
    <w:rsid w:val="00CC30F6"/>
    <w:rsid w:val="00CC43FF"/>
    <w:rsid w:val="00CC5F88"/>
    <w:rsid w:val="00CC7E31"/>
    <w:rsid w:val="00CD0B9C"/>
    <w:rsid w:val="00CD205C"/>
    <w:rsid w:val="00CD2BDE"/>
    <w:rsid w:val="00CD4A67"/>
    <w:rsid w:val="00CE2842"/>
    <w:rsid w:val="00CE2A5B"/>
    <w:rsid w:val="00CE4F44"/>
    <w:rsid w:val="00CE6A18"/>
    <w:rsid w:val="00CE7470"/>
    <w:rsid w:val="00CF2E86"/>
    <w:rsid w:val="00CF3CEE"/>
    <w:rsid w:val="00CF79EA"/>
    <w:rsid w:val="00D07943"/>
    <w:rsid w:val="00D160D6"/>
    <w:rsid w:val="00D1631A"/>
    <w:rsid w:val="00D21497"/>
    <w:rsid w:val="00D22DBC"/>
    <w:rsid w:val="00D3569E"/>
    <w:rsid w:val="00D4030C"/>
    <w:rsid w:val="00D416E9"/>
    <w:rsid w:val="00D45F23"/>
    <w:rsid w:val="00D50824"/>
    <w:rsid w:val="00D5426E"/>
    <w:rsid w:val="00D56E03"/>
    <w:rsid w:val="00D64EFD"/>
    <w:rsid w:val="00D67E33"/>
    <w:rsid w:val="00D7032C"/>
    <w:rsid w:val="00D711EA"/>
    <w:rsid w:val="00D730AD"/>
    <w:rsid w:val="00D73825"/>
    <w:rsid w:val="00D7454A"/>
    <w:rsid w:val="00D76640"/>
    <w:rsid w:val="00D849A4"/>
    <w:rsid w:val="00D90A17"/>
    <w:rsid w:val="00D958FC"/>
    <w:rsid w:val="00D973B8"/>
    <w:rsid w:val="00D97B03"/>
    <w:rsid w:val="00DA0087"/>
    <w:rsid w:val="00DA137A"/>
    <w:rsid w:val="00DA6C5B"/>
    <w:rsid w:val="00DA6E35"/>
    <w:rsid w:val="00DB7FB0"/>
    <w:rsid w:val="00DC20D0"/>
    <w:rsid w:val="00DC4E24"/>
    <w:rsid w:val="00DD260C"/>
    <w:rsid w:val="00DD28DA"/>
    <w:rsid w:val="00DD5208"/>
    <w:rsid w:val="00DD7274"/>
    <w:rsid w:val="00DE0F28"/>
    <w:rsid w:val="00DE118F"/>
    <w:rsid w:val="00DE1D7F"/>
    <w:rsid w:val="00DE20CB"/>
    <w:rsid w:val="00DE7E2D"/>
    <w:rsid w:val="00DF4E9C"/>
    <w:rsid w:val="00E00835"/>
    <w:rsid w:val="00E040E0"/>
    <w:rsid w:val="00E069F3"/>
    <w:rsid w:val="00E1217C"/>
    <w:rsid w:val="00E20E0E"/>
    <w:rsid w:val="00E22F6C"/>
    <w:rsid w:val="00E272DD"/>
    <w:rsid w:val="00E27AA3"/>
    <w:rsid w:val="00E33804"/>
    <w:rsid w:val="00E36BEE"/>
    <w:rsid w:val="00E4085A"/>
    <w:rsid w:val="00E422BB"/>
    <w:rsid w:val="00E4278C"/>
    <w:rsid w:val="00E4481F"/>
    <w:rsid w:val="00E46675"/>
    <w:rsid w:val="00E515EF"/>
    <w:rsid w:val="00E5323D"/>
    <w:rsid w:val="00E56CD1"/>
    <w:rsid w:val="00E61693"/>
    <w:rsid w:val="00E638CD"/>
    <w:rsid w:val="00E64148"/>
    <w:rsid w:val="00E72712"/>
    <w:rsid w:val="00E731FF"/>
    <w:rsid w:val="00E771B5"/>
    <w:rsid w:val="00E779F2"/>
    <w:rsid w:val="00E83251"/>
    <w:rsid w:val="00E839C0"/>
    <w:rsid w:val="00E8638D"/>
    <w:rsid w:val="00E95916"/>
    <w:rsid w:val="00E9728E"/>
    <w:rsid w:val="00EA01A2"/>
    <w:rsid w:val="00EA339E"/>
    <w:rsid w:val="00EA3832"/>
    <w:rsid w:val="00EB01F8"/>
    <w:rsid w:val="00EB18E6"/>
    <w:rsid w:val="00EB1C66"/>
    <w:rsid w:val="00EB2075"/>
    <w:rsid w:val="00EB2599"/>
    <w:rsid w:val="00EB36E4"/>
    <w:rsid w:val="00EB6F96"/>
    <w:rsid w:val="00EB6FED"/>
    <w:rsid w:val="00EB7425"/>
    <w:rsid w:val="00EC0915"/>
    <w:rsid w:val="00EC1B4A"/>
    <w:rsid w:val="00EC1EBE"/>
    <w:rsid w:val="00EC2F56"/>
    <w:rsid w:val="00EC58CE"/>
    <w:rsid w:val="00EC627B"/>
    <w:rsid w:val="00EC70B2"/>
    <w:rsid w:val="00ED2E5D"/>
    <w:rsid w:val="00ED5AA9"/>
    <w:rsid w:val="00EE02E3"/>
    <w:rsid w:val="00EE66D6"/>
    <w:rsid w:val="00EF14AF"/>
    <w:rsid w:val="00EF7C5B"/>
    <w:rsid w:val="00F007B5"/>
    <w:rsid w:val="00F018F7"/>
    <w:rsid w:val="00F04783"/>
    <w:rsid w:val="00F05257"/>
    <w:rsid w:val="00F058EA"/>
    <w:rsid w:val="00F1055D"/>
    <w:rsid w:val="00F10632"/>
    <w:rsid w:val="00F11A8B"/>
    <w:rsid w:val="00F126A8"/>
    <w:rsid w:val="00F13FD3"/>
    <w:rsid w:val="00F14E99"/>
    <w:rsid w:val="00F1515B"/>
    <w:rsid w:val="00F155E7"/>
    <w:rsid w:val="00F212A8"/>
    <w:rsid w:val="00F23F2B"/>
    <w:rsid w:val="00F30026"/>
    <w:rsid w:val="00F304C9"/>
    <w:rsid w:val="00F362B4"/>
    <w:rsid w:val="00F41376"/>
    <w:rsid w:val="00F46F2A"/>
    <w:rsid w:val="00F63298"/>
    <w:rsid w:val="00F67AEF"/>
    <w:rsid w:val="00F70C9B"/>
    <w:rsid w:val="00F74785"/>
    <w:rsid w:val="00F75DB0"/>
    <w:rsid w:val="00F7617D"/>
    <w:rsid w:val="00F76A2F"/>
    <w:rsid w:val="00F80C8E"/>
    <w:rsid w:val="00F81F53"/>
    <w:rsid w:val="00F85662"/>
    <w:rsid w:val="00F8573B"/>
    <w:rsid w:val="00F85AAF"/>
    <w:rsid w:val="00F91D6D"/>
    <w:rsid w:val="00F9358D"/>
    <w:rsid w:val="00F96006"/>
    <w:rsid w:val="00FA424D"/>
    <w:rsid w:val="00FA44FE"/>
    <w:rsid w:val="00FB3901"/>
    <w:rsid w:val="00FB4554"/>
    <w:rsid w:val="00FB537B"/>
    <w:rsid w:val="00FC19E3"/>
    <w:rsid w:val="00FC693F"/>
    <w:rsid w:val="00FD03AC"/>
    <w:rsid w:val="00FD0DE7"/>
    <w:rsid w:val="00FD522F"/>
    <w:rsid w:val="00FD532E"/>
    <w:rsid w:val="00FD75F9"/>
    <w:rsid w:val="00FF2E5F"/>
    <w:rsid w:val="00FF5A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AEB00E"/>
  <w14:defaultImageDpi w14:val="300"/>
  <w15:docId w15:val="{271C546D-D836-4929-B13C-3AA5D4D3F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B6021"/>
    <w:rPr>
      <w:rFonts w:ascii="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fontstyle01">
    <w:name w:val="fontstyle01"/>
    <w:basedOn w:val="a2"/>
    <w:rsid w:val="0071670A"/>
    <w:rPr>
      <w:rFonts w:ascii="AvenirLTStd-Book" w:hAnsi="AvenirLTStd-Book" w:hint="default"/>
      <w:b w:val="0"/>
      <w:bCs w:val="0"/>
      <w:i w:val="0"/>
      <w:iCs w:val="0"/>
      <w:color w:val="000000"/>
      <w:sz w:val="16"/>
      <w:szCs w:val="16"/>
    </w:rPr>
  </w:style>
  <w:style w:type="character" w:styleId="aff9">
    <w:name w:val="line number"/>
    <w:basedOn w:val="a2"/>
    <w:uiPriority w:val="99"/>
    <w:semiHidden/>
    <w:unhideWhenUsed/>
    <w:rsid w:val="00647CBA"/>
  </w:style>
  <w:style w:type="paragraph" w:customStyle="1" w:styleId="ds-markdown-paragraph">
    <w:name w:val="ds-markdown-paragraph"/>
    <w:basedOn w:val="a1"/>
    <w:rsid w:val="006726B7"/>
    <w:pPr>
      <w:spacing w:before="100" w:beforeAutospacing="1" w:after="100" w:afterAutospacing="1" w:line="240" w:lineRule="auto"/>
    </w:pPr>
    <w:rPr>
      <w:rFonts w:ascii="宋体" w:eastAsia="宋体" w:hAnsi="宋体" w:cs="宋体"/>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673</TotalTime>
  <Pages>7</Pages>
  <Words>2533</Words>
  <Characters>14440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16940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yi liu</cp:lastModifiedBy>
  <cp:revision>859</cp:revision>
  <dcterms:created xsi:type="dcterms:W3CDTF">2013-12-23T23:15:00Z</dcterms:created>
  <dcterms:modified xsi:type="dcterms:W3CDTF">2026-09-30T12:04:00Z</dcterms:modified>
  <cp:category/>
</cp:coreProperties>
</file>