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FE8" w:rsidRPr="00AF7831" w:rsidRDefault="00FF71EB">
      <w:pPr>
        <w:pStyle w:val="Heading2"/>
        <w:rPr>
          <w:rFonts w:ascii="Arial" w:hAnsi="Arial" w:cs="Arial"/>
          <w:color w:val="auto"/>
          <w:sz w:val="24"/>
          <w:szCs w:val="24"/>
          <w:lang w:val="en-CA"/>
        </w:rPr>
      </w:pPr>
      <w:proofErr w:type="gramStart"/>
      <w:r>
        <w:rPr>
          <w:rFonts w:ascii="Arial" w:hAnsi="Arial" w:cs="Arial"/>
          <w:color w:val="auto"/>
          <w:sz w:val="24"/>
          <w:szCs w:val="24"/>
          <w:lang w:val="en-CA"/>
        </w:rPr>
        <w:t>Additional file</w:t>
      </w:r>
      <w:r w:rsidR="0073415F">
        <w:rPr>
          <w:rFonts w:ascii="Arial" w:hAnsi="Arial" w:cs="Arial"/>
          <w:color w:val="auto"/>
          <w:sz w:val="24"/>
          <w:szCs w:val="24"/>
          <w:lang w:val="en-CA"/>
        </w:rPr>
        <w:t xml:space="preserve"> 1</w:t>
      </w:r>
      <w:r w:rsidR="0073415F" w:rsidRPr="0073415F">
        <w:rPr>
          <w:rFonts w:ascii="Arial" w:hAnsi="Arial" w:cs="Arial"/>
          <w:color w:val="auto"/>
          <w:sz w:val="24"/>
          <w:szCs w:val="24"/>
          <w:lang w:val="en-CA"/>
        </w:rPr>
        <w:t>.</w:t>
      </w:r>
      <w:proofErr w:type="gramEnd"/>
      <w:r w:rsidR="0073415F" w:rsidRPr="0073415F">
        <w:rPr>
          <w:rFonts w:ascii="Arial" w:hAnsi="Arial" w:cs="Arial"/>
          <w:color w:val="auto"/>
          <w:sz w:val="24"/>
          <w:szCs w:val="24"/>
          <w:lang w:val="en-CA"/>
        </w:rPr>
        <w:t xml:space="preserve"> </w:t>
      </w:r>
      <w:r w:rsidR="002B553D" w:rsidRPr="00AF7831">
        <w:rPr>
          <w:rFonts w:ascii="Arial" w:hAnsi="Arial" w:cs="Arial"/>
          <w:color w:val="auto"/>
          <w:sz w:val="24"/>
          <w:szCs w:val="24"/>
          <w:lang w:val="en-CA"/>
        </w:rPr>
        <w:t xml:space="preserve">Declaration of </w:t>
      </w:r>
      <w:r w:rsidR="00DF59E9" w:rsidRPr="00AF7831">
        <w:rPr>
          <w:rFonts w:ascii="Arial" w:hAnsi="Arial" w:cs="Arial"/>
          <w:color w:val="auto"/>
          <w:sz w:val="24"/>
          <w:szCs w:val="24"/>
          <w:lang w:val="en-CA"/>
        </w:rPr>
        <w:t xml:space="preserve">potential </w:t>
      </w:r>
      <w:r w:rsidR="002B553D" w:rsidRPr="00AF7831">
        <w:rPr>
          <w:rFonts w:ascii="Arial" w:hAnsi="Arial" w:cs="Arial"/>
          <w:color w:val="auto"/>
          <w:sz w:val="24"/>
          <w:szCs w:val="24"/>
          <w:lang w:val="en-CA"/>
        </w:rPr>
        <w:t>conflict</w:t>
      </w:r>
      <w:r w:rsidR="00DF59E9" w:rsidRPr="00AF7831">
        <w:rPr>
          <w:rFonts w:ascii="Arial" w:hAnsi="Arial" w:cs="Arial"/>
          <w:color w:val="auto"/>
          <w:sz w:val="24"/>
          <w:szCs w:val="24"/>
          <w:lang w:val="en-CA"/>
        </w:rPr>
        <w:t>s of interest</w:t>
      </w:r>
      <w:r w:rsidR="005626F3" w:rsidRPr="00AF7831">
        <w:rPr>
          <w:rFonts w:ascii="Arial" w:hAnsi="Arial" w:cs="Arial"/>
          <w:color w:val="auto"/>
          <w:sz w:val="24"/>
          <w:szCs w:val="24"/>
          <w:lang w:val="en-CA"/>
        </w:rPr>
        <w:t xml:space="preserve"> (within last 4 years)</w:t>
      </w:r>
    </w:p>
    <w:tbl>
      <w:tblPr>
        <w:tblStyle w:val="TableGrid"/>
        <w:tblW w:w="0" w:type="auto"/>
        <w:tblInd w:w="108" w:type="dxa"/>
        <w:tblLook w:val="04A0"/>
      </w:tblPr>
      <w:tblGrid>
        <w:gridCol w:w="2552"/>
        <w:gridCol w:w="7371"/>
      </w:tblGrid>
      <w:tr w:rsidR="00760FE8" w:rsidRPr="00AF7831" w:rsidTr="00AF7831">
        <w:trPr>
          <w:cantSplit/>
        </w:trPr>
        <w:tc>
          <w:tcPr>
            <w:tcW w:w="2552" w:type="dxa"/>
          </w:tcPr>
          <w:p w:rsidR="00760FE8" w:rsidRPr="00AF7831" w:rsidRDefault="002B553D">
            <w:pPr>
              <w:pStyle w:val="TableStyle5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Panel member</w:t>
            </w:r>
          </w:p>
        </w:tc>
        <w:tc>
          <w:tcPr>
            <w:tcW w:w="7371" w:type="dxa"/>
          </w:tcPr>
          <w:p w:rsidR="00760FE8" w:rsidRPr="00AF7831" w:rsidRDefault="002B553D">
            <w:pPr>
              <w:pStyle w:val="TableStyle5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Declaration</w:t>
            </w:r>
          </w:p>
        </w:tc>
      </w:tr>
      <w:tr w:rsidR="00760FE8" w:rsidRPr="00AF7831" w:rsidTr="00AF7831">
        <w:trPr>
          <w:cantSplit/>
        </w:trPr>
        <w:tc>
          <w:tcPr>
            <w:tcW w:w="2552" w:type="dxa"/>
          </w:tcPr>
          <w:p w:rsidR="00760FE8" w:rsidRPr="00AF7831" w:rsidRDefault="002B553D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Kangmo</w:t>
            </w:r>
            <w:proofErr w:type="spellEnd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Ahn</w:t>
            </w:r>
            <w:proofErr w:type="spellEnd"/>
          </w:p>
        </w:tc>
        <w:tc>
          <w:tcPr>
            <w:tcW w:w="7371" w:type="dxa"/>
          </w:tcPr>
          <w:p w:rsidR="00760FE8" w:rsidRPr="00AF7831" w:rsidRDefault="0065388E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Declares no conflicts of interest related to this guideline</w:t>
            </w:r>
          </w:p>
        </w:tc>
      </w:tr>
      <w:tr w:rsidR="00760FE8" w:rsidRPr="00AF7831" w:rsidTr="00AF7831">
        <w:trPr>
          <w:cantSplit/>
        </w:trPr>
        <w:tc>
          <w:tcPr>
            <w:tcW w:w="2552" w:type="dxa"/>
          </w:tcPr>
          <w:p w:rsidR="00760FE8" w:rsidRPr="00AF7831" w:rsidRDefault="002B553D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Suleiman Al-</w:t>
            </w:r>
            <w:proofErr w:type="spellStart"/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Hammadi</w:t>
            </w:r>
            <w:proofErr w:type="spellEnd"/>
          </w:p>
        </w:tc>
        <w:tc>
          <w:tcPr>
            <w:tcW w:w="7371" w:type="dxa"/>
          </w:tcPr>
          <w:p w:rsidR="00760FE8" w:rsidRPr="00AF7831" w:rsidRDefault="00FE0F8A" w:rsidP="00164653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Received honoraria for </w:t>
            </w:r>
            <w:proofErr w:type="gramStart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speakers</w:t>
            </w:r>
            <w:proofErr w:type="gramEnd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 bureau, giving talks, and sponsorship at meetings from </w:t>
            </w:r>
            <w:proofErr w:type="spellStart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Danone</w:t>
            </w:r>
            <w:proofErr w:type="spellEnd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 Nutrition.</w:t>
            </w:r>
          </w:p>
        </w:tc>
      </w:tr>
      <w:tr w:rsidR="00760FE8" w:rsidRPr="00AF7831" w:rsidTr="00AF7831">
        <w:trPr>
          <w:cantSplit/>
        </w:trPr>
        <w:tc>
          <w:tcPr>
            <w:tcW w:w="2552" w:type="dxa"/>
          </w:tcPr>
          <w:p w:rsidR="00760FE8" w:rsidRPr="00AF7831" w:rsidRDefault="002B553D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Kirsten Beyer</w:t>
            </w:r>
          </w:p>
        </w:tc>
        <w:tc>
          <w:tcPr>
            <w:tcW w:w="7371" w:type="dxa"/>
          </w:tcPr>
          <w:p w:rsidR="00760FE8" w:rsidRPr="00AF7831" w:rsidRDefault="002B553D" w:rsidP="005626F3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Consult as technical advisor for DuPont, Unilever and </w:t>
            </w:r>
            <w:proofErr w:type="spellStart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Danone</w:t>
            </w:r>
            <w:proofErr w:type="spellEnd"/>
            <w:r w:rsidR="00164653" w:rsidRPr="00AF7831">
              <w:rPr>
                <w:rFonts w:ascii="Arial" w:hAnsi="Arial" w:cs="Arial"/>
                <w:color w:val="auto"/>
                <w:sz w:val="24"/>
                <w:szCs w:val="24"/>
              </w:rPr>
              <w:t>.</w:t>
            </w:r>
          </w:p>
        </w:tc>
      </w:tr>
      <w:tr w:rsidR="00760FE8" w:rsidRPr="00AF7831" w:rsidTr="00AF7831">
        <w:trPr>
          <w:cantSplit/>
        </w:trPr>
        <w:tc>
          <w:tcPr>
            <w:tcW w:w="2552" w:type="dxa"/>
          </w:tcPr>
          <w:p w:rsidR="00760FE8" w:rsidRPr="00AF7831" w:rsidRDefault="002B553D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 xml:space="preserve">Jan </w:t>
            </w:r>
            <w:proofErr w:type="spellStart"/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Brożek</w:t>
            </w:r>
            <w:proofErr w:type="spellEnd"/>
          </w:p>
        </w:tc>
        <w:tc>
          <w:tcPr>
            <w:tcW w:w="7371" w:type="dxa"/>
          </w:tcPr>
          <w:p w:rsidR="00760FE8" w:rsidRPr="00AF7831" w:rsidRDefault="00543B17" w:rsidP="00543B17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Received research support from WAO for </w:t>
            </w:r>
            <w:r w:rsidR="00EB504F"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development of </w:t>
            </w: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DRACMA and GLAD-P guidelines</w:t>
            </w:r>
          </w:p>
        </w:tc>
      </w:tr>
      <w:tr w:rsidR="00760FE8" w:rsidRPr="00AF7831" w:rsidTr="00AF7831">
        <w:trPr>
          <w:cantSplit/>
        </w:trPr>
        <w:tc>
          <w:tcPr>
            <w:tcW w:w="2552" w:type="dxa"/>
          </w:tcPr>
          <w:p w:rsidR="00760FE8" w:rsidRPr="00AF7831" w:rsidRDefault="002B553D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 xml:space="preserve">Wesley Burks </w:t>
            </w:r>
            <w:r w:rsidR="003C0251"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(not present)</w:t>
            </w:r>
          </w:p>
        </w:tc>
        <w:tc>
          <w:tcPr>
            <w:tcW w:w="7371" w:type="dxa"/>
          </w:tcPr>
          <w:p w:rsidR="00760FE8" w:rsidRPr="00AF7831" w:rsidRDefault="002B553D" w:rsidP="005626F3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Current consulting agreements with: </w:t>
            </w:r>
            <w:proofErr w:type="spellStart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Dynavax</w:t>
            </w:r>
            <w:proofErr w:type="spellEnd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 Technologies Corp., </w:t>
            </w:r>
            <w:proofErr w:type="spellStart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Genalyte</w:t>
            </w:r>
            <w:proofErr w:type="spellEnd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GLG</w:t>
            </w:r>
            <w:proofErr w:type="spellEnd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 Research, </w:t>
            </w:r>
            <w:proofErr w:type="spellStart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Perrigo</w:t>
            </w:r>
            <w:proofErr w:type="spellEnd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 Company, </w:t>
            </w:r>
            <w:proofErr w:type="spellStart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Regeneron</w:t>
            </w:r>
            <w:proofErr w:type="spellEnd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 Pharmaceuticals, NIH Grant support</w:t>
            </w:r>
            <w:r w:rsidR="005626F3"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c. Abbott Laboratories, Levine's Children's Hospital, Mylan Speciality</w:t>
            </w:r>
            <w:r w:rsidR="005626F3" w:rsidRPr="00AF7831">
              <w:rPr>
                <w:rFonts w:ascii="Arial" w:hAnsi="Arial" w:cs="Arial"/>
                <w:color w:val="auto"/>
                <w:sz w:val="24"/>
                <w:szCs w:val="24"/>
              </w:rPr>
              <w:t>,</w:t>
            </w: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Perosphere</w:t>
            </w:r>
            <w:proofErr w:type="spellEnd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, Inc. Past consulting agreements: </w:t>
            </w:r>
            <w:proofErr w:type="spellStart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ActoGeniX</w:t>
            </w:r>
            <w:proofErr w:type="spellEnd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Curalogic</w:t>
            </w:r>
            <w:proofErr w:type="spellEnd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, Dow </w:t>
            </w:r>
            <w:proofErr w:type="spellStart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AgroSciences</w:t>
            </w:r>
            <w:proofErr w:type="spellEnd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ExploraMed</w:t>
            </w:r>
            <w:proofErr w:type="spellEnd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 Development, McNeill Nutritionals, Merck, Novartis Pharma AG, Sanofi-Aventis US, Schering Plough, </w:t>
            </w:r>
            <w:proofErr w:type="spellStart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Unilver</w:t>
            </w:r>
            <w:proofErr w:type="spellEnd"/>
          </w:p>
        </w:tc>
      </w:tr>
      <w:tr w:rsidR="00760FE8" w:rsidRPr="00AF7831" w:rsidTr="00AF7831">
        <w:trPr>
          <w:cantSplit/>
        </w:trPr>
        <w:tc>
          <w:tcPr>
            <w:tcW w:w="2552" w:type="dxa"/>
          </w:tcPr>
          <w:p w:rsidR="00760FE8" w:rsidRPr="00AF7831" w:rsidRDefault="002B553D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 xml:space="preserve">Giorgio Walter </w:t>
            </w:r>
            <w:proofErr w:type="spellStart"/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Canonica</w:t>
            </w:r>
            <w:proofErr w:type="spellEnd"/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 xml:space="preserve"> </w:t>
            </w:r>
            <w:r w:rsidR="00164653"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(not present)</w:t>
            </w:r>
          </w:p>
        </w:tc>
        <w:tc>
          <w:tcPr>
            <w:tcW w:w="7371" w:type="dxa"/>
          </w:tcPr>
          <w:p w:rsidR="00760FE8" w:rsidRPr="00AF7831" w:rsidRDefault="0065388E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Declares no conflicts of interest related to this guideline</w:t>
            </w:r>
          </w:p>
        </w:tc>
      </w:tr>
      <w:tr w:rsidR="00760FE8" w:rsidRPr="00AF7831" w:rsidTr="00AF7831">
        <w:trPr>
          <w:cantSplit/>
        </w:trPr>
        <w:tc>
          <w:tcPr>
            <w:tcW w:w="2552" w:type="dxa"/>
          </w:tcPr>
          <w:p w:rsidR="00760FE8" w:rsidRPr="00AF7831" w:rsidRDefault="002B553D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Carlos</w:t>
            </w: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ab/>
            </w:r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Cuello-García</w:t>
            </w:r>
          </w:p>
        </w:tc>
        <w:tc>
          <w:tcPr>
            <w:tcW w:w="7371" w:type="dxa"/>
          </w:tcPr>
          <w:p w:rsidR="00760FE8" w:rsidRPr="00AF7831" w:rsidRDefault="0065388E" w:rsidP="00164653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Declares no conflicts of interest related to this guideline</w:t>
            </w:r>
            <w:r w:rsidR="00164653" w:rsidRPr="00AF7831">
              <w:rPr>
                <w:rFonts w:ascii="Arial" w:hAnsi="Arial" w:cs="Arial"/>
                <w:color w:val="auto"/>
                <w:sz w:val="24"/>
                <w:szCs w:val="24"/>
              </w:rPr>
              <w:t>. Part of the scholarship is supported by WAO</w:t>
            </w:r>
          </w:p>
        </w:tc>
      </w:tr>
      <w:tr w:rsidR="00760FE8" w:rsidRPr="00AF7831" w:rsidTr="00AF7831">
        <w:trPr>
          <w:cantSplit/>
        </w:trPr>
        <w:tc>
          <w:tcPr>
            <w:tcW w:w="2552" w:type="dxa"/>
          </w:tcPr>
          <w:p w:rsidR="00760FE8" w:rsidRPr="00AF7831" w:rsidRDefault="002B553D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Motohiro</w:t>
            </w:r>
            <w:proofErr w:type="spellEnd"/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Ebisawa</w:t>
            </w:r>
            <w:proofErr w:type="spellEnd"/>
            <w:r w:rsidR="00164653"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 xml:space="preserve"> (not presen</w:t>
            </w:r>
            <w:r w:rsidR="00D75E3B"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t</w:t>
            </w:r>
            <w:r w:rsidR="00164653"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)</w:t>
            </w:r>
          </w:p>
        </w:tc>
        <w:tc>
          <w:tcPr>
            <w:tcW w:w="7371" w:type="dxa"/>
          </w:tcPr>
          <w:p w:rsidR="00760FE8" w:rsidRPr="00AF7831" w:rsidRDefault="0065388E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Declares no conflicts of interest related to this guideline</w:t>
            </w:r>
          </w:p>
        </w:tc>
      </w:tr>
      <w:tr w:rsidR="00760FE8" w:rsidRPr="00AF7831" w:rsidTr="00AF7831">
        <w:trPr>
          <w:cantSplit/>
        </w:trPr>
        <w:tc>
          <w:tcPr>
            <w:tcW w:w="2552" w:type="dxa"/>
          </w:tcPr>
          <w:p w:rsidR="00760FE8" w:rsidRPr="00AF7831" w:rsidRDefault="002B553D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 xml:space="preserve">Alessandro </w:t>
            </w:r>
            <w:proofErr w:type="spellStart"/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Fiocchi</w:t>
            </w:r>
            <w:proofErr w:type="spellEnd"/>
          </w:p>
        </w:tc>
        <w:tc>
          <w:tcPr>
            <w:tcW w:w="7371" w:type="dxa"/>
          </w:tcPr>
          <w:p w:rsidR="00760FE8" w:rsidRPr="00AF7831" w:rsidRDefault="002B553D" w:rsidP="005626F3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Research support from </w:t>
            </w:r>
            <w:proofErr w:type="spellStart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Danone</w:t>
            </w:r>
            <w:proofErr w:type="spellEnd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. Has received travel support for meetings for presentation of DRACMA guidelines in South East Asia from </w:t>
            </w:r>
            <w:proofErr w:type="spellStart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Danone</w:t>
            </w:r>
            <w:proofErr w:type="spellEnd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 Malaysia. Support</w:t>
            </w:r>
            <w:r w:rsidR="005626F3"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 for travel and honorarium for speaking</w:t>
            </w: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 from </w:t>
            </w:r>
            <w:proofErr w:type="spellStart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Ordesa</w:t>
            </w:r>
            <w:proofErr w:type="spellEnd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 Group.</w:t>
            </w:r>
          </w:p>
        </w:tc>
      </w:tr>
      <w:tr w:rsidR="00760FE8" w:rsidRPr="00AF7831" w:rsidTr="00AF7831">
        <w:trPr>
          <w:cantSplit/>
        </w:trPr>
        <w:tc>
          <w:tcPr>
            <w:tcW w:w="2552" w:type="dxa"/>
          </w:tcPr>
          <w:p w:rsidR="00760FE8" w:rsidRPr="00AF7831" w:rsidRDefault="002B553D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 xml:space="preserve">Rose </w:t>
            </w:r>
            <w:proofErr w:type="spellStart"/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Kamenwa</w:t>
            </w:r>
            <w:proofErr w:type="spellEnd"/>
          </w:p>
        </w:tc>
        <w:tc>
          <w:tcPr>
            <w:tcW w:w="7371" w:type="dxa"/>
          </w:tcPr>
          <w:p w:rsidR="00760FE8" w:rsidRPr="00AF7831" w:rsidRDefault="0065388E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Declares no conflicts of interest related to this guideline</w:t>
            </w:r>
          </w:p>
        </w:tc>
      </w:tr>
      <w:tr w:rsidR="00760FE8" w:rsidRPr="00AF7831" w:rsidTr="00AF7831">
        <w:trPr>
          <w:cantSplit/>
        </w:trPr>
        <w:tc>
          <w:tcPr>
            <w:tcW w:w="2552" w:type="dxa"/>
          </w:tcPr>
          <w:p w:rsidR="00760FE8" w:rsidRPr="00AF7831" w:rsidRDefault="002B553D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Bee Wah Lee</w:t>
            </w:r>
            <w:r w:rsidR="00164653"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 xml:space="preserve"> (not present)</w:t>
            </w:r>
          </w:p>
        </w:tc>
        <w:tc>
          <w:tcPr>
            <w:tcW w:w="7371" w:type="dxa"/>
          </w:tcPr>
          <w:p w:rsidR="00760FE8" w:rsidRPr="00AF7831" w:rsidRDefault="002B553D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Received research support from Abbott Nutrition, </w:t>
            </w:r>
            <w:proofErr w:type="spellStart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Danone</w:t>
            </w:r>
            <w:proofErr w:type="spellEnd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 Nutrition, Nestle Nutrition Honoraria for speakers bureau, giving talks, sponsorship at meetings</w:t>
            </w:r>
          </w:p>
        </w:tc>
      </w:tr>
      <w:tr w:rsidR="00760FE8" w:rsidRPr="00AF7831" w:rsidTr="00AF7831">
        <w:trPr>
          <w:cantSplit/>
        </w:trPr>
        <w:tc>
          <w:tcPr>
            <w:tcW w:w="2552" w:type="dxa"/>
          </w:tcPr>
          <w:p w:rsidR="00760FE8" w:rsidRPr="00AF7831" w:rsidRDefault="002B553D" w:rsidP="00D5031C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Haiqi</w:t>
            </w:r>
            <w:proofErr w:type="spellEnd"/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 xml:space="preserve"> Li</w:t>
            </w:r>
            <w:r w:rsidR="00164653"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 xml:space="preserve"> (not </w:t>
            </w:r>
            <w:r w:rsidR="00D5031C"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present</w:t>
            </w:r>
            <w:r w:rsidR="00164653"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)</w:t>
            </w:r>
          </w:p>
        </w:tc>
        <w:tc>
          <w:tcPr>
            <w:tcW w:w="7371" w:type="dxa"/>
          </w:tcPr>
          <w:p w:rsidR="00760FE8" w:rsidRPr="00AF7831" w:rsidRDefault="0065388E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Declares no conflicts of interest related to this guideline</w:t>
            </w:r>
          </w:p>
        </w:tc>
      </w:tr>
      <w:tr w:rsidR="00760FE8" w:rsidRPr="00AF7831" w:rsidTr="00AF7831">
        <w:trPr>
          <w:cantSplit/>
        </w:trPr>
        <w:tc>
          <w:tcPr>
            <w:tcW w:w="2552" w:type="dxa"/>
          </w:tcPr>
          <w:p w:rsidR="00760FE8" w:rsidRPr="00AF7831" w:rsidRDefault="002B553D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 xml:space="preserve">Ruby </w:t>
            </w:r>
            <w:proofErr w:type="spellStart"/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Pawankar</w:t>
            </w:r>
            <w:proofErr w:type="spellEnd"/>
          </w:p>
        </w:tc>
        <w:tc>
          <w:tcPr>
            <w:tcW w:w="7371" w:type="dxa"/>
          </w:tcPr>
          <w:p w:rsidR="00760FE8" w:rsidRPr="00AF7831" w:rsidRDefault="002B553D" w:rsidP="005626F3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Received support from </w:t>
            </w:r>
            <w:proofErr w:type="spellStart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Danone</w:t>
            </w:r>
            <w:proofErr w:type="spellEnd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 Asia Pacific for act as a speaker at a Food allergy </w:t>
            </w:r>
            <w:r w:rsidR="005626F3" w:rsidRPr="00AF7831">
              <w:rPr>
                <w:rFonts w:ascii="Arial" w:hAnsi="Arial" w:cs="Arial"/>
                <w:color w:val="auto"/>
                <w:sz w:val="24"/>
                <w:szCs w:val="24"/>
              </w:rPr>
              <w:t>A</w:t>
            </w: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sia </w:t>
            </w:r>
            <w:r w:rsidR="005626F3" w:rsidRPr="00AF7831">
              <w:rPr>
                <w:rFonts w:ascii="Arial" w:hAnsi="Arial" w:cs="Arial"/>
                <w:color w:val="auto"/>
                <w:sz w:val="24"/>
                <w:szCs w:val="24"/>
              </w:rPr>
              <w:t>P</w:t>
            </w: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acific symposium 2012</w:t>
            </w:r>
          </w:p>
        </w:tc>
      </w:tr>
      <w:tr w:rsidR="00760FE8" w:rsidRPr="00AF7831" w:rsidTr="00AF7831">
        <w:trPr>
          <w:cantSplit/>
        </w:trPr>
        <w:tc>
          <w:tcPr>
            <w:tcW w:w="2552" w:type="dxa"/>
          </w:tcPr>
          <w:p w:rsidR="00760FE8" w:rsidRPr="00AF7831" w:rsidRDefault="002B553D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Susan Prescott</w:t>
            </w:r>
          </w:p>
        </w:tc>
        <w:tc>
          <w:tcPr>
            <w:tcW w:w="7371" w:type="dxa"/>
          </w:tcPr>
          <w:p w:rsidR="00760FE8" w:rsidRPr="00AF7831" w:rsidRDefault="002B553D" w:rsidP="00164653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Advisory Board - Nestle Nutrition Institute (Australasia), Advisory Board for </w:t>
            </w:r>
            <w:proofErr w:type="spellStart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Danone</w:t>
            </w:r>
            <w:proofErr w:type="spellEnd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 (Asia Pacific)</w:t>
            </w:r>
            <w:r w:rsidR="00164653"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, investigator initiated trial for which </w:t>
            </w:r>
            <w:proofErr w:type="spellStart"/>
            <w:r w:rsidR="00164653" w:rsidRPr="00AF7831">
              <w:rPr>
                <w:rFonts w:ascii="Arial" w:hAnsi="Arial" w:cs="Arial"/>
                <w:color w:val="auto"/>
                <w:sz w:val="24"/>
                <w:szCs w:val="24"/>
              </w:rPr>
              <w:t>Danone</w:t>
            </w:r>
            <w:proofErr w:type="spellEnd"/>
            <w:r w:rsidR="00164653"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 provided </w:t>
            </w:r>
            <w:proofErr w:type="spellStart"/>
            <w:r w:rsidR="00164653" w:rsidRPr="00AF7831">
              <w:rPr>
                <w:rFonts w:ascii="Arial" w:hAnsi="Arial" w:cs="Arial"/>
                <w:color w:val="auto"/>
                <w:sz w:val="24"/>
                <w:szCs w:val="24"/>
              </w:rPr>
              <w:t>prebiotic</w:t>
            </w:r>
            <w:proofErr w:type="spellEnd"/>
            <w:r w:rsidR="00164653" w:rsidRPr="00AF7831">
              <w:rPr>
                <w:rFonts w:ascii="Arial" w:hAnsi="Arial" w:cs="Arial"/>
                <w:color w:val="auto"/>
                <w:sz w:val="24"/>
                <w:szCs w:val="24"/>
              </w:rPr>
              <w:t>.</w:t>
            </w:r>
          </w:p>
        </w:tc>
      </w:tr>
      <w:tr w:rsidR="00760FE8" w:rsidRPr="00AF7831" w:rsidTr="00AF7831">
        <w:trPr>
          <w:cantSplit/>
        </w:trPr>
        <w:tc>
          <w:tcPr>
            <w:tcW w:w="2552" w:type="dxa"/>
          </w:tcPr>
          <w:p w:rsidR="00760FE8" w:rsidRPr="00AF7831" w:rsidRDefault="002B553D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John Riva</w:t>
            </w:r>
          </w:p>
        </w:tc>
        <w:tc>
          <w:tcPr>
            <w:tcW w:w="7371" w:type="dxa"/>
          </w:tcPr>
          <w:p w:rsidR="00760FE8" w:rsidRPr="00AF7831" w:rsidRDefault="0065388E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Declares no conflicts of interest related to this guideline</w:t>
            </w:r>
          </w:p>
        </w:tc>
      </w:tr>
      <w:tr w:rsidR="00760FE8" w:rsidRPr="00AF7831" w:rsidTr="00AF7831">
        <w:trPr>
          <w:cantSplit/>
        </w:trPr>
        <w:tc>
          <w:tcPr>
            <w:tcW w:w="2552" w:type="dxa"/>
          </w:tcPr>
          <w:p w:rsidR="00760FE8" w:rsidRPr="00AF7831" w:rsidRDefault="002B553D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 xml:space="preserve">Lanny </w:t>
            </w:r>
            <w:proofErr w:type="spellStart"/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Rosenwasser</w:t>
            </w:r>
            <w:proofErr w:type="spellEnd"/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760FE8" w:rsidRPr="00AF7831" w:rsidRDefault="002B553D" w:rsidP="005626F3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Research Grant from Novartis /Genentech Roche </w:t>
            </w:r>
            <w:r w:rsidR="005626F3" w:rsidRPr="00AF7831">
              <w:rPr>
                <w:rFonts w:ascii="Arial" w:hAnsi="Arial" w:cs="Arial"/>
                <w:color w:val="auto"/>
                <w:sz w:val="24"/>
                <w:szCs w:val="24"/>
              </w:rPr>
              <w:t>(</w:t>
            </w: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finished in 2011</w:t>
            </w:r>
            <w:r w:rsidR="005626F3" w:rsidRPr="00AF7831">
              <w:rPr>
                <w:rFonts w:ascii="Arial" w:hAnsi="Arial" w:cs="Arial"/>
                <w:color w:val="auto"/>
                <w:sz w:val="24"/>
                <w:szCs w:val="24"/>
              </w:rPr>
              <w:t>)</w:t>
            </w: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. Advisory board and speakers board for Astra Zeneca and Novartis/Genentech</w:t>
            </w:r>
            <w:r w:rsidR="005626F3"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 (l</w:t>
            </w: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ast applicable in 2012</w:t>
            </w:r>
            <w:r w:rsidR="005626F3" w:rsidRPr="00AF7831">
              <w:rPr>
                <w:rFonts w:ascii="Arial" w:hAnsi="Arial" w:cs="Arial"/>
                <w:color w:val="auto"/>
                <w:sz w:val="24"/>
                <w:szCs w:val="24"/>
              </w:rPr>
              <w:t>),</w:t>
            </w: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 5 patents on the biology of IL-1 and it's uses.</w:t>
            </w:r>
          </w:p>
        </w:tc>
      </w:tr>
      <w:tr w:rsidR="00760FE8" w:rsidRPr="00AF7831" w:rsidTr="00AF7831">
        <w:trPr>
          <w:cantSplit/>
        </w:trPr>
        <w:tc>
          <w:tcPr>
            <w:tcW w:w="2552" w:type="dxa"/>
          </w:tcPr>
          <w:p w:rsidR="00760FE8" w:rsidRPr="00AF7831" w:rsidRDefault="002B553D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Hugh Sampson</w:t>
            </w:r>
          </w:p>
        </w:tc>
        <w:tc>
          <w:tcPr>
            <w:tcW w:w="7371" w:type="dxa"/>
          </w:tcPr>
          <w:p w:rsidR="00164653" w:rsidRPr="00AF7831" w:rsidRDefault="00FD06B4" w:rsidP="00164653">
            <w:pPr>
              <w:rPr>
                <w:rFonts w:ascii="Arial" w:hAnsi="Arial" w:cs="Arial"/>
                <w:lang w:val="en-CA"/>
              </w:rPr>
            </w:pPr>
            <w:r w:rsidRPr="00AF7831">
              <w:rPr>
                <w:rFonts w:ascii="Arial" w:hAnsi="Arial" w:cs="Arial"/>
                <w:lang w:val="en-CA"/>
              </w:rPr>
              <w:t xml:space="preserve">Consultant– </w:t>
            </w:r>
            <w:proofErr w:type="spellStart"/>
            <w:r w:rsidRPr="00AF7831">
              <w:rPr>
                <w:rFonts w:ascii="Arial" w:hAnsi="Arial" w:cs="Arial"/>
                <w:lang w:val="en-CA"/>
              </w:rPr>
              <w:t>Danone</w:t>
            </w:r>
            <w:proofErr w:type="spellEnd"/>
            <w:r w:rsidRPr="00AF7831">
              <w:rPr>
                <w:rFonts w:ascii="Arial" w:hAnsi="Arial" w:cs="Arial"/>
                <w:lang w:val="en-CA"/>
              </w:rPr>
              <w:t xml:space="preserve"> Research for Specialized Nutrition Scientific Advisory Committee</w:t>
            </w:r>
            <w:r w:rsidR="00790D61" w:rsidRPr="00AF7831">
              <w:rPr>
                <w:rFonts w:ascii="Arial" w:hAnsi="Arial" w:cs="Arial"/>
                <w:lang w:val="en-CA"/>
              </w:rPr>
              <w:t>.</w:t>
            </w:r>
          </w:p>
        </w:tc>
      </w:tr>
      <w:tr w:rsidR="00760FE8" w:rsidRPr="00AF7831" w:rsidTr="00AF7831">
        <w:trPr>
          <w:cantSplit/>
        </w:trPr>
        <w:tc>
          <w:tcPr>
            <w:tcW w:w="2552" w:type="dxa"/>
          </w:tcPr>
          <w:p w:rsidR="00760FE8" w:rsidRPr="00AF7831" w:rsidRDefault="002B553D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Holger Schünemann</w:t>
            </w:r>
          </w:p>
        </w:tc>
        <w:tc>
          <w:tcPr>
            <w:tcW w:w="7371" w:type="dxa"/>
          </w:tcPr>
          <w:p w:rsidR="00760FE8" w:rsidRPr="00AF7831" w:rsidRDefault="002B553D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Received research support </w:t>
            </w:r>
            <w:r w:rsidR="00543B17"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from WAO </w:t>
            </w: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for </w:t>
            </w:r>
            <w:r w:rsidR="00EB504F"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development of </w:t>
            </w:r>
            <w:r w:rsidR="00543B17" w:rsidRPr="00AF7831">
              <w:rPr>
                <w:rFonts w:ascii="Arial" w:hAnsi="Arial" w:cs="Arial"/>
                <w:color w:val="auto"/>
                <w:sz w:val="24"/>
                <w:szCs w:val="24"/>
              </w:rPr>
              <w:t>DRA</w:t>
            </w: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CMA and GLAD</w:t>
            </w:r>
            <w:r w:rsidR="00543B17" w:rsidRPr="00AF7831">
              <w:rPr>
                <w:rFonts w:ascii="Arial" w:hAnsi="Arial" w:cs="Arial"/>
                <w:color w:val="auto"/>
                <w:sz w:val="24"/>
                <w:szCs w:val="24"/>
              </w:rPr>
              <w:t>-P</w:t>
            </w: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 guidelines</w:t>
            </w:r>
          </w:p>
        </w:tc>
      </w:tr>
      <w:tr w:rsidR="00760FE8" w:rsidRPr="00AF7831" w:rsidTr="00AF7831">
        <w:trPr>
          <w:cantSplit/>
        </w:trPr>
        <w:tc>
          <w:tcPr>
            <w:tcW w:w="2552" w:type="dxa"/>
          </w:tcPr>
          <w:p w:rsidR="00760FE8" w:rsidRPr="00AF7831" w:rsidRDefault="002B553D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lastRenderedPageBreak/>
              <w:t xml:space="preserve">Michael </w:t>
            </w:r>
            <w:r w:rsidR="00553300"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 xml:space="preserve">D. </w:t>
            </w:r>
            <w:proofErr w:type="spellStart"/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Spigler</w:t>
            </w:r>
            <w:proofErr w:type="spellEnd"/>
            <w:r w:rsidR="002B0A5D"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 xml:space="preserve"> (not here)</w:t>
            </w:r>
          </w:p>
        </w:tc>
        <w:tc>
          <w:tcPr>
            <w:tcW w:w="7371" w:type="dxa"/>
          </w:tcPr>
          <w:p w:rsidR="00760FE8" w:rsidRPr="00AF7831" w:rsidRDefault="0065388E">
            <w:pPr>
              <w:rPr>
                <w:rFonts w:ascii="Arial" w:hAnsi="Arial" w:cs="Arial"/>
                <w:lang w:val="en-CA"/>
              </w:rPr>
            </w:pPr>
            <w:r w:rsidRPr="00AF7831">
              <w:rPr>
                <w:rFonts w:ascii="Arial" w:hAnsi="Arial" w:cs="Arial"/>
                <w:lang w:val="en-CA"/>
              </w:rPr>
              <w:t>Declares no conflicts of interest related to this guideline</w:t>
            </w:r>
          </w:p>
        </w:tc>
      </w:tr>
      <w:tr w:rsidR="00760FE8" w:rsidRPr="00AF7831" w:rsidTr="00AF7831">
        <w:trPr>
          <w:cantSplit/>
        </w:trPr>
        <w:tc>
          <w:tcPr>
            <w:tcW w:w="2552" w:type="dxa"/>
          </w:tcPr>
          <w:p w:rsidR="00760FE8" w:rsidRPr="00AF7831" w:rsidRDefault="002B553D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 xml:space="preserve">Luigi </w:t>
            </w:r>
            <w:proofErr w:type="spellStart"/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Terracciano</w:t>
            </w:r>
            <w:proofErr w:type="spellEnd"/>
            <w:r w:rsidR="002B0A5D"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 xml:space="preserve"> (not here)</w:t>
            </w:r>
          </w:p>
        </w:tc>
        <w:tc>
          <w:tcPr>
            <w:tcW w:w="7371" w:type="dxa"/>
          </w:tcPr>
          <w:p w:rsidR="00760FE8" w:rsidRPr="00AF7831" w:rsidRDefault="002B553D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Heinz-</w:t>
            </w:r>
            <w:proofErr w:type="spellStart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Plada</w:t>
            </w:r>
            <w:proofErr w:type="spellEnd"/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 Italy Medical consultant for website. Travel support from World Allergy Organization. </w:t>
            </w:r>
          </w:p>
        </w:tc>
      </w:tr>
      <w:tr w:rsidR="00760FE8" w:rsidRPr="00AF7831" w:rsidTr="00AF7831">
        <w:trPr>
          <w:cantSplit/>
        </w:trPr>
        <w:tc>
          <w:tcPr>
            <w:tcW w:w="2552" w:type="dxa"/>
          </w:tcPr>
          <w:p w:rsidR="00760FE8" w:rsidRPr="00AF7831" w:rsidRDefault="002B553D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 xml:space="preserve">Andrea </w:t>
            </w:r>
            <w:proofErr w:type="spellStart"/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Vereda</w:t>
            </w:r>
            <w:proofErr w:type="spellEnd"/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-Ortiz</w:t>
            </w:r>
          </w:p>
        </w:tc>
        <w:tc>
          <w:tcPr>
            <w:tcW w:w="7371" w:type="dxa"/>
          </w:tcPr>
          <w:p w:rsidR="00760FE8" w:rsidRPr="00AF7831" w:rsidRDefault="002B0A5D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hAnsi="Arial" w:cs="Arial"/>
                <w:sz w:val="24"/>
                <w:szCs w:val="24"/>
              </w:rPr>
              <w:t>Declares no conflicts of interest related to this guideline</w:t>
            </w:r>
          </w:p>
        </w:tc>
      </w:tr>
      <w:tr w:rsidR="00760FE8" w:rsidRPr="00AF7831" w:rsidTr="00AF7831">
        <w:trPr>
          <w:cantSplit/>
        </w:trPr>
        <w:tc>
          <w:tcPr>
            <w:tcW w:w="2552" w:type="dxa"/>
          </w:tcPr>
          <w:p w:rsidR="00760FE8" w:rsidRPr="00AF7831" w:rsidRDefault="002B553D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Susan</w:t>
            </w:r>
            <w:r w:rsidR="002B0A5D"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Waserman</w:t>
            </w:r>
            <w:proofErr w:type="spellEnd"/>
          </w:p>
        </w:tc>
        <w:tc>
          <w:tcPr>
            <w:tcW w:w="7371" w:type="dxa"/>
          </w:tcPr>
          <w:p w:rsidR="00760FE8" w:rsidRPr="00AF7831" w:rsidRDefault="0065388E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Declares no conflicts of interest related to this guideline</w:t>
            </w:r>
          </w:p>
        </w:tc>
      </w:tr>
      <w:tr w:rsidR="00760FE8" w:rsidRPr="00AF7831" w:rsidTr="00AF7831">
        <w:trPr>
          <w:cantSplit/>
        </w:trPr>
        <w:tc>
          <w:tcPr>
            <w:tcW w:w="2552" w:type="dxa"/>
          </w:tcPr>
          <w:p w:rsidR="00760FE8" w:rsidRPr="00AF7831" w:rsidRDefault="002B553D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Juan José Yepes Nuñez</w:t>
            </w:r>
          </w:p>
        </w:tc>
        <w:tc>
          <w:tcPr>
            <w:tcW w:w="7371" w:type="dxa"/>
          </w:tcPr>
          <w:p w:rsidR="00760FE8" w:rsidRPr="00AF7831" w:rsidRDefault="0065388E" w:rsidP="00524B9F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Declares no conflicts of interest related to this guideline</w:t>
            </w:r>
            <w:r w:rsidR="002B0A5D"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. Part of </w:t>
            </w:r>
            <w:r w:rsidR="00524B9F" w:rsidRPr="00AF7831">
              <w:rPr>
                <w:rFonts w:ascii="Arial" w:hAnsi="Arial" w:cs="Arial"/>
                <w:color w:val="auto"/>
                <w:sz w:val="24"/>
                <w:szCs w:val="24"/>
              </w:rPr>
              <w:t>s</w:t>
            </w:r>
            <w:r w:rsidR="002B0A5D" w:rsidRPr="00AF7831">
              <w:rPr>
                <w:rFonts w:ascii="Arial" w:hAnsi="Arial" w:cs="Arial"/>
                <w:color w:val="auto"/>
                <w:sz w:val="24"/>
                <w:szCs w:val="24"/>
              </w:rPr>
              <w:t>cholarship paid by WAO</w:t>
            </w:r>
            <w:r w:rsidR="00524B9F" w:rsidRPr="00AF7831">
              <w:rPr>
                <w:rFonts w:ascii="Arial" w:hAnsi="Arial" w:cs="Arial"/>
                <w:color w:val="auto"/>
                <w:sz w:val="24"/>
                <w:szCs w:val="24"/>
              </w:rPr>
              <w:t xml:space="preserve"> funding received by HJS and JLB for developing these guidelines</w:t>
            </w:r>
          </w:p>
        </w:tc>
      </w:tr>
      <w:tr w:rsidR="006567FE" w:rsidRPr="00AF7831" w:rsidTr="00AF7831">
        <w:trPr>
          <w:cantSplit/>
        </w:trPr>
        <w:tc>
          <w:tcPr>
            <w:tcW w:w="2552" w:type="dxa"/>
          </w:tcPr>
          <w:p w:rsidR="006567FE" w:rsidRPr="00AF7831" w:rsidRDefault="006567FE">
            <w:pPr>
              <w:pStyle w:val="TableStyle2"/>
              <w:rPr>
                <w:rFonts w:ascii="Arial" w:eastAsia="Arial Unicode MS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Yuan Zhang</w:t>
            </w:r>
          </w:p>
        </w:tc>
        <w:tc>
          <w:tcPr>
            <w:tcW w:w="7371" w:type="dxa"/>
          </w:tcPr>
          <w:p w:rsidR="006567FE" w:rsidRPr="00AF7831" w:rsidRDefault="006567FE" w:rsidP="00524B9F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Declares no conflicts of interest related to this guideline</w:t>
            </w:r>
          </w:p>
        </w:tc>
      </w:tr>
      <w:tr w:rsidR="006567FE" w:rsidRPr="00AF7831" w:rsidTr="00AF7831">
        <w:trPr>
          <w:cantSplit/>
        </w:trPr>
        <w:tc>
          <w:tcPr>
            <w:tcW w:w="2552" w:type="dxa"/>
          </w:tcPr>
          <w:p w:rsidR="006567FE" w:rsidRPr="00AF7831" w:rsidRDefault="006567FE">
            <w:pPr>
              <w:pStyle w:val="TableStyle2"/>
              <w:rPr>
                <w:rFonts w:ascii="Arial" w:eastAsia="Arial Unicode MS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Gian Paolo Morgano</w:t>
            </w:r>
          </w:p>
        </w:tc>
        <w:tc>
          <w:tcPr>
            <w:tcW w:w="7371" w:type="dxa"/>
          </w:tcPr>
          <w:p w:rsidR="006567FE" w:rsidRPr="00AF7831" w:rsidRDefault="006567FE" w:rsidP="00524B9F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Declares no conflicts of interest related to this guideline</w:t>
            </w:r>
          </w:p>
        </w:tc>
      </w:tr>
      <w:tr w:rsidR="006567FE" w:rsidRPr="00AF7831" w:rsidTr="00AF7831">
        <w:trPr>
          <w:cantSplit/>
        </w:trPr>
        <w:tc>
          <w:tcPr>
            <w:tcW w:w="2552" w:type="dxa"/>
          </w:tcPr>
          <w:p w:rsidR="006567FE" w:rsidRPr="00AF7831" w:rsidRDefault="006567FE">
            <w:pPr>
              <w:pStyle w:val="TableStyle2"/>
              <w:rPr>
                <w:rFonts w:ascii="Arial" w:eastAsia="Arial Unicode MS" w:hAnsi="Arial" w:cs="Arial"/>
                <w:color w:val="auto"/>
                <w:sz w:val="24"/>
                <w:szCs w:val="24"/>
              </w:rPr>
            </w:pPr>
            <w:proofErr w:type="spellStart"/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Arnav</w:t>
            </w:r>
            <w:proofErr w:type="spellEnd"/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Agarwal</w:t>
            </w:r>
            <w:proofErr w:type="spellEnd"/>
          </w:p>
        </w:tc>
        <w:tc>
          <w:tcPr>
            <w:tcW w:w="7371" w:type="dxa"/>
          </w:tcPr>
          <w:p w:rsidR="006567FE" w:rsidRPr="00AF7831" w:rsidRDefault="006567FE" w:rsidP="00524B9F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Declares no conflicts of interest related to this guideline</w:t>
            </w:r>
          </w:p>
        </w:tc>
      </w:tr>
      <w:tr w:rsidR="006567FE" w:rsidRPr="00AF7831" w:rsidTr="00AF7831">
        <w:trPr>
          <w:cantSplit/>
        </w:trPr>
        <w:tc>
          <w:tcPr>
            <w:tcW w:w="2552" w:type="dxa"/>
          </w:tcPr>
          <w:p w:rsidR="006567FE" w:rsidRPr="00AF7831" w:rsidRDefault="006567FE">
            <w:pPr>
              <w:pStyle w:val="TableStyle2"/>
              <w:rPr>
                <w:rFonts w:ascii="Arial" w:eastAsia="Arial Unicode MS" w:hAnsi="Arial" w:cs="Arial"/>
                <w:color w:val="auto"/>
                <w:sz w:val="24"/>
                <w:szCs w:val="24"/>
              </w:rPr>
            </w:pPr>
            <w:proofErr w:type="spellStart"/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>Shreyas</w:t>
            </w:r>
            <w:proofErr w:type="spellEnd"/>
            <w:r w:rsidRPr="00AF7831">
              <w:rPr>
                <w:rFonts w:ascii="Arial" w:eastAsia="Arial Unicode MS" w:hAnsi="Arial" w:cs="Arial"/>
                <w:color w:val="auto"/>
                <w:sz w:val="24"/>
                <w:szCs w:val="24"/>
              </w:rPr>
              <w:t xml:space="preserve"> Ghandi</w:t>
            </w:r>
          </w:p>
        </w:tc>
        <w:tc>
          <w:tcPr>
            <w:tcW w:w="7371" w:type="dxa"/>
          </w:tcPr>
          <w:p w:rsidR="006567FE" w:rsidRPr="00AF7831" w:rsidRDefault="006567FE" w:rsidP="00524B9F">
            <w:pPr>
              <w:pStyle w:val="TableStyle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F7831">
              <w:rPr>
                <w:rFonts w:ascii="Arial" w:hAnsi="Arial" w:cs="Arial"/>
                <w:color w:val="auto"/>
                <w:sz w:val="24"/>
                <w:szCs w:val="24"/>
              </w:rPr>
              <w:t>Declares no conflicts of interest related to this guideline</w:t>
            </w:r>
          </w:p>
        </w:tc>
      </w:tr>
    </w:tbl>
    <w:p w:rsidR="00760FE8" w:rsidRPr="00AF7831" w:rsidRDefault="00760FE8">
      <w:pPr>
        <w:pStyle w:val="Body"/>
        <w:rPr>
          <w:rFonts w:ascii="Arial" w:hAnsi="Arial" w:cs="Arial"/>
          <w:color w:val="auto"/>
          <w:lang w:val="en-CA"/>
        </w:rPr>
      </w:pPr>
    </w:p>
    <w:p w:rsidR="002B0A5D" w:rsidRPr="00AF7831" w:rsidRDefault="002B0A5D">
      <w:pPr>
        <w:pStyle w:val="Body"/>
        <w:rPr>
          <w:rFonts w:ascii="Arial" w:hAnsi="Arial" w:cs="Arial"/>
          <w:color w:val="auto"/>
          <w:lang w:val="en-CA"/>
        </w:rPr>
      </w:pPr>
      <w:r w:rsidRPr="00AF7831">
        <w:rPr>
          <w:rFonts w:ascii="Arial" w:hAnsi="Arial" w:cs="Arial"/>
          <w:color w:val="auto"/>
          <w:lang w:val="en-CA"/>
        </w:rPr>
        <w:t>WAO supported travel for all panel members to attend the Rome meeting</w:t>
      </w:r>
    </w:p>
    <w:sectPr w:rsidR="002B0A5D" w:rsidRPr="00AF7831" w:rsidSect="00EB504F">
      <w:footerReference w:type="even" r:id="rId7"/>
      <w:pgSz w:w="12240" w:h="15840"/>
      <w:pgMar w:top="1134" w:right="1134" w:bottom="1134" w:left="1134" w:header="720" w:footer="86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653" w:rsidRDefault="00164653">
      <w:r>
        <w:separator/>
      </w:r>
    </w:p>
  </w:endnote>
  <w:endnote w:type="continuationSeparator" w:id="0">
    <w:p w:rsidR="00164653" w:rsidRDefault="001646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653" w:rsidRDefault="004B267F" w:rsidP="001646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6465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64653" w:rsidRDefault="0016465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653" w:rsidRDefault="00164653">
      <w:r>
        <w:separator/>
      </w:r>
    </w:p>
  </w:footnote>
  <w:footnote w:type="continuationSeparator" w:id="0">
    <w:p w:rsidR="00164653" w:rsidRDefault="001646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60FE8"/>
    <w:rsid w:val="00060BD7"/>
    <w:rsid w:val="000859FE"/>
    <w:rsid w:val="000A01A4"/>
    <w:rsid w:val="00164653"/>
    <w:rsid w:val="002B0A5D"/>
    <w:rsid w:val="002B553D"/>
    <w:rsid w:val="003B5C17"/>
    <w:rsid w:val="003C0251"/>
    <w:rsid w:val="004B267F"/>
    <w:rsid w:val="00524B9F"/>
    <w:rsid w:val="00543B17"/>
    <w:rsid w:val="00553300"/>
    <w:rsid w:val="005626F3"/>
    <w:rsid w:val="005D79CB"/>
    <w:rsid w:val="0065388E"/>
    <w:rsid w:val="006567FE"/>
    <w:rsid w:val="0073415F"/>
    <w:rsid w:val="00760FE8"/>
    <w:rsid w:val="00790D61"/>
    <w:rsid w:val="00A1148F"/>
    <w:rsid w:val="00AA0CF3"/>
    <w:rsid w:val="00AF7831"/>
    <w:rsid w:val="00B86B5B"/>
    <w:rsid w:val="00C231F6"/>
    <w:rsid w:val="00D5031C"/>
    <w:rsid w:val="00D65361"/>
    <w:rsid w:val="00D75E3B"/>
    <w:rsid w:val="00DF59E9"/>
    <w:rsid w:val="00E236B9"/>
    <w:rsid w:val="00EB504F"/>
    <w:rsid w:val="00EB5211"/>
    <w:rsid w:val="00F0754D"/>
    <w:rsid w:val="00F61D90"/>
    <w:rsid w:val="00F9094E"/>
    <w:rsid w:val="00FD06B4"/>
    <w:rsid w:val="00FE0F8A"/>
    <w:rsid w:val="00FF7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CA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B267F"/>
    <w:rPr>
      <w:sz w:val="24"/>
      <w:szCs w:val="24"/>
      <w:lang w:val="en-US"/>
    </w:rPr>
  </w:style>
  <w:style w:type="paragraph" w:styleId="Heading2">
    <w:name w:val="heading 2"/>
    <w:next w:val="Body"/>
    <w:rsid w:val="004B267F"/>
    <w:pPr>
      <w:spacing w:after="320"/>
      <w:outlineLvl w:val="1"/>
    </w:pPr>
    <w:rPr>
      <w:rFonts w:ascii="Palatino Linotype" w:hAnsi="Arial Unicode MS" w:cs="Arial Unicode MS"/>
      <w:b/>
      <w:bCs/>
      <w:color w:val="000000"/>
      <w:sz w:val="32"/>
      <w:szCs w:val="32"/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B267F"/>
    <w:rPr>
      <w:u w:val="single"/>
    </w:rPr>
  </w:style>
  <w:style w:type="paragraph" w:customStyle="1" w:styleId="Body">
    <w:name w:val="Body"/>
    <w:rsid w:val="004B267F"/>
    <w:pPr>
      <w:spacing w:after="160" w:line="360" w:lineRule="auto"/>
    </w:pPr>
    <w:rPr>
      <w:rFonts w:ascii="Palatino Linotype" w:hAnsi="Arial Unicode MS" w:cs="Arial Unicode MS"/>
      <w:color w:val="000000"/>
      <w:sz w:val="24"/>
      <w:szCs w:val="24"/>
      <w:lang w:val="es-ES_tradnl"/>
    </w:rPr>
  </w:style>
  <w:style w:type="paragraph" w:customStyle="1" w:styleId="TableStyle5">
    <w:name w:val="Table Style 5"/>
    <w:rsid w:val="004B267F"/>
    <w:rPr>
      <w:rFonts w:ascii="Helvetica" w:eastAsia="Helvetica" w:hAnsi="Helvetica" w:cs="Helvetica"/>
      <w:b/>
      <w:bCs/>
      <w:color w:val="FEFFFE"/>
    </w:rPr>
  </w:style>
  <w:style w:type="paragraph" w:customStyle="1" w:styleId="TableStyle2">
    <w:name w:val="Table Style 2"/>
    <w:rsid w:val="004B267F"/>
    <w:rPr>
      <w:rFonts w:ascii="Helvetica" w:eastAsia="Helvetica" w:hAnsi="Helvetica" w:cs="Helvetica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A1148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148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148F"/>
    <w:rPr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148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148F"/>
    <w:rPr>
      <w:b/>
      <w:b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48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48F"/>
    <w:rPr>
      <w:rFonts w:ascii="Lucida Grande" w:hAnsi="Lucida Grande" w:cs="Lucida Grande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B55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553D"/>
    <w:rPr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2B553D"/>
  </w:style>
  <w:style w:type="paragraph" w:styleId="DocumentMap">
    <w:name w:val="Document Map"/>
    <w:basedOn w:val="Normal"/>
    <w:link w:val="DocumentMapChar"/>
    <w:uiPriority w:val="99"/>
    <w:semiHidden/>
    <w:unhideWhenUsed/>
    <w:rsid w:val="0065388E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5388E"/>
    <w:rPr>
      <w:rFonts w:ascii="Lucida Grande" w:hAnsi="Lucida Grande" w:cs="Lucida Grande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6538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86B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B5B"/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CA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/>
    </w:rPr>
  </w:style>
  <w:style w:type="paragraph" w:styleId="Ttulo2">
    <w:name w:val="heading 2"/>
    <w:next w:val="Body"/>
    <w:pPr>
      <w:spacing w:after="320"/>
      <w:outlineLvl w:val="1"/>
    </w:pPr>
    <w:rPr>
      <w:rFonts w:ascii="Palatino Linotype" w:hAnsi="Arial Unicode MS" w:cs="Arial Unicode MS"/>
      <w:b/>
      <w:bCs/>
      <w:color w:val="000000"/>
      <w:sz w:val="32"/>
      <w:szCs w:val="3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paragraph" w:customStyle="1" w:styleId="Body">
    <w:name w:val="Body"/>
    <w:pPr>
      <w:spacing w:after="160" w:line="360" w:lineRule="auto"/>
    </w:pPr>
    <w:rPr>
      <w:rFonts w:ascii="Palatino Linotype" w:hAnsi="Arial Unicode MS" w:cs="Arial Unicode MS"/>
      <w:color w:val="000000"/>
      <w:sz w:val="24"/>
      <w:szCs w:val="24"/>
      <w:lang w:val="es-ES_tradnl"/>
    </w:rPr>
  </w:style>
  <w:style w:type="paragraph" w:customStyle="1" w:styleId="TableStyle5">
    <w:name w:val="Table Style 5"/>
    <w:rPr>
      <w:rFonts w:ascii="Helvetica" w:eastAsia="Helvetica" w:hAnsi="Helvetica" w:cs="Helvetica"/>
      <w:b/>
      <w:bCs/>
      <w:color w:val="FEFFFE"/>
    </w:rPr>
  </w:style>
  <w:style w:type="paragraph" w:customStyle="1" w:styleId="TableStyle2">
    <w:name w:val="Table Style 2"/>
    <w:rPr>
      <w:rFonts w:ascii="Helvetica" w:eastAsia="Helvetica" w:hAnsi="Helvetica" w:cs="Helvetica"/>
      <w:color w:val="000000"/>
    </w:rPr>
  </w:style>
  <w:style w:type="character" w:styleId="Refdecomentario">
    <w:name w:val="annotation reference"/>
    <w:basedOn w:val="Fuentedeprrafopredeter"/>
    <w:uiPriority w:val="99"/>
    <w:semiHidden/>
    <w:unhideWhenUsed/>
    <w:rsid w:val="00A1148F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1148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1148F"/>
    <w:rPr>
      <w:sz w:val="24"/>
      <w:szCs w:val="24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1148F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1148F"/>
    <w:rPr>
      <w:b/>
      <w:bCs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148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148F"/>
    <w:rPr>
      <w:rFonts w:ascii="Lucida Grande" w:hAnsi="Lucida Grande" w:cs="Lucida Grande"/>
      <w:sz w:val="18"/>
      <w:szCs w:val="18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2B553D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B553D"/>
    <w:rPr>
      <w:sz w:val="24"/>
      <w:szCs w:val="24"/>
      <w:lang w:val="en-US"/>
    </w:rPr>
  </w:style>
  <w:style w:type="character" w:styleId="Nmerodepgina">
    <w:name w:val="page number"/>
    <w:basedOn w:val="Fuentedeprrafopredeter"/>
    <w:uiPriority w:val="99"/>
    <w:semiHidden/>
    <w:unhideWhenUsed/>
    <w:rsid w:val="002B553D"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65388E"/>
    <w:rPr>
      <w:rFonts w:ascii="Lucida Grande" w:hAnsi="Lucida Grande" w:cs="Lucida Grand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5388E"/>
    <w:rPr>
      <w:rFonts w:ascii="Lucida Grande" w:hAnsi="Lucida Grande" w:cs="Lucida Grande"/>
      <w:sz w:val="24"/>
      <w:szCs w:val="24"/>
      <w:lang w:val="en-US"/>
    </w:rPr>
  </w:style>
  <w:style w:type="table" w:styleId="Tablaconcuadrcula">
    <w:name w:val="Table Grid"/>
    <w:basedOn w:val="Tablanormal"/>
    <w:uiPriority w:val="59"/>
    <w:rsid w:val="006538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86B5B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6B5B"/>
    <w:rPr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2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50000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Palatino Linotype"/>
            <a:ea typeface="Palatino Linotype"/>
            <a:cs typeface="Palatino Linotype"/>
            <a:sym typeface="Palatino Linotyp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C70626-5782-4BB5-BE24-C020954F8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533</Words>
  <Characters>3040</Characters>
  <Application>Microsoft Office Word</Application>
  <DocSecurity>0</DocSecurity>
  <Lines>25</Lines>
  <Paragraphs>7</Paragraphs>
  <ScaleCrop>false</ScaleCrop>
  <Company>ITESM</Company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edeorico</cp:lastModifiedBy>
  <cp:revision>3</cp:revision>
  <dcterms:created xsi:type="dcterms:W3CDTF">2016-04-14T21:23:00Z</dcterms:created>
  <dcterms:modified xsi:type="dcterms:W3CDTF">2016-04-23T05:35:00Z</dcterms:modified>
</cp:coreProperties>
</file>