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7A6" w:rsidRPr="0037488C" w:rsidRDefault="006157A6" w:rsidP="006157A6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Additional file </w:t>
      </w:r>
      <w:r w:rsidR="00A83508">
        <w:rPr>
          <w:rFonts w:ascii="Arial" w:hAnsi="Arial" w:cs="Arial"/>
          <w:b/>
          <w:bCs/>
        </w:rPr>
        <w:t>5</w:t>
      </w:r>
      <w:bookmarkStart w:id="0" w:name="_GoBack"/>
      <w:bookmarkEnd w:id="0"/>
      <w:r>
        <w:rPr>
          <w:rFonts w:ascii="Arial" w:hAnsi="Arial" w:cs="Arial"/>
          <w:b/>
          <w:bCs/>
        </w:rPr>
        <w:t xml:space="preserve">: </w:t>
      </w:r>
      <w:r w:rsidRPr="006A1E6A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S</w:t>
      </w:r>
      <w:r w:rsidRPr="006A1E6A">
        <w:rPr>
          <w:rFonts w:ascii="Arial" w:hAnsi="Arial" w:cs="Arial"/>
          <w:b/>
        </w:rPr>
        <w:t xml:space="preserve">4. </w:t>
      </w:r>
      <w:r w:rsidRPr="00CF7612">
        <w:rPr>
          <w:rFonts w:ascii="Arial" w:hAnsi="Arial" w:cs="Arial"/>
        </w:rPr>
        <w:t>Results of univariate analyses performed at a time when all patients were either deceased or had been followed for a m</w:t>
      </w:r>
      <w:r>
        <w:rPr>
          <w:rFonts w:ascii="Arial" w:hAnsi="Arial" w:cs="Arial"/>
        </w:rPr>
        <w:t>i</w:t>
      </w:r>
      <w:r w:rsidRPr="00CF7612">
        <w:rPr>
          <w:rFonts w:ascii="Arial" w:hAnsi="Arial" w:cs="Arial"/>
        </w:rPr>
        <w:t xml:space="preserve">nimum of 3 months, </w:t>
      </w:r>
      <w:r>
        <w:rPr>
          <w:rFonts w:ascii="Arial" w:hAnsi="Arial" w:cs="Arial"/>
        </w:rPr>
        <w:t>with</w:t>
      </w:r>
      <w:r w:rsidRPr="00CF761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17 </w:t>
      </w:r>
      <w:r w:rsidRPr="00CF7612">
        <w:rPr>
          <w:rFonts w:ascii="Arial" w:hAnsi="Arial" w:cs="Arial"/>
        </w:rPr>
        <w:t xml:space="preserve">patients still being followed. </w:t>
      </w:r>
      <w:r>
        <w:rPr>
          <w:rFonts w:ascii="Arial" w:hAnsi="Arial" w:cs="Arial"/>
        </w:rPr>
        <w:t xml:space="preserve">At that time point treatment in the DCV arm was the only variable that reached statistical significance (p&lt;0.05) </w:t>
      </w:r>
    </w:p>
    <w:tbl>
      <w:tblPr>
        <w:tblStyle w:val="TableGrid"/>
        <w:tblW w:w="8737" w:type="dxa"/>
        <w:tblLook w:val="04A0" w:firstRow="1" w:lastRow="0" w:firstColumn="1" w:lastColumn="0" w:noHBand="0" w:noVBand="1"/>
      </w:tblPr>
      <w:tblGrid>
        <w:gridCol w:w="4068"/>
        <w:gridCol w:w="2070"/>
        <w:gridCol w:w="1536"/>
        <w:gridCol w:w="1063"/>
      </w:tblGrid>
      <w:tr w:rsidR="006157A6" w:rsidRPr="0037488C" w:rsidTr="002758AD">
        <w:trPr>
          <w:trHeight w:val="299"/>
        </w:trPr>
        <w:tc>
          <w:tcPr>
            <w:tcW w:w="4068" w:type="dxa"/>
            <w:vAlign w:val="center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b/>
                <w:bCs/>
                <w:color w:val="000000" w:themeColor="text1"/>
                <w:kern w:val="24"/>
              </w:rPr>
              <w:t>Variable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b/>
                <w:bCs/>
                <w:color w:val="000000" w:themeColor="text1"/>
                <w:kern w:val="24"/>
              </w:rPr>
              <w:t>OS &lt; 3 yrs (n=25)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b/>
                <w:bCs/>
                <w:color w:val="000000" w:themeColor="text1"/>
                <w:kern w:val="24"/>
              </w:rPr>
              <w:t>OS &gt; 3 yrs (n=17)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b/>
                <w:bCs/>
                <w:color w:val="000000" w:themeColor="text1"/>
                <w:kern w:val="24"/>
              </w:rPr>
              <w:t>P-value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 xml:space="preserve">Age </w:t>
            </w:r>
            <w:r w:rsidRPr="0037488C">
              <w:rPr>
                <w:rFonts w:ascii="Arial" w:hAnsi="Arial" w:cs="Arial"/>
                <w:color w:val="000000" w:themeColor="dark1"/>
                <w:kern w:val="24"/>
                <w:u w:val="single"/>
              </w:rPr>
              <w:t>&gt;</w:t>
            </w:r>
            <w:r w:rsidRPr="0037488C">
              <w:rPr>
                <w:rFonts w:ascii="Arial" w:hAnsi="Arial" w:cs="Arial"/>
                <w:color w:val="000000" w:themeColor="dark1"/>
                <w:kern w:val="24"/>
              </w:rPr>
              <w:t xml:space="preserve"> 60 years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11 (44%)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6 (35%)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0.57</w:t>
            </w:r>
          </w:p>
        </w:tc>
      </w:tr>
      <w:tr w:rsidR="006157A6" w:rsidRPr="0037488C" w:rsidTr="002758AD">
        <w:trPr>
          <w:trHeight w:val="266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# Male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15 (60%)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12 (71%)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0.48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# from out of state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8 (32%)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8 (47%)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0.21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KPS = 100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11 (44%)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10 (59%)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0.12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eastAsia="MS Mincho" w:hAnsi="Arial" w:cs="Arial"/>
                <w:color w:val="000000" w:themeColor="text1"/>
                <w:kern w:val="24"/>
              </w:rPr>
              <w:t>↑LDH at randomization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8 (32%)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3(18%)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text1"/>
                <w:kern w:val="24"/>
              </w:rPr>
              <w:t>0.48</w:t>
            </w:r>
          </w:p>
        </w:tc>
      </w:tr>
      <w:tr w:rsidR="006157A6" w:rsidRPr="0037488C" w:rsidTr="002758AD">
        <w:trPr>
          <w:trHeight w:val="266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Highest stage =4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20 (80%)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13 (76%)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0.78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 xml:space="preserve">Prior visceral &amp;/or brain mets 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13 (52%)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9 (53%)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0.95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Measurable Disease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13 (52%)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4 (24%)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kern w:val="24"/>
              </w:rPr>
              <w:t>0.11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NED at randomization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6 (24%)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9 (47%)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kern w:val="24"/>
              </w:rPr>
              <w:t>0.055</w:t>
            </w:r>
          </w:p>
        </w:tc>
      </w:tr>
      <w:tr w:rsidR="006157A6" w:rsidRPr="0037488C" w:rsidTr="002758AD">
        <w:trPr>
          <w:trHeight w:val="350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Stage 4 M1a at randomization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 (4%)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2 (12%)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0.56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Stage 4 M1b at randomization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6 (24%)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3 (18%)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0.72</w:t>
            </w:r>
          </w:p>
        </w:tc>
      </w:tr>
      <w:tr w:rsidR="006157A6" w:rsidRPr="0037488C" w:rsidTr="002758AD">
        <w:trPr>
          <w:trHeight w:val="283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Stage 4 M1c at randomization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12 (48%)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3 (12%)</w:t>
            </w:r>
          </w:p>
        </w:tc>
        <w:tc>
          <w:tcPr>
            <w:tcW w:w="0" w:type="auto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kern w:val="24"/>
              </w:rPr>
              <w:t>0.056</w:t>
            </w:r>
          </w:p>
        </w:tc>
      </w:tr>
      <w:tr w:rsidR="006157A6" w:rsidRPr="0037488C" w:rsidTr="002758AD">
        <w:trPr>
          <w:trHeight w:val="299"/>
        </w:trPr>
        <w:tc>
          <w:tcPr>
            <w:tcW w:w="4068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b/>
                <w:bCs/>
                <w:color w:val="000000" w:themeColor="dark1"/>
                <w:kern w:val="24"/>
              </w:rPr>
              <w:t>DCV treatment</w:t>
            </w:r>
          </w:p>
        </w:tc>
        <w:tc>
          <w:tcPr>
            <w:tcW w:w="2070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7 (28%)</w:t>
            </w:r>
          </w:p>
        </w:tc>
        <w:tc>
          <w:tcPr>
            <w:tcW w:w="1536" w:type="dxa"/>
          </w:tcPr>
          <w:p w:rsidR="006157A6" w:rsidRPr="0037488C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37488C">
              <w:rPr>
                <w:rFonts w:ascii="Arial" w:hAnsi="Arial" w:cs="Arial"/>
                <w:color w:val="000000" w:themeColor="dark1"/>
                <w:kern w:val="24"/>
              </w:rPr>
              <w:t>11 (65%)</w:t>
            </w:r>
          </w:p>
        </w:tc>
        <w:tc>
          <w:tcPr>
            <w:tcW w:w="0" w:type="auto"/>
          </w:tcPr>
          <w:p w:rsidR="006157A6" w:rsidRPr="001231F0" w:rsidRDefault="006157A6" w:rsidP="002758AD">
            <w:pPr>
              <w:widowControl w:val="0"/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Arial" w:hAnsi="Arial" w:cs="Arial"/>
              </w:rPr>
            </w:pPr>
            <w:r w:rsidRPr="001231F0">
              <w:rPr>
                <w:rFonts w:ascii="Arial" w:hAnsi="Arial" w:cs="Arial"/>
                <w:b/>
                <w:bCs/>
                <w:kern w:val="24"/>
              </w:rPr>
              <w:t>0.018</w:t>
            </w:r>
          </w:p>
        </w:tc>
      </w:tr>
    </w:tbl>
    <w:p w:rsidR="006157A6" w:rsidRDefault="006157A6" w:rsidP="006157A6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6157A6" w:rsidRPr="006A1E6A" w:rsidRDefault="006157A6" w:rsidP="006157A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6A1E6A">
        <w:rPr>
          <w:rFonts w:ascii="Arial" w:hAnsi="Arial" w:cs="Arial"/>
        </w:rPr>
        <w:t>DCV=dendritic cell vaccine</w:t>
      </w:r>
    </w:p>
    <w:p w:rsidR="006157A6" w:rsidRPr="006A1E6A" w:rsidRDefault="006157A6" w:rsidP="006157A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157A6" w:rsidRPr="006A1E6A" w:rsidRDefault="006157A6" w:rsidP="006157A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6A1E6A">
        <w:rPr>
          <w:rFonts w:ascii="Arial" w:hAnsi="Arial" w:cs="Arial"/>
        </w:rPr>
        <w:t xml:space="preserve">KPS=Karnofsky performance status </w:t>
      </w:r>
    </w:p>
    <w:p w:rsidR="006157A6" w:rsidRPr="006A1E6A" w:rsidRDefault="006157A6" w:rsidP="006157A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157A6" w:rsidRPr="006A1E6A" w:rsidRDefault="006157A6" w:rsidP="006157A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6A1E6A">
        <w:rPr>
          <w:rFonts w:ascii="Arial" w:hAnsi="Arial" w:cs="Arial"/>
        </w:rPr>
        <w:t xml:space="preserve">NED=no evidence of disease </w:t>
      </w:r>
    </w:p>
    <w:p w:rsidR="006157A6" w:rsidRPr="006A1E6A" w:rsidRDefault="006157A6" w:rsidP="006157A6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3B7993" w:rsidRPr="006157A6" w:rsidRDefault="006157A6" w:rsidP="006157A6">
      <w:r w:rsidRPr="006A1E6A">
        <w:rPr>
          <w:rFonts w:ascii="Arial" w:hAnsi="Arial" w:cs="Arial"/>
        </w:rPr>
        <w:t>OS=overall survival</w:t>
      </w:r>
    </w:p>
    <w:sectPr w:rsidR="003B7993" w:rsidRPr="00615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3B7993"/>
    <w:rsid w:val="0008232B"/>
    <w:rsid w:val="00121B09"/>
    <w:rsid w:val="001366C1"/>
    <w:rsid w:val="003B7993"/>
    <w:rsid w:val="004C072F"/>
    <w:rsid w:val="006157A6"/>
    <w:rsid w:val="00A8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9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799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93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B7993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CABRENICA</dc:creator>
  <cp:lastModifiedBy>Calumpang, Mario Jade</cp:lastModifiedBy>
  <cp:revision>4</cp:revision>
  <dcterms:created xsi:type="dcterms:W3CDTF">2018-02-27T03:27:00Z</dcterms:created>
  <dcterms:modified xsi:type="dcterms:W3CDTF">2018-03-01T06:43:00Z</dcterms:modified>
</cp:coreProperties>
</file>