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BAA55" w14:textId="77777777" w:rsidR="00FA0F39" w:rsidRPr="00201B31" w:rsidRDefault="00FA0F39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b/>
          <w:sz w:val="22"/>
          <w:lang w:eastAsia="zh-CN"/>
        </w:rPr>
      </w:pPr>
      <w:r w:rsidRPr="00201B31">
        <w:rPr>
          <w:rFonts w:ascii="Arial" w:eastAsia="Times New Roman" w:hAnsi="Arial" w:cs="Arial" w:hint="eastAsia"/>
          <w:b/>
          <w:sz w:val="22"/>
          <w:lang w:eastAsia="zh-CN"/>
        </w:rPr>
        <w:t>Supplementary Materials and Methods</w:t>
      </w:r>
    </w:p>
    <w:p w14:paraId="0BC06028" w14:textId="69DB39F8" w:rsidR="00FA0F39" w:rsidRDefault="00FA0F39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lang w:eastAsia="zh-CN"/>
        </w:rPr>
      </w:pPr>
    </w:p>
    <w:p w14:paraId="4C6936BC" w14:textId="7F682613" w:rsidR="006D2B0C" w:rsidRDefault="006D2B0C" w:rsidP="006D2B0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Times New Roman"/>
          <w:sz w:val="22"/>
          <w:szCs w:val="22"/>
        </w:rPr>
      </w:pPr>
      <w:r w:rsidRPr="00ED2E8C">
        <w:rPr>
          <w:rFonts w:ascii="Arial" w:hAnsi="Arial" w:cs="Times New Roman"/>
          <w:b/>
          <w:sz w:val="22"/>
          <w:szCs w:val="22"/>
        </w:rPr>
        <w:t>Cell lines</w:t>
      </w:r>
      <w:r w:rsidR="00ED2E8C">
        <w:rPr>
          <w:rFonts w:ascii="Arial" w:hAnsi="Arial" w:cs="Times New Roman"/>
          <w:b/>
          <w:sz w:val="22"/>
          <w:szCs w:val="22"/>
        </w:rPr>
        <w:t xml:space="preserve">: </w:t>
      </w:r>
      <w:r w:rsidRPr="00ED2E8C">
        <w:rPr>
          <w:rFonts w:ascii="Arial" w:hAnsi="Arial" w:cs="Times New Roman"/>
          <w:noProof/>
          <w:sz w:val="22"/>
          <w:szCs w:val="22"/>
        </w:rPr>
        <w:t>Mouse brain tumor cell lines</w:t>
      </w:r>
      <w:r w:rsidRPr="00ED2E8C">
        <w:rPr>
          <w:rFonts w:ascii="Arial" w:hAnsi="Arial" w:cs="Times New Roman"/>
          <w:sz w:val="22"/>
          <w:szCs w:val="22"/>
        </w:rPr>
        <w:t xml:space="preserve"> CT-2A and SMA560 were cultured in an incubator at 37</w:t>
      </w:r>
      <w:r w:rsidRPr="00ED2E8C">
        <w:rPr>
          <w:rFonts w:ascii="Arial" w:hAnsi="Arial" w:cs="Arial"/>
          <w:sz w:val="22"/>
          <w:szCs w:val="22"/>
        </w:rPr>
        <w:t>˚</w:t>
      </w:r>
      <w:r w:rsidRPr="00ED2E8C">
        <w:rPr>
          <w:rFonts w:ascii="Arial" w:hAnsi="Arial" w:cs="Times New Roman"/>
          <w:sz w:val="22"/>
          <w:szCs w:val="22"/>
        </w:rPr>
        <w:t>C, 5% CO</w:t>
      </w:r>
      <w:r w:rsidRPr="00ED2E8C">
        <w:rPr>
          <w:rFonts w:ascii="Arial" w:hAnsi="Arial" w:cs="Times New Roman"/>
          <w:sz w:val="22"/>
          <w:szCs w:val="22"/>
          <w:vertAlign w:val="subscript"/>
        </w:rPr>
        <w:t>2</w:t>
      </w:r>
      <w:r w:rsidRPr="00ED2E8C">
        <w:rPr>
          <w:rFonts w:ascii="Arial" w:hAnsi="Arial" w:cs="Times New Roman"/>
          <w:sz w:val="22"/>
          <w:szCs w:val="22"/>
        </w:rPr>
        <w:t xml:space="preserve">, and passaged at </w:t>
      </w:r>
      <w:r w:rsidRPr="00ED2E8C">
        <w:rPr>
          <w:rFonts w:ascii="Arial" w:hAnsi="Arial" w:cs="Times New Roman"/>
          <w:noProof/>
          <w:sz w:val="22"/>
          <w:szCs w:val="22"/>
        </w:rPr>
        <w:t>confluence</w:t>
      </w:r>
      <w:r w:rsidRPr="00ED2E8C">
        <w:rPr>
          <w:rFonts w:ascii="Arial" w:hAnsi="Arial" w:cs="Times New Roman"/>
          <w:sz w:val="22"/>
          <w:szCs w:val="22"/>
        </w:rPr>
        <w:t xml:space="preserve"> with Accutase Cell Detachment Solution (BD Biosciences). The SMA560 cell line </w:t>
      </w:r>
      <w:r w:rsidRPr="00ED2E8C">
        <w:rPr>
          <w:rFonts w:ascii="Arial" w:hAnsi="Arial" w:cs="Times New Roman"/>
          <w:noProof/>
          <w:sz w:val="22"/>
          <w:szCs w:val="22"/>
        </w:rPr>
        <w:t>was maintained</w:t>
      </w:r>
      <w:r w:rsidRPr="00ED2E8C">
        <w:rPr>
          <w:rFonts w:ascii="Arial" w:hAnsi="Arial" w:cs="Times New Roman"/>
          <w:sz w:val="22"/>
          <w:szCs w:val="22"/>
        </w:rPr>
        <w:t xml:space="preserve"> in complete zinc option (ZO)-10% fetal bovine serum (FBS; Improved Modified Eagle Medium ZO [Richter's Modification, Cat.No.10373-017] liquid; </w:t>
      </w:r>
      <w:r w:rsidR="00651BCA" w:rsidRPr="00ED2E8C">
        <w:rPr>
          <w:rFonts w:ascii="Arial" w:hAnsi="Arial" w:cs="Arial"/>
          <w:sz w:val="22"/>
          <w:szCs w:val="22"/>
          <w:lang w:eastAsia="zh-CN"/>
        </w:rPr>
        <w:t>Thermo Fisher Scientific</w:t>
      </w:r>
      <w:r w:rsidRPr="00ED2E8C">
        <w:rPr>
          <w:rFonts w:ascii="Arial" w:hAnsi="Arial" w:cs="Times New Roman"/>
          <w:sz w:val="22"/>
          <w:szCs w:val="22"/>
        </w:rPr>
        <w:t>). The CT-2A cell line was cultured in DMEM-high glucose media (</w:t>
      </w:r>
      <w:r w:rsidR="00651BCA" w:rsidRPr="00ED2E8C">
        <w:rPr>
          <w:rFonts w:ascii="Arial" w:hAnsi="Arial" w:cs="Arial"/>
          <w:sz w:val="22"/>
          <w:szCs w:val="22"/>
          <w:lang w:eastAsia="zh-CN"/>
        </w:rPr>
        <w:t>Thermo Fisher Scientific</w:t>
      </w:r>
      <w:r w:rsidRPr="00ED2E8C">
        <w:rPr>
          <w:rFonts w:ascii="Arial" w:hAnsi="Arial" w:cs="Times New Roman"/>
          <w:sz w:val="22"/>
          <w:szCs w:val="22"/>
        </w:rPr>
        <w:t xml:space="preserve">) supplied with 10% FBS. All cell lines </w:t>
      </w:r>
      <w:r w:rsidRPr="00ED2E8C">
        <w:rPr>
          <w:rFonts w:ascii="Arial" w:hAnsi="Arial" w:cs="Times New Roman"/>
          <w:noProof/>
          <w:sz w:val="22"/>
          <w:szCs w:val="22"/>
        </w:rPr>
        <w:t>were authenticated</w:t>
      </w:r>
      <w:r w:rsidRPr="00ED2E8C">
        <w:rPr>
          <w:rFonts w:ascii="Arial" w:hAnsi="Arial" w:cs="Times New Roman"/>
          <w:sz w:val="22"/>
          <w:szCs w:val="22"/>
        </w:rPr>
        <w:t xml:space="preserve"> by </w:t>
      </w:r>
      <w:r w:rsidRPr="00ED2E8C">
        <w:rPr>
          <w:rFonts w:ascii="Arial" w:hAnsi="Arial" w:cs="Times New Roman"/>
          <w:noProof/>
          <w:sz w:val="22"/>
          <w:szCs w:val="22"/>
        </w:rPr>
        <w:t>whole-exome</w:t>
      </w:r>
      <w:r w:rsidRPr="00ED2E8C">
        <w:rPr>
          <w:rFonts w:ascii="Arial" w:hAnsi="Arial" w:cs="Times New Roman"/>
          <w:sz w:val="22"/>
          <w:szCs w:val="22"/>
        </w:rPr>
        <w:t xml:space="preserve"> sequencing, tested for rodent pathogens, and the cell culture supernatants were tested for mycoplasma infection. All cell lines were maintained in culture for 10-12 passages after thawing.</w:t>
      </w:r>
    </w:p>
    <w:p w14:paraId="59899D83" w14:textId="0F6C991D" w:rsidR="00FA7833" w:rsidRDefault="00FA7833" w:rsidP="006D2B0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Times New Roman"/>
          <w:sz w:val="22"/>
          <w:szCs w:val="22"/>
        </w:rPr>
      </w:pPr>
    </w:p>
    <w:p w14:paraId="543A9DF0" w14:textId="1B5CE059" w:rsidR="00FA7833" w:rsidRPr="00ED2E8C" w:rsidRDefault="00FA7833" w:rsidP="006D2B0C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Times New Roman"/>
          <w:sz w:val="22"/>
          <w:szCs w:val="22"/>
        </w:rPr>
      </w:pPr>
      <w:r w:rsidRPr="00FA7833">
        <w:rPr>
          <w:rFonts w:ascii="Arial" w:eastAsia="Calibri" w:hAnsi="Arial" w:cs="Times New Roman"/>
          <w:b/>
          <w:sz w:val="22"/>
          <w:highlight w:val="yellow"/>
        </w:rPr>
        <w:t>Establishment of D2C7-IT target cell lines: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The chimeric DNA fragment designated D2C7 (d)-mouse (m)-EGFRvII</w:t>
      </w:r>
      <w:r w:rsidRPr="00FA7833">
        <w:rPr>
          <w:rFonts w:ascii="Arial" w:eastAsia="Calibri" w:hAnsi="Arial" w:cs="Times New Roman"/>
          <w:noProof/>
          <w:sz w:val="22"/>
          <w:highlight w:val="yellow"/>
        </w:rPr>
        <w:t>I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(dmEGFRvIII) </w:t>
      </w:r>
      <w:r w:rsidRPr="00FA7833">
        <w:rPr>
          <w:rFonts w:ascii="Arial" w:eastAsia="Calibri" w:hAnsi="Arial" w:cs="Times New Roman"/>
          <w:noProof/>
          <w:sz w:val="22"/>
          <w:highlight w:val="yellow"/>
        </w:rPr>
        <w:t>was ligated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into the pLXIN retroviral vector (Clontech Laboratories). Mouse astrocytoma cell lines CT-2A and SMA560 </w:t>
      </w:r>
      <w:r w:rsidRPr="00FA7833">
        <w:rPr>
          <w:rFonts w:ascii="Arial" w:eastAsia="Calibri" w:hAnsi="Arial" w:cs="Times New Roman"/>
          <w:noProof/>
          <w:sz w:val="22"/>
          <w:highlight w:val="yellow"/>
        </w:rPr>
        <w:t>were transduced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with the dmEGFRvIII retroviral particles and luciferase (Luc) lentiviral particles, </w:t>
      </w:r>
      <w:r w:rsidRPr="00FA7833">
        <w:rPr>
          <w:rFonts w:ascii="Arial" w:eastAsia="Calibri" w:hAnsi="Arial" w:cs="Times New Roman"/>
          <w:noProof/>
          <w:sz w:val="22"/>
          <w:highlight w:val="yellow"/>
        </w:rPr>
        <w:t>and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stable cell lines (CT-2A-dmEGFRvIII-Luc and SMA560-dmEGFRvIII-Luc) </w:t>
      </w:r>
      <w:r w:rsidRPr="00FA7833">
        <w:rPr>
          <w:rFonts w:ascii="Arial" w:eastAsia="Calibri" w:hAnsi="Arial" w:cs="Times New Roman"/>
          <w:noProof/>
          <w:sz w:val="22"/>
          <w:highlight w:val="yellow"/>
        </w:rPr>
        <w:t>were established</w:t>
      </w:r>
      <w:r w:rsidRPr="00FA7833">
        <w:rPr>
          <w:rFonts w:ascii="Arial" w:eastAsia="Calibri" w:hAnsi="Arial" w:cs="Times New Roman"/>
          <w:sz w:val="22"/>
          <w:highlight w:val="yellow"/>
        </w:rPr>
        <w:t xml:space="preserve"> upon G418 and hygromycin selection.</w:t>
      </w:r>
    </w:p>
    <w:p w14:paraId="29320741" w14:textId="5D4BBF0E" w:rsidR="006D2B0C" w:rsidRPr="00ED2E8C" w:rsidRDefault="006D2B0C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</w:p>
    <w:p w14:paraId="3DED6716" w14:textId="43386133" w:rsidR="002C74A7" w:rsidRPr="00ED2E8C" w:rsidRDefault="002C74A7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D2E8C">
        <w:rPr>
          <w:rFonts w:ascii="Arial" w:eastAsia="SimSun" w:hAnsi="Arial" w:cs="Times New Roman"/>
          <w:b/>
          <w:sz w:val="22"/>
          <w:szCs w:val="22"/>
          <w:highlight w:val="yellow"/>
        </w:rPr>
        <w:t>Preparation of recombinant immunotoxins: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 D2C7-IT </w:t>
      </w:r>
      <w:r w:rsidRPr="00ED2E8C">
        <w:rPr>
          <w:rFonts w:ascii="Arial" w:eastAsia="SimSun" w:hAnsi="Arial" w:cs="Times New Roman"/>
          <w:noProof/>
          <w:sz w:val="22"/>
          <w:szCs w:val="22"/>
          <w:highlight w:val="yellow"/>
        </w:rPr>
        <w:t>was expressed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 under the control of </w:t>
      </w:r>
      <w:r w:rsidRPr="00ED2E8C">
        <w:rPr>
          <w:rFonts w:ascii="Arial" w:eastAsia="SimSun" w:hAnsi="Arial" w:cs="Times New Roman"/>
          <w:noProof/>
          <w:sz w:val="22"/>
          <w:szCs w:val="22"/>
          <w:highlight w:val="yellow"/>
        </w:rPr>
        <w:t>T7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 promoter in E. coli BL21 (λ DE3) (Stratagene). D2C7-IT accumulating in inclusion bodies was reduced, refolded, and further purified as monomers by ion exchange and size-exclusion chromatography to </w:t>
      </w:r>
      <w:r w:rsidRPr="00ED2E8C">
        <w:rPr>
          <w:rFonts w:ascii="Arial" w:eastAsia="SimSun" w:hAnsi="Arial" w:cs="Times New Roman"/>
          <w:noProof/>
          <w:sz w:val="22"/>
          <w:szCs w:val="22"/>
          <w:highlight w:val="yellow"/>
        </w:rPr>
        <w:t>greater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 than 95% purity as described previously 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fldChar w:fldCharType="begin">
          <w:fldData xml:space="preserve">PEVuZE5vdGU+PENpdGU+PEF1dGhvcj5DaGFuZHJhbW9oYW48L0F1dGhvcj48WWVhcj4yMDEzPC9Z
ZWFyPjxSZWNOdW0+NjwvUmVjTnVtPjxEaXNwbGF5VGV4dD4oMSk8L0Rpc3BsYXlUZXh0PjxyZWNv
cmQ+PHJlYy1udW1iZXI+NjwvcmVjLW51bWJlcj48Zm9yZWlnbi1rZXlzPjxrZXkgYXBwPSJFTiIg
ZGItaWQ9InJzZnRlNXN0dXNzYTlmZWZ0eHo1ZWFwNHRzdnRkejVmZGRmcCIgdGltZXN0YW1wPSIx
NTI3NzA3NjY0Ij42PC9rZXk+PC9mb3JlaWduLWtleXM+PHJlZi10eXBlIG5hbWU9IkpvdXJuYWwg
QXJ0aWNsZSI+MTc8L3JlZi10eXBlPjxjb250cmlidXRvcnM+PGF1dGhvcnM+PGF1dGhvcj5DaGFu
ZHJhbW9oYW4sIFYuPC9hdXRob3I+PGF1dGhvcj5CYW8sIFguPC9hdXRob3I+PGF1dGhvcj5LZWly
LCBTLiBULjwvYXV0aG9yPjxhdXRob3I+UGVncmFtLCBDLiBOLjwvYXV0aG9yPjxhdXRob3I+U3ph
ZnJhbnNraSwgUy4gRS48L2F1dGhvcj48YXV0aG9yPlBpYW8sIEguPC9hdXRob3I+PGF1dGhvcj5X
aWtzdHJhbmQsIEMuIEouPC9hdXRob3I+PGF1dGhvcj5NY0xlbmRvbiwgUi4gRS48L2F1dGhvcj48
YXV0aG9yPkt1YW4sIEMuIFQuPC9hdXRob3I+PGF1dGhvcj5QYXN0YW4sIEkuIEguPC9hdXRob3I+
PGF1dGhvcj5CaWduZXIsIEQuIEQuPC9hdXRob3I+PC9hdXRob3JzPjwvY29udHJpYnV0b3JzPjxh
dXRoLWFkZHJlc3M+UHJlc3RvbiBSb2JlcnQgVGlzY2ggQnJhaW4gVHVtb3IgQ2VudGVyIGF0IER1
a2UgYW5kIERlcGFydG1lbnQgb2YgUGF0aG9sb2d5LCBEdWtlIFVuaXZlcnNpdHkgTWVkaWNhbCBD
ZW50ZXIsIER1cmhhbSwgTm9ydGggQ2Fyb2xpbmEgMjc3MTAsIFVTQS48L2F1dGgtYWRkcmVzcz48
dGl0bGVzPjx0aXRsZT5Db25zdHJ1Y3Rpb24gb2YgYW4gaW1tdW5vdG94aW4sIEQyQzctKHNjZHNG
diktUEUzOEtERUwsIHRhcmdldGluZyBFR0ZSd3QgYW5kIEVHRlJ2SUlJIGZvciBicmFpbiB0dW1v
ciB0aGVyYXB5PC90aXRsZT48c2Vjb25kYXJ5LXRpdGxlPkNsaW4gQ2FuY2VyIFJlczwvc2Vjb25k
YXJ5LXRpdGxlPjwvdGl0bGVzPjxwZXJpb2RpY2FsPjxmdWxsLXRpdGxlPkNsaW4gQ2FuY2VyIFJl
czwvZnVsbC10aXRsZT48L3BlcmlvZGljYWw+PHBhZ2VzPjQ3MTctMjc8L3BhZ2VzPjx2b2x1bWU+
MTk8L3ZvbHVtZT48bnVtYmVyPjE3PC9udW1iZXI+PGVkaXRpb24+MjAxMy8wNy8xNzwvZWRpdGlv
bj48a2V5d29yZHM+PGtleXdvcmQ+QW50aWdlbnMsIE5lb3BsYXNtL2ltbXVub2xvZ3k8L2tleXdv
cmQ+PGtleXdvcmQ+QnJhaW4gTmVvcGxhc21zLyppbW11bm9sb2d5L3BhdGhvbG9neS90aGVyYXB5
PC9rZXl3b3JkPjxrZXl3b3JkPkNlbGwgTGluZSwgVHVtb3I8L2tleXdvcmQ+PGtleXdvcmQ+RXBp
dG9wZXMvaXNvbGF0aW9uICZhbXA7IHB1cmlmaWNhdGlvbjwva2V5d29yZD48a2V5d29yZD5GbG93
IEN5dG9tZXRyeTwva2V5d29yZD48a2V5d29yZD5HbGlvYmxhc3RvbWEvKmltbXVub2xvZ3kvcGF0
aG9sb2d5L3RoZXJhcHk8L2tleXdvcmQ+PGtleXdvcmQ+SHVtYW5zPC9rZXl3b3JkPjxrZXl3b3Jk
PkltbXVub2dsb2J1bGluIEcvZ2VuZXRpY3MvaW1tdW5vbG9neTwva2V5d29yZD48a2V5d29yZD5J
bW11bm90b3hpbnMvKmFkbWluaXN0cmF0aW9uICZhbXA7IGRvc2FnZS9nZW5ldGljczwva2V5d29y
ZD48a2V5d29yZD5SZWNlcHRvciwgRXBpZGVybWFsIEdyb3d0aCBGYWN0b3IvYW50YWdvbmlzdHMg
JmFtcDsgaW5oaWJpdG9ycy9nZW5ldGljcy8qaW1tdW5vbG9neTwva2V5d29yZD48a2V5d29yZD5T
dXJmYWNlIFBsYXNtb24gUmVzb25hbmNlPC9rZXl3b3JkPjxrZXl3b3JkPlhlbm9ncmFmdCBNb2Rl
bCBBbnRpdHVtb3IgQXNzYXlzPC9rZXl3b3JkPjwva2V5d29yZHM+PGRhdGVzPjx5ZWFyPjIwMTM8
L3llYXI+PHB1Yi1kYXRlcz48ZGF0ZT5TZXAgMTwvZGF0ZT48L3B1Yi1kYXRlcz48L2RhdGVzPjxp
c2JuPjEwNzgtMDQzMiAoUHJpbnQpJiN4RDsxMDc4LTA0MzIgKExpbmtpbmcpPC9pc2JuPjxhY2Nl
c3Npb24tbnVtPjIzODU3NjA0PC9hY2Nlc3Npb24tbnVtPjx1cmxzPjxyZWxhdGVkLXVybHM+PHVy
bD5odHRwczovL3d3dy5uY2JpLm5sbS5uaWguZ292L3B1Ym1lZC8yMzg1NzYwNDwvdXJsPjwvcmVs
YXRlZC11cmxzPjwvdXJscz48Y3VzdG9tMj5QTUMzNzY2NDM5PC9jdXN0b20yPjxlbGVjdHJvbmlj
LXJlc291cmNlLW51bT4xMC4xMTU4LzEwNzgtMDQzMi5DQ1ItMTItMzg5MTwvZWxlY3Ryb25pYy1y
ZXNvdXJjZS1udW0+PC9yZWNvcmQ+PC9DaXRlPjwvRW5kTm90ZT4A
</w:fldData>
        </w:fldChar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instrText xml:space="preserve"> ADDIN EN.CITE </w:instrTex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fldChar w:fldCharType="begin">
          <w:fldData xml:space="preserve">PEVuZE5vdGU+PENpdGU+PEF1dGhvcj5DaGFuZHJhbW9oYW48L0F1dGhvcj48WWVhcj4yMDEzPC9Z
ZWFyPjxSZWNOdW0+NjwvUmVjTnVtPjxEaXNwbGF5VGV4dD4oMSk8L0Rpc3BsYXlUZXh0PjxyZWNv
cmQ+PHJlYy1udW1iZXI+NjwvcmVjLW51bWJlcj48Zm9yZWlnbi1rZXlzPjxrZXkgYXBwPSJFTiIg
ZGItaWQ9InJzZnRlNXN0dXNzYTlmZWZ0eHo1ZWFwNHRzdnRkejVmZGRmcCIgdGltZXN0YW1wPSIx
NTI3NzA3NjY0Ij42PC9rZXk+PC9mb3JlaWduLWtleXM+PHJlZi10eXBlIG5hbWU9IkpvdXJuYWwg
QXJ0aWNsZSI+MTc8L3JlZi10eXBlPjxjb250cmlidXRvcnM+PGF1dGhvcnM+PGF1dGhvcj5DaGFu
ZHJhbW9oYW4sIFYuPC9hdXRob3I+PGF1dGhvcj5CYW8sIFguPC9hdXRob3I+PGF1dGhvcj5LZWly
LCBTLiBULjwvYXV0aG9yPjxhdXRob3I+UGVncmFtLCBDLiBOLjwvYXV0aG9yPjxhdXRob3I+U3ph
ZnJhbnNraSwgUy4gRS48L2F1dGhvcj48YXV0aG9yPlBpYW8sIEguPC9hdXRob3I+PGF1dGhvcj5X
aWtzdHJhbmQsIEMuIEouPC9hdXRob3I+PGF1dGhvcj5NY0xlbmRvbiwgUi4gRS48L2F1dGhvcj48
YXV0aG9yPkt1YW4sIEMuIFQuPC9hdXRob3I+PGF1dGhvcj5QYXN0YW4sIEkuIEguPC9hdXRob3I+
PGF1dGhvcj5CaWduZXIsIEQuIEQuPC9hdXRob3I+PC9hdXRob3JzPjwvY29udHJpYnV0b3JzPjxh
dXRoLWFkZHJlc3M+UHJlc3RvbiBSb2JlcnQgVGlzY2ggQnJhaW4gVHVtb3IgQ2VudGVyIGF0IER1
a2UgYW5kIERlcGFydG1lbnQgb2YgUGF0aG9sb2d5LCBEdWtlIFVuaXZlcnNpdHkgTWVkaWNhbCBD
ZW50ZXIsIER1cmhhbSwgTm9ydGggQ2Fyb2xpbmEgMjc3MTAsIFVTQS48L2F1dGgtYWRkcmVzcz48
dGl0bGVzPjx0aXRsZT5Db25zdHJ1Y3Rpb24gb2YgYW4gaW1tdW5vdG94aW4sIEQyQzctKHNjZHNG
diktUEUzOEtERUwsIHRhcmdldGluZyBFR0ZSd3QgYW5kIEVHRlJ2SUlJIGZvciBicmFpbiB0dW1v
ciB0aGVyYXB5PC90aXRsZT48c2Vjb25kYXJ5LXRpdGxlPkNsaW4gQ2FuY2VyIFJlczwvc2Vjb25k
YXJ5LXRpdGxlPjwvdGl0bGVzPjxwZXJpb2RpY2FsPjxmdWxsLXRpdGxlPkNsaW4gQ2FuY2VyIFJl
czwvZnVsbC10aXRsZT48L3BlcmlvZGljYWw+PHBhZ2VzPjQ3MTctMjc8L3BhZ2VzPjx2b2x1bWU+
MTk8L3ZvbHVtZT48bnVtYmVyPjE3PC9udW1iZXI+PGVkaXRpb24+MjAxMy8wNy8xNzwvZWRpdGlv
bj48a2V5d29yZHM+PGtleXdvcmQ+QW50aWdlbnMsIE5lb3BsYXNtL2ltbXVub2xvZ3k8L2tleXdv
cmQ+PGtleXdvcmQ+QnJhaW4gTmVvcGxhc21zLyppbW11bm9sb2d5L3BhdGhvbG9neS90aGVyYXB5
PC9rZXl3b3JkPjxrZXl3b3JkPkNlbGwgTGluZSwgVHVtb3I8L2tleXdvcmQ+PGtleXdvcmQ+RXBp
dG9wZXMvaXNvbGF0aW9uICZhbXA7IHB1cmlmaWNhdGlvbjwva2V5d29yZD48a2V5d29yZD5GbG93
IEN5dG9tZXRyeTwva2V5d29yZD48a2V5d29yZD5HbGlvYmxhc3RvbWEvKmltbXVub2xvZ3kvcGF0
aG9sb2d5L3RoZXJhcHk8L2tleXdvcmQ+PGtleXdvcmQ+SHVtYW5zPC9rZXl3b3JkPjxrZXl3b3Jk
PkltbXVub2dsb2J1bGluIEcvZ2VuZXRpY3MvaW1tdW5vbG9neTwva2V5d29yZD48a2V5d29yZD5J
bW11bm90b3hpbnMvKmFkbWluaXN0cmF0aW9uICZhbXA7IGRvc2FnZS9nZW5ldGljczwva2V5d29y
ZD48a2V5d29yZD5SZWNlcHRvciwgRXBpZGVybWFsIEdyb3d0aCBGYWN0b3IvYW50YWdvbmlzdHMg
JmFtcDsgaW5oaWJpdG9ycy9nZW5ldGljcy8qaW1tdW5vbG9neTwva2V5d29yZD48a2V5d29yZD5T
dXJmYWNlIFBsYXNtb24gUmVzb25hbmNlPC9rZXl3b3JkPjxrZXl3b3JkPlhlbm9ncmFmdCBNb2Rl
bCBBbnRpdHVtb3IgQXNzYXlzPC9rZXl3b3JkPjwva2V5d29yZHM+PGRhdGVzPjx5ZWFyPjIwMTM8
L3llYXI+PHB1Yi1kYXRlcz48ZGF0ZT5TZXAgMTwvZGF0ZT48L3B1Yi1kYXRlcz48L2RhdGVzPjxp
c2JuPjEwNzgtMDQzMiAoUHJpbnQpJiN4RDsxMDc4LTA0MzIgKExpbmtpbmcpPC9pc2JuPjxhY2Nl
c3Npb24tbnVtPjIzODU3NjA0PC9hY2Nlc3Npb24tbnVtPjx1cmxzPjxyZWxhdGVkLXVybHM+PHVy
bD5odHRwczovL3d3dy5uY2JpLm5sbS5uaWguZ292L3B1Ym1lZC8yMzg1NzYwNDwvdXJsPjwvcmVs
YXRlZC11cmxzPjwvdXJscz48Y3VzdG9tMj5QTUMzNzY2NDM5PC9jdXN0b20yPjxlbGVjdHJvbmlj
LXJlc291cmNlLW51bT4xMC4xMTU4LzEwNzgtMDQzMi5DQ1ItMTItMzg5MTwvZWxlY3Ryb25pYy1y
ZXNvdXJjZS1udW0+PC9yZWNvcmQ+PC9DaXRlPjwvRW5kTm90ZT4A
</w:fldData>
        </w:fldChar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instrText xml:space="preserve"> ADDIN EN.CITE.DATA </w:instrTex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fldChar w:fldCharType="end"/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fldChar w:fldCharType="separate"/>
      </w:r>
      <w:r w:rsidRPr="00ED2E8C">
        <w:rPr>
          <w:rFonts w:ascii="Arial" w:eastAsia="SimSun" w:hAnsi="Arial" w:cs="Times New Roman"/>
          <w:noProof/>
          <w:sz w:val="22"/>
          <w:szCs w:val="22"/>
          <w:highlight w:val="yellow"/>
        </w:rPr>
        <w:t>(1)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fldChar w:fldCharType="end"/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. The purified immunotoxin </w:t>
      </w:r>
      <w:r w:rsidRPr="00ED2E8C">
        <w:rPr>
          <w:rFonts w:ascii="Arial" w:eastAsia="SimSun" w:hAnsi="Arial" w:cs="Times New Roman"/>
          <w:noProof/>
          <w:sz w:val="22"/>
          <w:szCs w:val="22"/>
          <w:highlight w:val="yellow"/>
        </w:rPr>
        <w:t>was then subjected</w:t>
      </w:r>
      <w:r w:rsidRPr="00ED2E8C">
        <w:rPr>
          <w:rFonts w:ascii="Arial" w:eastAsia="SimSun" w:hAnsi="Arial" w:cs="Times New Roman"/>
          <w:sz w:val="22"/>
          <w:szCs w:val="22"/>
          <w:highlight w:val="yellow"/>
        </w:rPr>
        <w:t xml:space="preserve"> to endotoxin removal with ActiClean Etox resin (Sterogene).</w:t>
      </w:r>
    </w:p>
    <w:p w14:paraId="69C8F429" w14:textId="77777777" w:rsidR="002C74A7" w:rsidRPr="006B67F0" w:rsidRDefault="002C74A7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lang w:eastAsia="zh-CN"/>
        </w:rPr>
      </w:pPr>
    </w:p>
    <w:p w14:paraId="1F6F2D52" w14:textId="5CBA9573" w:rsidR="006B67F0" w:rsidRPr="006B67F0" w:rsidRDefault="006B67F0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lang w:eastAsia="zh-CN"/>
        </w:rPr>
      </w:pPr>
      <w:r w:rsidRPr="00C26B8F">
        <w:rPr>
          <w:rFonts w:ascii="Arial" w:hAnsi="Arial" w:cs="Times New Roman"/>
          <w:b/>
          <w:i/>
          <w:sz w:val="22"/>
          <w:highlight w:val="yellow"/>
        </w:rPr>
        <w:lastRenderedPageBreak/>
        <w:t>In vitro</w:t>
      </w:r>
      <w:r w:rsidRPr="00C26B8F">
        <w:rPr>
          <w:rFonts w:ascii="Arial" w:hAnsi="Arial" w:cs="Times New Roman"/>
          <w:b/>
          <w:sz w:val="22"/>
          <w:highlight w:val="yellow"/>
        </w:rPr>
        <w:t xml:space="preserve"> cytotoxicity assay:</w:t>
      </w:r>
      <w:r w:rsidRPr="00C26B8F">
        <w:rPr>
          <w:rFonts w:ascii="Arial" w:hAnsi="Arial" w:cs="Times New Roman"/>
          <w:sz w:val="22"/>
          <w:highlight w:val="yellow"/>
        </w:rPr>
        <w:t xml:space="preserve"> Cytotoxicity of the D2C7-IT on CT-2A-dmEGFRvIII-Luc and SMA560-dmEGFRvIII-Luc was assessed by using the cell proliferation reagent WST-1 (Roche). Cells were seeded in 96-well plates at a density of 1×10</w:t>
      </w:r>
      <w:r w:rsidRPr="00C26B8F">
        <w:rPr>
          <w:rFonts w:ascii="Arial" w:hAnsi="Arial" w:cs="Times New Roman"/>
          <w:sz w:val="22"/>
          <w:highlight w:val="yellow"/>
          <w:vertAlign w:val="superscript"/>
        </w:rPr>
        <w:t>4</w:t>
      </w:r>
      <w:r w:rsidRPr="00C26B8F">
        <w:rPr>
          <w:rFonts w:ascii="Arial" w:hAnsi="Arial" w:cs="Times New Roman"/>
          <w:sz w:val="22"/>
          <w:highlight w:val="yellow"/>
        </w:rPr>
        <w:t xml:space="preserve"> cells per well in 100 µL of complete ZO or DMEM medium 24 h before the assay. D2C7-IT was serially diluted to achieve a final concentration of 0.001 to 1000 ng/mL in PBS containing 0.2% bovine serum albumin. Plates </w:t>
      </w:r>
      <w:r w:rsidRPr="00C26B8F">
        <w:rPr>
          <w:rFonts w:ascii="Arial" w:hAnsi="Arial" w:cs="Times New Roman"/>
          <w:noProof/>
          <w:sz w:val="22"/>
          <w:highlight w:val="yellow"/>
        </w:rPr>
        <w:t>were incubated</w:t>
      </w:r>
      <w:r w:rsidRPr="00C26B8F">
        <w:rPr>
          <w:rFonts w:ascii="Arial" w:hAnsi="Arial" w:cs="Times New Roman"/>
          <w:sz w:val="22"/>
          <w:highlight w:val="yellow"/>
        </w:rPr>
        <w:t xml:space="preserve"> for an additional 48 h at 37°C and then treated with </w:t>
      </w:r>
      <w:r w:rsidRPr="00C26B8F">
        <w:rPr>
          <w:rFonts w:ascii="Arial" w:hAnsi="Arial" w:cs="Times New Roman"/>
          <w:noProof/>
          <w:sz w:val="22"/>
          <w:highlight w:val="yellow"/>
        </w:rPr>
        <w:t>10</w:t>
      </w:r>
      <w:r w:rsidRPr="00C26B8F">
        <w:rPr>
          <w:rFonts w:ascii="Arial" w:hAnsi="Arial" w:cs="Times New Roman"/>
          <w:sz w:val="22"/>
          <w:highlight w:val="yellow"/>
        </w:rPr>
        <w:t xml:space="preserve"> µl/well of WST-1 and incubated for an additional 1-2 h at 37°C. Cell death </w:t>
      </w:r>
      <w:r w:rsidRPr="00C26B8F">
        <w:rPr>
          <w:rFonts w:ascii="Arial" w:hAnsi="Arial" w:cs="Times New Roman"/>
          <w:noProof/>
          <w:sz w:val="22"/>
          <w:highlight w:val="yellow"/>
        </w:rPr>
        <w:t>was determined</w:t>
      </w:r>
      <w:r w:rsidRPr="00C26B8F">
        <w:rPr>
          <w:rFonts w:ascii="Arial" w:hAnsi="Arial" w:cs="Times New Roman"/>
          <w:sz w:val="22"/>
          <w:highlight w:val="yellow"/>
        </w:rPr>
        <w:t xml:space="preserve"> by measuring absorbance at 440 nm. The cytotoxic activity was defined by IC</w:t>
      </w:r>
      <w:r w:rsidRPr="00C26B8F">
        <w:rPr>
          <w:rFonts w:ascii="Arial" w:hAnsi="Arial" w:cs="Times New Roman"/>
          <w:sz w:val="22"/>
          <w:highlight w:val="yellow"/>
          <w:vertAlign w:val="subscript"/>
        </w:rPr>
        <w:t>50</w:t>
      </w:r>
      <w:r w:rsidRPr="00C26B8F">
        <w:rPr>
          <w:rFonts w:ascii="Arial" w:hAnsi="Arial" w:cs="Times New Roman"/>
          <w:sz w:val="22"/>
          <w:highlight w:val="yellow"/>
        </w:rPr>
        <w:t xml:space="preserve">, which was the toxin concentration that caused cell death in 50% of the cells. All experiments </w:t>
      </w:r>
      <w:r w:rsidRPr="00C26B8F">
        <w:rPr>
          <w:rFonts w:ascii="Arial" w:hAnsi="Arial" w:cs="Times New Roman"/>
          <w:noProof/>
          <w:sz w:val="22"/>
          <w:highlight w:val="yellow"/>
        </w:rPr>
        <w:t>were repeated</w:t>
      </w:r>
      <w:r w:rsidRPr="00C26B8F">
        <w:rPr>
          <w:rFonts w:ascii="Arial" w:hAnsi="Arial" w:cs="Times New Roman"/>
          <w:sz w:val="22"/>
          <w:highlight w:val="yellow"/>
        </w:rPr>
        <w:t xml:space="preserve"> at least three times.</w:t>
      </w:r>
    </w:p>
    <w:p w14:paraId="7F0E2551" w14:textId="77777777" w:rsidR="006B67F0" w:rsidRPr="006B67F0" w:rsidRDefault="006B67F0" w:rsidP="00FA0F39">
      <w:pPr>
        <w:pStyle w:val="ListParagraph"/>
        <w:spacing w:line="480" w:lineRule="auto"/>
        <w:ind w:left="0"/>
        <w:jc w:val="both"/>
        <w:rPr>
          <w:rFonts w:ascii="Arial" w:eastAsia="Times New Roman" w:hAnsi="Arial" w:cs="Arial"/>
          <w:sz w:val="22"/>
          <w:lang w:eastAsia="zh-CN"/>
        </w:rPr>
      </w:pPr>
    </w:p>
    <w:p w14:paraId="22CBDDEC" w14:textId="0347EDD0" w:rsidR="00F56675" w:rsidRPr="00201B31" w:rsidRDefault="00201B31" w:rsidP="003027A8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lang w:eastAsia="zh-CN"/>
        </w:rPr>
      </w:pPr>
      <w:r w:rsidRPr="00201B31">
        <w:rPr>
          <w:rFonts w:ascii="Arial" w:hAnsi="Arial" w:cs="Arial"/>
          <w:b/>
          <w:color w:val="000000" w:themeColor="text1"/>
          <w:sz w:val="22"/>
          <w:lang w:eastAsia="zh-CN"/>
        </w:rPr>
        <w:t>Tumor tissue processing</w:t>
      </w:r>
      <w:r w:rsidRPr="003027A8">
        <w:rPr>
          <w:rFonts w:ascii="Arial" w:hAnsi="Arial" w:cs="Arial"/>
          <w:b/>
          <w:color w:val="000000" w:themeColor="text1"/>
          <w:sz w:val="22"/>
          <w:lang w:eastAsia="zh-CN"/>
        </w:rPr>
        <w:t>: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>
        <w:rPr>
          <w:rFonts w:ascii="Arial" w:hAnsi="Arial" w:cs="Arial"/>
          <w:color w:val="000000" w:themeColor="text1"/>
          <w:sz w:val="22"/>
          <w:lang w:eastAsia="zh-CN"/>
        </w:rPr>
        <w:t xml:space="preserve">Orthotopic </w:t>
      </w:r>
      <w:r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tumor</w:t>
      </w:r>
      <w:r w:rsidR="005C6922">
        <w:rPr>
          <w:rFonts w:ascii="Arial" w:hAnsi="Arial" w:cs="Arial"/>
          <w:noProof/>
          <w:color w:val="000000" w:themeColor="text1"/>
          <w:sz w:val="22"/>
          <w:lang w:eastAsia="zh-CN"/>
        </w:rPr>
        <w:t>-</w:t>
      </w:r>
      <w:r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bearing</w:t>
      </w:r>
      <w:r>
        <w:rPr>
          <w:rFonts w:ascii="Arial" w:hAnsi="Arial" w:cs="Arial"/>
          <w:color w:val="000000" w:themeColor="text1"/>
          <w:sz w:val="22"/>
          <w:lang w:eastAsia="zh-CN"/>
        </w:rPr>
        <w:t xml:space="preserve"> mice </w:t>
      </w:r>
      <w:r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were euthanized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with Isoflurane. </w:t>
      </w:r>
      <w:r>
        <w:rPr>
          <w:rFonts w:ascii="Arial" w:hAnsi="Arial" w:cs="Arial"/>
          <w:color w:val="000000" w:themeColor="text1"/>
          <w:sz w:val="22"/>
          <w:lang w:eastAsia="zh-CN"/>
        </w:rPr>
        <w:t>A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fter euthanasia, animals </w:t>
      </w:r>
      <w:r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were perfused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through the left ventricle</w:t>
      </w:r>
      <w:r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>with PBS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, brains </w:t>
      </w:r>
      <w:r w:rsidR="00F56675"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were harvested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>, and</w:t>
      </w:r>
      <w:r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tumor</w:t>
      </w:r>
      <w:r w:rsidR="005C6922"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-</w:t>
      </w:r>
      <w:r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bearing</w:t>
      </w:r>
      <w:r>
        <w:rPr>
          <w:rFonts w:ascii="Arial" w:hAnsi="Arial" w:cs="Arial"/>
          <w:color w:val="000000" w:themeColor="text1"/>
          <w:sz w:val="22"/>
          <w:lang w:eastAsia="zh-CN"/>
        </w:rPr>
        <w:t xml:space="preserve"> right hemispheres </w:t>
      </w:r>
      <w:r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were collected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. All tissues were cut into small 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>pieces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and placed in </w:t>
      </w:r>
      <w:r w:rsidR="00F56675" w:rsidRPr="00F56675">
        <w:rPr>
          <w:rFonts w:ascii="Arial" w:hAnsi="Arial" w:cs="Arial"/>
          <w:color w:val="000000" w:themeColor="text1"/>
          <w:sz w:val="22"/>
          <w:lang w:eastAsia="zh-CN"/>
        </w:rPr>
        <w:t>digestion solution containing 1.5mg/ml of Collagenase A (Roche) and 0.4mg/ml DNaseI (Roche) in HBSS plus 5% fetal bovine serum and 10mM HEPES.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Tissues were incubated at 37°C for 45 minutes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 with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gentle vortexing every 10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>-15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minutes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. 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>Upon completion of digestion, 25ml of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PBS </w:t>
      </w:r>
      <w:r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was added</w:t>
      </w:r>
      <w:r w:rsidR="005C6922"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,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Pr="005C6922">
        <w:rPr>
          <w:rFonts w:ascii="Arial" w:hAnsi="Arial" w:cs="Arial"/>
          <w:noProof/>
          <w:color w:val="000000" w:themeColor="text1"/>
          <w:sz w:val="22"/>
          <w:lang w:eastAsia="zh-CN"/>
        </w:rPr>
        <w:t>and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the samples were vortexed at maximal speed for 30 seconds. The resulting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cell suspensions </w:t>
      </w:r>
      <w:r w:rsidRPr="00264359">
        <w:rPr>
          <w:rFonts w:ascii="Arial" w:hAnsi="Arial" w:cs="Arial"/>
          <w:noProof/>
          <w:color w:val="000000" w:themeColor="text1"/>
          <w:sz w:val="22"/>
          <w:lang w:eastAsia="zh-CN"/>
        </w:rPr>
        <w:t>were strained</w:t>
      </w:r>
      <w:r w:rsidRPr="00201B31">
        <w:rPr>
          <w:rFonts w:ascii="Arial" w:hAnsi="Arial" w:cs="Arial"/>
          <w:color w:val="000000" w:themeColor="text1"/>
          <w:sz w:val="22"/>
          <w:lang w:eastAsia="zh-CN"/>
        </w:rPr>
        <w:t xml:space="preserve"> through a 70um cell strainer, pelleted, </w:t>
      </w:r>
      <w:r w:rsidR="00F56675" w:rsidRPr="00F56675">
        <w:rPr>
          <w:rFonts w:ascii="Arial" w:hAnsi="Arial" w:cs="Arial"/>
          <w:color w:val="000000" w:themeColor="text1"/>
          <w:sz w:val="22"/>
          <w:lang w:eastAsia="zh-CN"/>
        </w:rPr>
        <w:t>centrifuged through a continuous 30% Percoll gradient to remove myelin and other cell debris</w:t>
      </w:r>
      <w:r w:rsidR="00F56675">
        <w:rPr>
          <w:rFonts w:ascii="Arial" w:hAnsi="Arial" w:cs="Arial"/>
          <w:color w:val="000000" w:themeColor="text1"/>
          <w:sz w:val="22"/>
          <w:lang w:eastAsia="zh-CN"/>
        </w:rPr>
        <w:t xml:space="preserve">, and </w:t>
      </w:r>
      <w:r w:rsidR="003027A8">
        <w:rPr>
          <w:rFonts w:ascii="Arial" w:hAnsi="Arial" w:cs="Arial"/>
          <w:color w:val="000000" w:themeColor="text1"/>
          <w:sz w:val="22"/>
          <w:lang w:eastAsia="zh-CN"/>
        </w:rPr>
        <w:t>re-suspended</w:t>
      </w:r>
      <w:r w:rsidR="003027A8" w:rsidRPr="003027A8">
        <w:rPr>
          <w:rFonts w:ascii="Arial" w:hAnsi="Arial" w:cs="Arial"/>
          <w:color w:val="000000" w:themeColor="text1"/>
          <w:sz w:val="22"/>
          <w:lang w:eastAsia="zh-CN"/>
        </w:rPr>
        <w:t xml:space="preserve"> in PBS with 1%</w:t>
      </w:r>
      <w:r w:rsidR="003027A8">
        <w:rPr>
          <w:rFonts w:ascii="Arial" w:hAnsi="Arial" w:cs="Arial"/>
          <w:color w:val="000000" w:themeColor="text1"/>
          <w:sz w:val="22"/>
          <w:lang w:eastAsia="zh-CN"/>
        </w:rPr>
        <w:t xml:space="preserve"> </w:t>
      </w:r>
      <w:r w:rsidR="003027A8" w:rsidRPr="003027A8">
        <w:rPr>
          <w:rFonts w:ascii="Arial" w:hAnsi="Arial" w:cs="Arial"/>
          <w:color w:val="000000" w:themeColor="text1"/>
          <w:sz w:val="22"/>
          <w:lang w:eastAsia="zh-CN"/>
        </w:rPr>
        <w:t xml:space="preserve">BSA, and </w:t>
      </w:r>
      <w:r w:rsidR="003027A8">
        <w:rPr>
          <w:rFonts w:ascii="Arial" w:hAnsi="Arial" w:cs="Arial"/>
          <w:color w:val="000000" w:themeColor="text1"/>
          <w:sz w:val="22"/>
          <w:lang w:eastAsia="zh-CN"/>
        </w:rPr>
        <w:t>counted</w:t>
      </w:r>
      <w:r w:rsidR="003027A8" w:rsidRPr="003027A8">
        <w:rPr>
          <w:rFonts w:ascii="Arial" w:hAnsi="Arial" w:cs="Arial"/>
          <w:color w:val="000000" w:themeColor="text1"/>
          <w:sz w:val="22"/>
          <w:lang w:eastAsia="zh-CN"/>
        </w:rPr>
        <w:t xml:space="preserve"> with </w:t>
      </w:r>
      <w:r w:rsidR="003027A8">
        <w:rPr>
          <w:rFonts w:ascii="Arial" w:hAnsi="Arial" w:cs="Arial"/>
          <w:color w:val="000000" w:themeColor="text1"/>
          <w:sz w:val="22"/>
          <w:lang w:eastAsia="zh-CN"/>
        </w:rPr>
        <w:t>trypan blue</w:t>
      </w:r>
      <w:r w:rsidR="003027A8" w:rsidRPr="003027A8">
        <w:rPr>
          <w:rFonts w:ascii="Arial" w:hAnsi="Arial" w:cs="Arial"/>
          <w:color w:val="000000" w:themeColor="text1"/>
          <w:sz w:val="22"/>
          <w:lang w:eastAsia="zh-CN"/>
        </w:rPr>
        <w:t xml:space="preserve"> solution.</w:t>
      </w:r>
    </w:p>
    <w:p w14:paraId="7D0A4727" w14:textId="4EC3F3EE" w:rsidR="00201B31" w:rsidRPr="00201B31" w:rsidRDefault="00201B31" w:rsidP="00201B31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lang w:eastAsia="zh-CN"/>
        </w:rPr>
      </w:pPr>
    </w:p>
    <w:p w14:paraId="75284626" w14:textId="5CE4443D" w:rsidR="003027A8" w:rsidRDefault="003027A8" w:rsidP="00201B31">
      <w:pPr>
        <w:spacing w:line="480" w:lineRule="auto"/>
        <w:jc w:val="both"/>
        <w:rPr>
          <w:rFonts w:ascii="Arial" w:hAnsi="Arial" w:cs="Times New Roman"/>
          <w:sz w:val="22"/>
        </w:rPr>
      </w:pPr>
      <w:r w:rsidRPr="00201B31">
        <w:rPr>
          <w:rFonts w:ascii="Arial" w:hAnsi="Arial" w:cs="Times New Roman"/>
          <w:b/>
          <w:sz w:val="22"/>
        </w:rPr>
        <w:t>Flow cytometry:</w:t>
      </w:r>
      <w:r w:rsidRPr="00201B31">
        <w:rPr>
          <w:rFonts w:ascii="Arial" w:hAnsi="Arial" w:cs="Times New Roman"/>
          <w:sz w:val="22"/>
        </w:rPr>
        <w:t xml:space="preserve"> Flow cytometry analysis </w:t>
      </w:r>
      <w:r w:rsidRPr="00264359">
        <w:rPr>
          <w:rFonts w:ascii="Arial" w:hAnsi="Arial" w:cs="Times New Roman"/>
          <w:noProof/>
          <w:sz w:val="22"/>
        </w:rPr>
        <w:t>was performed</w:t>
      </w:r>
      <w:r w:rsidRPr="00201B31">
        <w:rPr>
          <w:rFonts w:ascii="Arial" w:hAnsi="Arial" w:cs="Times New Roman"/>
          <w:sz w:val="22"/>
        </w:rPr>
        <w:t xml:space="preserve"> with the D2C7 mAb. Briefly, 1×10</w:t>
      </w:r>
      <w:r w:rsidRPr="00201B31">
        <w:rPr>
          <w:rFonts w:ascii="Arial" w:hAnsi="Arial" w:cs="Times New Roman"/>
          <w:sz w:val="22"/>
          <w:vertAlign w:val="superscript"/>
        </w:rPr>
        <w:t>6</w:t>
      </w:r>
      <w:r w:rsidRPr="00201B31">
        <w:rPr>
          <w:rFonts w:ascii="Arial" w:hAnsi="Arial" w:cs="Times New Roman"/>
          <w:sz w:val="22"/>
        </w:rPr>
        <w:t xml:space="preserve"> cells (CT-2A-dmEGFRvIII-Luc and SMA560-dmEGFRvIII-Luc) were suspended in 500 </w:t>
      </w:r>
      <w:r w:rsidRPr="00201B31">
        <w:rPr>
          <w:rFonts w:ascii="Arial" w:hAnsi="Arial" w:cs="Arial"/>
          <w:sz w:val="22"/>
        </w:rPr>
        <w:t>µ</w:t>
      </w:r>
      <w:r w:rsidRPr="00201B31">
        <w:rPr>
          <w:rFonts w:ascii="Arial" w:hAnsi="Arial" w:cs="Times New Roman"/>
          <w:sz w:val="22"/>
        </w:rPr>
        <w:t>L of phosphate-buffered saline pH 7.4 (PBS) (</w:t>
      </w:r>
      <w:r w:rsidR="00651BCA" w:rsidRPr="00F73F91">
        <w:rPr>
          <w:rFonts w:ascii="Arial" w:hAnsi="Arial" w:cs="Arial"/>
          <w:sz w:val="22"/>
          <w:szCs w:val="22"/>
          <w:lang w:eastAsia="zh-CN"/>
        </w:rPr>
        <w:t>Thermo Fisher Scientifi</w:t>
      </w:r>
      <w:r w:rsidRPr="00201B31">
        <w:rPr>
          <w:rFonts w:ascii="Arial" w:hAnsi="Arial" w:cs="Times New Roman"/>
          <w:sz w:val="22"/>
        </w:rPr>
        <w:t>) containing 5% FBS (</w:t>
      </w:r>
      <w:r w:rsidR="00651BCA" w:rsidRPr="00F73F91">
        <w:rPr>
          <w:rFonts w:ascii="Arial" w:hAnsi="Arial" w:cs="Arial"/>
          <w:sz w:val="22"/>
          <w:szCs w:val="22"/>
          <w:lang w:eastAsia="zh-CN"/>
        </w:rPr>
        <w:t>Thermo Fisher Scientifi</w:t>
      </w:r>
      <w:r w:rsidRPr="00201B31">
        <w:rPr>
          <w:rFonts w:ascii="Arial" w:hAnsi="Arial" w:cs="Times New Roman"/>
          <w:sz w:val="22"/>
        </w:rPr>
        <w:t>) (5% FBS/PBS). The IgG1-AF488</w:t>
      </w:r>
      <w:r w:rsidR="0075481C">
        <w:rPr>
          <w:rFonts w:ascii="Arial" w:hAnsi="Arial" w:cs="Times New Roman"/>
          <w:sz w:val="22"/>
        </w:rPr>
        <w:t>/-APC</w:t>
      </w:r>
      <w:r w:rsidRPr="00201B31">
        <w:rPr>
          <w:rFonts w:ascii="Arial" w:hAnsi="Arial" w:cs="Times New Roman"/>
          <w:sz w:val="22"/>
        </w:rPr>
        <w:t xml:space="preserve"> or D2C7-AF488</w:t>
      </w:r>
      <w:r w:rsidR="0075481C">
        <w:rPr>
          <w:rFonts w:ascii="Arial" w:hAnsi="Arial" w:cs="Times New Roman"/>
          <w:sz w:val="22"/>
        </w:rPr>
        <w:t>/-APC</w:t>
      </w:r>
      <w:r w:rsidRPr="00201B31">
        <w:rPr>
          <w:rFonts w:ascii="Arial" w:hAnsi="Arial" w:cs="Times New Roman"/>
          <w:sz w:val="22"/>
        </w:rPr>
        <w:t xml:space="preserve"> </w:t>
      </w:r>
      <w:r w:rsidRPr="00264359">
        <w:rPr>
          <w:rFonts w:ascii="Arial" w:hAnsi="Arial" w:cs="Times New Roman"/>
          <w:noProof/>
          <w:sz w:val="22"/>
        </w:rPr>
        <w:t>was added</w:t>
      </w:r>
      <w:r w:rsidRPr="00201B31">
        <w:rPr>
          <w:rFonts w:ascii="Arial" w:hAnsi="Arial" w:cs="Times New Roman"/>
          <w:sz w:val="22"/>
        </w:rPr>
        <w:t xml:space="preserve"> to the cells at a concentration of 5 </w:t>
      </w:r>
      <w:r w:rsidRPr="00201B31">
        <w:rPr>
          <w:rFonts w:ascii="Arial" w:hAnsi="Arial" w:cs="Arial"/>
          <w:sz w:val="22"/>
        </w:rPr>
        <w:t>µ</w:t>
      </w:r>
      <w:r w:rsidRPr="00201B31">
        <w:rPr>
          <w:rFonts w:ascii="Arial" w:hAnsi="Arial" w:cs="Times New Roman"/>
          <w:sz w:val="22"/>
        </w:rPr>
        <w:t xml:space="preserve">g/mL, and the samples </w:t>
      </w:r>
      <w:r w:rsidRPr="00264359">
        <w:rPr>
          <w:rFonts w:ascii="Arial" w:hAnsi="Arial" w:cs="Times New Roman"/>
          <w:noProof/>
          <w:sz w:val="22"/>
        </w:rPr>
        <w:t>were incubated</w:t>
      </w:r>
      <w:r w:rsidRPr="00201B31">
        <w:rPr>
          <w:rFonts w:ascii="Arial" w:hAnsi="Arial" w:cs="Times New Roman"/>
          <w:sz w:val="22"/>
        </w:rPr>
        <w:t xml:space="preserve"> for 40 min at 4ºC. Stained </w:t>
      </w:r>
      <w:r w:rsidRPr="00201B31">
        <w:rPr>
          <w:rFonts w:ascii="Arial" w:hAnsi="Arial" w:cs="Times New Roman"/>
          <w:sz w:val="22"/>
        </w:rPr>
        <w:lastRenderedPageBreak/>
        <w:t xml:space="preserve">cells </w:t>
      </w:r>
      <w:r w:rsidRPr="00264359">
        <w:rPr>
          <w:rFonts w:ascii="Arial" w:hAnsi="Arial" w:cs="Times New Roman"/>
          <w:noProof/>
          <w:sz w:val="22"/>
        </w:rPr>
        <w:t>were analyzed</w:t>
      </w:r>
      <w:r w:rsidRPr="00201B31">
        <w:rPr>
          <w:rFonts w:ascii="Arial" w:hAnsi="Arial" w:cs="Times New Roman"/>
          <w:sz w:val="22"/>
        </w:rPr>
        <w:t xml:space="preserve"> on a BD FACSCalibur instrument equipped with CellQuest software (BD Biosciences).</w:t>
      </w:r>
    </w:p>
    <w:p w14:paraId="25A86B7B" w14:textId="0BD2C60B" w:rsidR="003027A8" w:rsidRDefault="003027A8" w:rsidP="00201B31">
      <w:pPr>
        <w:spacing w:line="480" w:lineRule="auto"/>
        <w:jc w:val="both"/>
        <w:rPr>
          <w:rFonts w:ascii="Arial" w:hAnsi="Arial" w:cs="Times New Roman"/>
          <w:sz w:val="22"/>
        </w:rPr>
      </w:pPr>
    </w:p>
    <w:p w14:paraId="26DCC48D" w14:textId="7F045106" w:rsidR="00FD3698" w:rsidRPr="00FD3698" w:rsidRDefault="003027A8" w:rsidP="004A51A6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  <w:r w:rsidRPr="00F73F91">
        <w:rPr>
          <w:rFonts w:ascii="Arial" w:hAnsi="Arial" w:cs="Arial"/>
          <w:sz w:val="22"/>
          <w:szCs w:val="22"/>
          <w:lang w:eastAsia="zh-CN"/>
        </w:rPr>
        <w:t>Tumor cells and total leukocytes isolate</w:t>
      </w:r>
      <w:r w:rsidR="00264359">
        <w:rPr>
          <w:rFonts w:ascii="Arial" w:hAnsi="Arial" w:cs="Arial"/>
          <w:sz w:val="22"/>
          <w:szCs w:val="22"/>
          <w:lang w:eastAsia="zh-CN"/>
        </w:rPr>
        <w:t xml:space="preserve">d from tumor </w:t>
      </w:r>
      <w:r w:rsidR="00264359" w:rsidRPr="00264359">
        <w:rPr>
          <w:rFonts w:ascii="Arial" w:hAnsi="Arial" w:cs="Arial"/>
          <w:noProof/>
          <w:sz w:val="22"/>
          <w:szCs w:val="22"/>
          <w:lang w:eastAsia="zh-CN"/>
        </w:rPr>
        <w:t>hemisph</w:t>
      </w:r>
      <w:r w:rsidRPr="00264359">
        <w:rPr>
          <w:rFonts w:ascii="Arial" w:hAnsi="Arial" w:cs="Arial"/>
          <w:noProof/>
          <w:sz w:val="22"/>
          <w:szCs w:val="22"/>
          <w:lang w:eastAsia="zh-CN"/>
        </w:rPr>
        <w:t>ere</w:t>
      </w:r>
      <w:r w:rsidR="00264359">
        <w:rPr>
          <w:rFonts w:ascii="Arial" w:hAnsi="Arial" w:cs="Arial"/>
          <w:noProof/>
          <w:sz w:val="22"/>
          <w:szCs w:val="22"/>
          <w:lang w:eastAsia="zh-CN"/>
        </w:rPr>
        <w:t>s were</w:t>
      </w:r>
      <w:r w:rsidRPr="00F73F91">
        <w:rPr>
          <w:rFonts w:ascii="Arial" w:hAnsi="Arial" w:cs="Arial"/>
          <w:sz w:val="22"/>
          <w:szCs w:val="22"/>
          <w:lang w:eastAsia="zh-CN"/>
        </w:rPr>
        <w:t xml:space="preserve"> stained as described previously </w:t>
      </w:r>
      <w:r w:rsidRPr="00F73F91">
        <w:rPr>
          <w:rFonts w:ascii="Arial" w:hAnsi="Arial" w:cs="Arial"/>
          <w:sz w:val="22"/>
          <w:szCs w:val="22"/>
          <w:lang w:eastAsia="zh-CN"/>
        </w:rPr>
        <w:fldChar w:fldCharType="begin">
          <w:fldData xml:space="preserve">PEVuZE5vdGU+PENpdGU+PEF1dGhvcj5ZdTwvQXV0aG9yPjxZZWFyPjIwMTY8L1llYXI+PFJlY051
bT40MjwvUmVjTnVtPjxEaXNwbGF5VGV4dD4oMik8L0Rpc3BsYXlUZXh0PjxyZWNvcmQ+PHJlYy1u
dW1iZXI+NDI8L3JlYy1udW1iZXI+PGZvcmVpZ24ta2V5cz48a2V5IGFwcD0iRU4iIGRiLWlkPSJy
c2Z0ZTVzdHVzc2E5ZmVmdHh6NWVhcDR0c3Z0ZHo1ZmRkZnAiIHRpbWVzdGFtcD0iMTUzMTUxMzQw
NyI+NDI8L2tleT48L2ZvcmVpZ24ta2V5cz48cmVmLXR5cGUgbmFtZT0iSm91cm5hbCBBcnRpY2xl
Ij4xNzwvcmVmLXR5cGU+PGNvbnRyaWJ1dG9ycz48YXV0aG9ycz48YXV0aG9yPll1LCBZLiBSLjwv
YXV0aG9yPjxhdXRob3I+TyZhcG9zO0tvcmVuLCBFLiBHLjwvYXV0aG9yPjxhdXRob3I+SG90dGVu
LCBELiBGLjwvYXV0aG9yPjxhdXRob3I+S2FuLCBNLiBKLjwvYXV0aG9yPjxhdXRob3I+S29waW4s
IEQuPC9hdXRob3I+PGF1dGhvcj5OZWxzb24sIEUuIFIuPC9hdXRob3I+PGF1dGhvcj5RdWUsIEwu
PC9hdXRob3I+PGF1dGhvcj5HdW5uLCBNLiBELjwvYXV0aG9yPjwvYXV0aG9ycz48L2NvbnRyaWJ1
dG9ycz48YXV0aC1hZGRyZXNzPkRlcGFydG1lbnQgb2YgTWVkaWNpbmUsIERpdmlzaW9uIG9mIFB1
bG1vbmFyeSBhbmQgQ3JpdGljYWwgQ2FyZSBNZWRpY2luZSwgRHVrZSBVbml2ZXJzaXR5IE1lZGlj
YWwgQ2VudGVyLCBEdXJoYW0sIE5vcnRoIENhcm9saW5hLCBVbml0ZWQgU3RhdGVzIG9mIEFtZXJp
Y2EuJiN4RDtEZXBhcnRtZW50IG9mIEltbXVub2xvZ3ksIER1a2UgVW5pdmVyc2l0eSBNZWRpY2Fs
IENlbnRlciwgRHVyaGFtLCBOb3J0aCBDYXJvbGluYSwgVW5pdGVkIFN0YXRlcyBvZiBBbWVyaWNh
LiYjeEQ7RGVwYXJ0bWVudCBvZiBNZWRpY2luZSwgRGl2aXNpb24gb2YgQ2FyZGlvbG9neSwgRHVr
ZSBVbml2ZXJzaXR5IE1lZGljYWwgQ2VudGVyLCBEdXJoYW0sIE5vcnRoIENhcm9saW5hLCBVbml0
ZWQgU3RhdGVzIG9mIEFtZXJpY2EuJiN4RDtTY2hvb2wgb2YgTWVkaWNpbmUsIER1a2UgVW5pdmVy
c2l0eSBNZWRpY2FsIENlbnRlciwgRHVyaGFtLCBOb3J0aCBDYXJvbGluYSwgVW5pdGVkIFN0YXRl
cyBvZiBBbWVyaWNhLiYjeEQ7RGVwYXJ0bWVudCBvZiBNb2xlY3VsYXIgJmFtcDsgSW50ZWdyYXRp
dmUgUGh5c2lvbG9neSwgVW5pdmVyc2l0eSBvZiBJbGxpbm9pcywgQ2hhbXBhaWduLCBJbGxpbm9p
cywgVW5pdGVkIFN0YXRlcyBvZiBBbWVyaWNhLjwvYXV0aC1hZGRyZXNzPjx0aXRsZXM+PHRpdGxl
PkEgUHJvdG9jb2wgZm9yIHRoZSBDb21wcmVoZW5zaXZlIEZsb3cgQ3l0b21ldHJpYyBBbmFseXNp
cyBvZiBJbW11bmUgQ2VsbHMgaW4gTm9ybWFsIGFuZCBJbmZsYW1lZCBNdXJpbmUgTm9uLUx5bXBo
b2lkIFRpc3N1ZXM8L3RpdGxlPjxzZWNvbmRhcnktdGl0bGU+UExvUyBPbmU8L3NlY29uZGFyeS10
aXRsZT48L3RpdGxlcz48cGVyaW9kaWNhbD48ZnVsbC10aXRsZT5QTG9TIE9uZTwvZnVsbC10aXRs
ZT48L3BlcmlvZGljYWw+PHBhZ2VzPmUwMTUwNjA2PC9wYWdlcz48dm9sdW1lPjExPC92b2x1bWU+
PG51bWJlcj4zPC9udW1iZXI+PGVkaXRpb24+MjAxNi8wMy8wNTwvZWRpdGlvbj48a2V5d29yZHM+
PGtleXdvcmQ+QW5pbWFsczwva2V5d29yZD48a2V5d29yZD5CLUx5bXBob2N5dGVzL2ltbXVub2xv
Z3kvcGF0aG9sb2d5PC9rZXl3b3JkPjxrZXl3b3JkPkJhc29waGlscy9pbW11bm9sb2d5L3BhdGhv
bG9neTwva2V5d29yZD48a2V5d29yZD5DZWxsIFNlcGFyYXRpb24vKm1ldGhvZHM8L2tleXdvcmQ+
PGtleXdvcmQ+RGVuZHJpdGljIENlbGxzL2ltbXVub2xvZ3kvcGF0aG9sb2d5PC9rZXl3b3JkPjxr
ZXl3b3JkPkVvc2lub3BoaWxzL2ltbXVub2xvZ3kvcGF0aG9sb2d5PC9rZXl3b3JkPjxrZXl3b3Jk
PkZsb3cgQ3l0b21ldHJ5LyptZXRob2RzPC9rZXl3b3JkPjxrZXl3b3JkPkluZmxhbW1hdGlvbi8q
aW1tdW5vbG9neS9wYXRob2xvZ3k8L2tleXdvcmQ+PGtleXdvcmQ+S2lsbGVyIENlbGxzLCBOYXR1
cmFsL2ltbXVub2xvZ3kvcGF0aG9sb2d5PC9rZXl3b3JkPjxrZXl3b3JkPk1hY3JvcGhhZ2VzL2lt
bXVub2xvZ3kvcGF0aG9sb2d5PC9rZXl3b3JkPjxrZXl3b3JkPk1hc3QgQ2VsbHMvaW1tdW5vbG9n
eS9wYXRob2xvZ3k8L2tleXdvcmQ+PGtleXdvcmQ+TWljZTwva2V5d29yZD48a2V5d29yZD5OZXV0
cm9waGlscy9pbW11bm9sb2d5L3BhdGhvbG9neTwva2V5d29yZD48a2V5d29yZD5ULUx5bXBob2N5
dGVzL2ltbXVub2xvZ3kvcGF0aG9sb2d5PC9rZXl3b3JkPjwva2V5d29yZHM+PGRhdGVzPjx5ZWFy
PjIwMTY8L3llYXI+PC9kYXRlcz48aXNibj4xOTMyLTYyMDMgKEVsZWN0cm9uaWMpJiN4RDsxOTMy
LTYyMDMgKExpbmtpbmcpPC9pc2JuPjxhY2Nlc3Npb24tbnVtPjI2OTM4NjU0PC9hY2Nlc3Npb24t
bnVtPjx1cmxzPjxyZWxhdGVkLXVybHM+PHVybD5odHRwczovL3d3dy5uY2JpLm5sbS5uaWguZ292
L3B1Ym1lZC8yNjkzODY1NDwvdXJsPjwvcmVsYXRlZC11cmxzPjwvdXJscz48Y3VzdG9tMj5QTUM0
Nzc3NTM5PC9jdXN0b20yPjxlbGVjdHJvbmljLXJlc291cmNlLW51bT4xMC4xMzcxL2pvdXJuYWwu
cG9uZS4wMTUwNjA2PC9lbGVjdHJvbmljLXJlc291cmNlLW51bT48L3JlY29yZD48L0NpdGU+PC9F
bmROb3RlPgB=
</w:fldData>
        </w:fldChar>
      </w:r>
      <w:r w:rsidR="002C74A7">
        <w:rPr>
          <w:rFonts w:ascii="Arial" w:hAnsi="Arial" w:cs="Arial"/>
          <w:sz w:val="22"/>
          <w:szCs w:val="22"/>
          <w:lang w:eastAsia="zh-CN"/>
        </w:rPr>
        <w:instrText xml:space="preserve"> ADDIN EN.CITE </w:instrText>
      </w:r>
      <w:r w:rsidR="002C74A7">
        <w:rPr>
          <w:rFonts w:ascii="Arial" w:hAnsi="Arial" w:cs="Arial"/>
          <w:sz w:val="22"/>
          <w:szCs w:val="22"/>
          <w:lang w:eastAsia="zh-CN"/>
        </w:rPr>
        <w:fldChar w:fldCharType="begin">
          <w:fldData xml:space="preserve">PEVuZE5vdGU+PENpdGU+PEF1dGhvcj5ZdTwvQXV0aG9yPjxZZWFyPjIwMTY8L1llYXI+PFJlY051
bT40MjwvUmVjTnVtPjxEaXNwbGF5VGV4dD4oMik8L0Rpc3BsYXlUZXh0PjxyZWNvcmQ+PHJlYy1u
dW1iZXI+NDI8L3JlYy1udW1iZXI+PGZvcmVpZ24ta2V5cz48a2V5IGFwcD0iRU4iIGRiLWlkPSJy
c2Z0ZTVzdHVzc2E5ZmVmdHh6NWVhcDR0c3Z0ZHo1ZmRkZnAiIHRpbWVzdGFtcD0iMTUzMTUxMzQw
NyI+NDI8L2tleT48L2ZvcmVpZ24ta2V5cz48cmVmLXR5cGUgbmFtZT0iSm91cm5hbCBBcnRpY2xl
Ij4xNzwvcmVmLXR5cGU+PGNvbnRyaWJ1dG9ycz48YXV0aG9ycz48YXV0aG9yPll1LCBZLiBSLjwv
YXV0aG9yPjxhdXRob3I+TyZhcG9zO0tvcmVuLCBFLiBHLjwvYXV0aG9yPjxhdXRob3I+SG90dGVu
LCBELiBGLjwvYXV0aG9yPjxhdXRob3I+S2FuLCBNLiBKLjwvYXV0aG9yPjxhdXRob3I+S29waW4s
IEQuPC9hdXRob3I+PGF1dGhvcj5OZWxzb24sIEUuIFIuPC9hdXRob3I+PGF1dGhvcj5RdWUsIEwu
PC9hdXRob3I+PGF1dGhvcj5HdW5uLCBNLiBELjwvYXV0aG9yPjwvYXV0aG9ycz48L2NvbnRyaWJ1
dG9ycz48YXV0aC1hZGRyZXNzPkRlcGFydG1lbnQgb2YgTWVkaWNpbmUsIERpdmlzaW9uIG9mIFB1
bG1vbmFyeSBhbmQgQ3JpdGljYWwgQ2FyZSBNZWRpY2luZSwgRHVrZSBVbml2ZXJzaXR5IE1lZGlj
YWwgQ2VudGVyLCBEdXJoYW0sIE5vcnRoIENhcm9saW5hLCBVbml0ZWQgU3RhdGVzIG9mIEFtZXJp
Y2EuJiN4RDtEZXBhcnRtZW50IG9mIEltbXVub2xvZ3ksIER1a2UgVW5pdmVyc2l0eSBNZWRpY2Fs
IENlbnRlciwgRHVyaGFtLCBOb3J0aCBDYXJvbGluYSwgVW5pdGVkIFN0YXRlcyBvZiBBbWVyaWNh
LiYjeEQ7RGVwYXJ0bWVudCBvZiBNZWRpY2luZSwgRGl2aXNpb24gb2YgQ2FyZGlvbG9neSwgRHVr
ZSBVbml2ZXJzaXR5IE1lZGljYWwgQ2VudGVyLCBEdXJoYW0sIE5vcnRoIENhcm9saW5hLCBVbml0
ZWQgU3RhdGVzIG9mIEFtZXJpY2EuJiN4RDtTY2hvb2wgb2YgTWVkaWNpbmUsIER1a2UgVW5pdmVy
c2l0eSBNZWRpY2FsIENlbnRlciwgRHVyaGFtLCBOb3J0aCBDYXJvbGluYSwgVW5pdGVkIFN0YXRl
cyBvZiBBbWVyaWNhLiYjeEQ7RGVwYXJ0bWVudCBvZiBNb2xlY3VsYXIgJmFtcDsgSW50ZWdyYXRp
dmUgUGh5c2lvbG9neSwgVW5pdmVyc2l0eSBvZiBJbGxpbm9pcywgQ2hhbXBhaWduLCBJbGxpbm9p
cywgVW5pdGVkIFN0YXRlcyBvZiBBbWVyaWNhLjwvYXV0aC1hZGRyZXNzPjx0aXRsZXM+PHRpdGxl
PkEgUHJvdG9jb2wgZm9yIHRoZSBDb21wcmVoZW5zaXZlIEZsb3cgQ3l0b21ldHJpYyBBbmFseXNp
cyBvZiBJbW11bmUgQ2VsbHMgaW4gTm9ybWFsIGFuZCBJbmZsYW1lZCBNdXJpbmUgTm9uLUx5bXBo
b2lkIFRpc3N1ZXM8L3RpdGxlPjxzZWNvbmRhcnktdGl0bGU+UExvUyBPbmU8L3NlY29uZGFyeS10
aXRsZT48L3RpdGxlcz48cGVyaW9kaWNhbD48ZnVsbC10aXRsZT5QTG9TIE9uZTwvZnVsbC10aXRs
ZT48L3BlcmlvZGljYWw+PHBhZ2VzPmUwMTUwNjA2PC9wYWdlcz48dm9sdW1lPjExPC92b2x1bWU+
PG51bWJlcj4zPC9udW1iZXI+PGVkaXRpb24+MjAxNi8wMy8wNTwvZWRpdGlvbj48a2V5d29yZHM+
PGtleXdvcmQ+QW5pbWFsczwva2V5d29yZD48a2V5d29yZD5CLUx5bXBob2N5dGVzL2ltbXVub2xv
Z3kvcGF0aG9sb2d5PC9rZXl3b3JkPjxrZXl3b3JkPkJhc29waGlscy9pbW11bm9sb2d5L3BhdGhv
bG9neTwva2V5d29yZD48a2V5d29yZD5DZWxsIFNlcGFyYXRpb24vKm1ldGhvZHM8L2tleXdvcmQ+
PGtleXdvcmQ+RGVuZHJpdGljIENlbGxzL2ltbXVub2xvZ3kvcGF0aG9sb2d5PC9rZXl3b3JkPjxr
ZXl3b3JkPkVvc2lub3BoaWxzL2ltbXVub2xvZ3kvcGF0aG9sb2d5PC9rZXl3b3JkPjxrZXl3b3Jk
PkZsb3cgQ3l0b21ldHJ5LyptZXRob2RzPC9rZXl3b3JkPjxrZXl3b3JkPkluZmxhbW1hdGlvbi8q
aW1tdW5vbG9neS9wYXRob2xvZ3k8L2tleXdvcmQ+PGtleXdvcmQ+S2lsbGVyIENlbGxzLCBOYXR1
cmFsL2ltbXVub2xvZ3kvcGF0aG9sb2d5PC9rZXl3b3JkPjxrZXl3b3JkPk1hY3JvcGhhZ2VzL2lt
bXVub2xvZ3kvcGF0aG9sb2d5PC9rZXl3b3JkPjxrZXl3b3JkPk1hc3QgQ2VsbHMvaW1tdW5vbG9n
eS9wYXRob2xvZ3k8L2tleXdvcmQ+PGtleXdvcmQ+TWljZTwva2V5d29yZD48a2V5d29yZD5OZXV0
cm9waGlscy9pbW11bm9sb2d5L3BhdGhvbG9neTwva2V5d29yZD48a2V5d29yZD5ULUx5bXBob2N5
dGVzL2ltbXVub2xvZ3kvcGF0aG9sb2d5PC9rZXl3b3JkPjwva2V5d29yZHM+PGRhdGVzPjx5ZWFy
PjIwMTY8L3llYXI+PC9kYXRlcz48aXNibj4xOTMyLTYyMDMgKEVsZWN0cm9uaWMpJiN4RDsxOTMy
LTYyMDMgKExpbmtpbmcpPC9pc2JuPjxhY2Nlc3Npb24tbnVtPjI2OTM4NjU0PC9hY2Nlc3Npb24t
bnVtPjx1cmxzPjxyZWxhdGVkLXVybHM+PHVybD5odHRwczovL3d3dy5uY2JpLm5sbS5uaWguZ292
L3B1Ym1lZC8yNjkzODY1NDwvdXJsPjwvcmVsYXRlZC11cmxzPjwvdXJscz48Y3VzdG9tMj5QTUM0
Nzc3NTM5PC9jdXN0b20yPjxlbGVjdHJvbmljLXJlc291cmNlLW51bT4xMC4xMzcxL2pvdXJuYWwu
cG9uZS4wMTUwNjA2PC9lbGVjdHJvbmljLXJlc291cmNlLW51bT48L3JlY29yZD48L0NpdGU+PC9F
bmROb3RlPgB=
</w:fldData>
        </w:fldChar>
      </w:r>
      <w:r w:rsidR="002C74A7">
        <w:rPr>
          <w:rFonts w:ascii="Arial" w:hAnsi="Arial" w:cs="Arial"/>
          <w:sz w:val="22"/>
          <w:szCs w:val="22"/>
          <w:lang w:eastAsia="zh-CN"/>
        </w:rPr>
        <w:instrText xml:space="preserve"> ADDIN EN.CITE.DATA </w:instrText>
      </w:r>
      <w:r w:rsidR="002C74A7">
        <w:rPr>
          <w:rFonts w:ascii="Arial" w:hAnsi="Arial" w:cs="Arial"/>
          <w:sz w:val="22"/>
          <w:szCs w:val="22"/>
          <w:lang w:eastAsia="zh-CN"/>
        </w:rPr>
      </w:r>
      <w:r w:rsidR="002C74A7">
        <w:rPr>
          <w:rFonts w:ascii="Arial" w:hAnsi="Arial" w:cs="Arial"/>
          <w:sz w:val="22"/>
          <w:szCs w:val="22"/>
          <w:lang w:eastAsia="zh-CN"/>
        </w:rPr>
        <w:fldChar w:fldCharType="end"/>
      </w:r>
      <w:r w:rsidRPr="00F73F91">
        <w:rPr>
          <w:rFonts w:ascii="Arial" w:hAnsi="Arial" w:cs="Arial"/>
          <w:sz w:val="22"/>
          <w:szCs w:val="22"/>
          <w:lang w:eastAsia="zh-CN"/>
        </w:rPr>
      </w:r>
      <w:r w:rsidRPr="00F73F91">
        <w:rPr>
          <w:rFonts w:ascii="Arial" w:hAnsi="Arial" w:cs="Arial"/>
          <w:sz w:val="22"/>
          <w:szCs w:val="22"/>
          <w:lang w:eastAsia="zh-CN"/>
        </w:rPr>
        <w:fldChar w:fldCharType="separate"/>
      </w:r>
      <w:r w:rsidR="002C74A7">
        <w:rPr>
          <w:rFonts w:ascii="Arial" w:hAnsi="Arial" w:cs="Arial"/>
          <w:noProof/>
          <w:sz w:val="22"/>
          <w:szCs w:val="22"/>
          <w:lang w:eastAsia="zh-CN"/>
        </w:rPr>
        <w:t>(2)</w:t>
      </w:r>
      <w:r w:rsidRPr="00F73F91">
        <w:rPr>
          <w:rFonts w:ascii="Arial" w:hAnsi="Arial" w:cs="Arial"/>
          <w:sz w:val="22"/>
          <w:szCs w:val="22"/>
          <w:lang w:eastAsia="zh-CN"/>
        </w:rPr>
        <w:fldChar w:fldCharType="end"/>
      </w:r>
      <w:r w:rsidRPr="00F73F91">
        <w:rPr>
          <w:rFonts w:ascii="Arial" w:hAnsi="Arial" w:cs="Arial"/>
          <w:sz w:val="22"/>
          <w:szCs w:val="22"/>
          <w:lang w:eastAsia="zh-CN"/>
        </w:rPr>
        <w:t xml:space="preserve">. </w:t>
      </w:r>
      <w:r w:rsidR="00A940C6" w:rsidRPr="00F73F91">
        <w:rPr>
          <w:rFonts w:ascii="Arial" w:hAnsi="Arial" w:cs="Arial"/>
          <w:sz w:val="22"/>
          <w:szCs w:val="22"/>
        </w:rPr>
        <w:t>Antibodies used for staining are as follows: CD45</w:t>
      </w:r>
      <w:r w:rsidR="00F73F91" w:rsidRPr="00F73F91">
        <w:rPr>
          <w:rFonts w:ascii="Arial" w:hAnsi="Arial" w:cs="Arial"/>
          <w:sz w:val="22"/>
          <w:szCs w:val="22"/>
        </w:rPr>
        <w:t xml:space="preserve"> (Biolegend)</w:t>
      </w:r>
      <w:r w:rsidR="00A940C6" w:rsidRPr="00F73F91">
        <w:rPr>
          <w:rFonts w:ascii="Arial" w:hAnsi="Arial" w:cs="Arial"/>
          <w:sz w:val="22"/>
          <w:szCs w:val="22"/>
        </w:rPr>
        <w:t>, CD31</w:t>
      </w:r>
      <w:r w:rsidR="00F179CB" w:rsidRPr="00F73F91">
        <w:rPr>
          <w:rFonts w:ascii="Arial" w:hAnsi="Arial" w:cs="Arial"/>
          <w:sz w:val="22"/>
          <w:szCs w:val="22"/>
        </w:rPr>
        <w:t xml:space="preserve"> (BD Bioscience)</w:t>
      </w:r>
      <w:r w:rsidR="00A940C6" w:rsidRPr="00F73F91">
        <w:rPr>
          <w:rFonts w:ascii="Arial" w:hAnsi="Arial" w:cs="Arial"/>
          <w:sz w:val="22"/>
          <w:szCs w:val="22"/>
        </w:rPr>
        <w:t>, CD11b</w:t>
      </w:r>
      <w:r w:rsidR="00F73F91" w:rsidRPr="00F73F91">
        <w:rPr>
          <w:rFonts w:ascii="Arial" w:hAnsi="Arial" w:cs="Arial"/>
          <w:sz w:val="22"/>
          <w:szCs w:val="22"/>
        </w:rPr>
        <w:t xml:space="preserve"> (BD Bioscience)</w:t>
      </w:r>
      <w:r w:rsidR="00A940C6" w:rsidRPr="00F73F91">
        <w:rPr>
          <w:rFonts w:ascii="Arial" w:hAnsi="Arial" w:cs="Arial"/>
          <w:sz w:val="22"/>
          <w:szCs w:val="22"/>
        </w:rPr>
        <w:t>, CD11c</w:t>
      </w:r>
      <w:r w:rsidR="00F73F91" w:rsidRPr="00F73F91">
        <w:rPr>
          <w:rFonts w:ascii="Arial" w:hAnsi="Arial" w:cs="Arial"/>
          <w:sz w:val="22"/>
          <w:szCs w:val="22"/>
        </w:rPr>
        <w:t xml:space="preserve"> (BD Bioscience)</w:t>
      </w:r>
      <w:r w:rsidR="00A940C6" w:rsidRPr="00F73F91">
        <w:rPr>
          <w:rFonts w:ascii="Arial" w:hAnsi="Arial" w:cs="Arial"/>
          <w:sz w:val="22"/>
          <w:szCs w:val="22"/>
        </w:rPr>
        <w:t>,</w:t>
      </w:r>
      <w:r w:rsidR="00F73F91" w:rsidRPr="00F73F91">
        <w:rPr>
          <w:rFonts w:ascii="Arial" w:hAnsi="Arial" w:cs="Arial"/>
          <w:sz w:val="22"/>
          <w:szCs w:val="22"/>
        </w:rPr>
        <w:t xml:space="preserve"> </w:t>
      </w:r>
      <w:r w:rsidR="00A940C6" w:rsidRPr="00F73F91">
        <w:rPr>
          <w:rFonts w:ascii="Arial" w:hAnsi="Arial" w:cs="Arial"/>
          <w:sz w:val="22"/>
          <w:szCs w:val="22"/>
        </w:rPr>
        <w:t>CD3</w:t>
      </w:r>
      <w:r w:rsidR="00F73F91">
        <w:rPr>
          <w:rFonts w:ascii="Arial" w:hAnsi="Arial" w:cs="Arial"/>
          <w:sz w:val="22"/>
          <w:szCs w:val="22"/>
        </w:rPr>
        <w:t xml:space="preserve"> </w:t>
      </w:r>
      <w:r w:rsidR="00F73F91" w:rsidRPr="00F73F91">
        <w:rPr>
          <w:rFonts w:ascii="Arial" w:hAnsi="Arial" w:cs="Arial"/>
          <w:sz w:val="22"/>
          <w:szCs w:val="22"/>
        </w:rPr>
        <w:t>(Biolegend)</w:t>
      </w:r>
      <w:r w:rsidR="00A940C6" w:rsidRPr="00F73F91">
        <w:rPr>
          <w:rFonts w:ascii="Arial" w:hAnsi="Arial" w:cs="Arial"/>
          <w:sz w:val="22"/>
          <w:szCs w:val="22"/>
        </w:rPr>
        <w:t>, CD4</w:t>
      </w:r>
      <w:r w:rsidR="00F73F91">
        <w:rPr>
          <w:rFonts w:ascii="Arial" w:hAnsi="Arial" w:cs="Arial"/>
          <w:sz w:val="22"/>
          <w:szCs w:val="22"/>
        </w:rPr>
        <w:t xml:space="preserve"> </w:t>
      </w:r>
      <w:r w:rsidR="00F73F91" w:rsidRPr="00F73F91">
        <w:rPr>
          <w:rFonts w:ascii="Arial" w:hAnsi="Arial" w:cs="Arial"/>
          <w:sz w:val="22"/>
          <w:szCs w:val="22"/>
        </w:rPr>
        <w:t>(Biolegend)</w:t>
      </w:r>
      <w:r w:rsidR="00A940C6" w:rsidRPr="00F73F91">
        <w:rPr>
          <w:rFonts w:ascii="Arial" w:hAnsi="Arial" w:cs="Arial"/>
          <w:sz w:val="22"/>
          <w:szCs w:val="22"/>
        </w:rPr>
        <w:t>, CD8</w:t>
      </w:r>
      <w:r w:rsidR="00F73F91">
        <w:rPr>
          <w:rFonts w:ascii="Arial" w:hAnsi="Arial" w:cs="Arial"/>
          <w:sz w:val="22"/>
          <w:szCs w:val="22"/>
        </w:rPr>
        <w:t xml:space="preserve"> </w:t>
      </w:r>
      <w:r w:rsidR="00F73F91" w:rsidRPr="00F73F91">
        <w:rPr>
          <w:rFonts w:ascii="Arial" w:hAnsi="Arial" w:cs="Arial"/>
          <w:sz w:val="22"/>
          <w:szCs w:val="22"/>
        </w:rPr>
        <w:t>(eBioscience)</w:t>
      </w:r>
      <w:r w:rsidR="00A940C6" w:rsidRPr="00F73F91">
        <w:rPr>
          <w:rFonts w:ascii="Arial" w:hAnsi="Arial" w:cs="Arial"/>
          <w:sz w:val="22"/>
          <w:szCs w:val="22"/>
        </w:rPr>
        <w:t>, CD25</w:t>
      </w:r>
      <w:r w:rsidR="00F73F91" w:rsidRPr="00F73F91">
        <w:rPr>
          <w:rFonts w:ascii="Arial" w:hAnsi="Arial" w:cs="Arial"/>
          <w:sz w:val="22"/>
          <w:szCs w:val="22"/>
        </w:rPr>
        <w:t xml:space="preserve"> (Biolegend)</w:t>
      </w:r>
      <w:r w:rsidR="00A940C6" w:rsidRPr="00F73F91">
        <w:rPr>
          <w:rFonts w:ascii="Arial" w:hAnsi="Arial" w:cs="Arial"/>
          <w:sz w:val="22"/>
          <w:szCs w:val="22"/>
        </w:rPr>
        <w:t>, PD-1</w:t>
      </w:r>
      <w:r w:rsidR="00F73F91">
        <w:rPr>
          <w:rFonts w:ascii="Arial" w:hAnsi="Arial" w:cs="Arial"/>
          <w:sz w:val="22"/>
          <w:szCs w:val="22"/>
        </w:rPr>
        <w:t xml:space="preserve"> </w:t>
      </w:r>
      <w:r w:rsidR="00F73F91" w:rsidRPr="00F73F91">
        <w:rPr>
          <w:rFonts w:ascii="Arial" w:hAnsi="Arial" w:cs="Arial"/>
          <w:sz w:val="22"/>
          <w:szCs w:val="22"/>
        </w:rPr>
        <w:t>(Biolegend)</w:t>
      </w:r>
      <w:r w:rsidR="00A940C6" w:rsidRPr="00F73F91">
        <w:rPr>
          <w:rFonts w:ascii="Arial" w:hAnsi="Arial" w:cs="Arial"/>
          <w:sz w:val="22"/>
          <w:szCs w:val="22"/>
        </w:rPr>
        <w:t>, and PD-L1</w:t>
      </w:r>
      <w:r w:rsidR="00F73F91">
        <w:rPr>
          <w:rFonts w:ascii="Arial" w:hAnsi="Arial" w:cs="Arial"/>
          <w:sz w:val="22"/>
          <w:szCs w:val="22"/>
        </w:rPr>
        <w:t xml:space="preserve"> </w:t>
      </w:r>
      <w:r w:rsidR="00F73F91" w:rsidRPr="00F73F91">
        <w:rPr>
          <w:rFonts w:ascii="Arial" w:hAnsi="Arial" w:cs="Arial"/>
          <w:sz w:val="22"/>
          <w:szCs w:val="22"/>
        </w:rPr>
        <w:t>(Biolegend)</w:t>
      </w:r>
      <w:r w:rsidR="00A940C6" w:rsidRPr="00F73F91">
        <w:rPr>
          <w:rFonts w:ascii="Arial" w:hAnsi="Arial" w:cs="Arial"/>
          <w:sz w:val="22"/>
          <w:szCs w:val="22"/>
        </w:rPr>
        <w:t xml:space="preserve">. </w:t>
      </w:r>
      <w:r w:rsidR="00A940C6" w:rsidRPr="00F73F91">
        <w:rPr>
          <w:rFonts w:ascii="Arial" w:hAnsi="Arial" w:cs="Arial"/>
          <w:sz w:val="22"/>
          <w:szCs w:val="22"/>
          <w:lang w:eastAsia="zh-CN"/>
        </w:rPr>
        <w:t>Upon completion of surface staining, c</w:t>
      </w:r>
      <w:r w:rsidR="009349C7" w:rsidRPr="00F73F91">
        <w:rPr>
          <w:rFonts w:ascii="Arial" w:hAnsi="Arial" w:cs="Arial"/>
          <w:sz w:val="22"/>
          <w:szCs w:val="22"/>
          <w:lang w:eastAsia="zh-CN"/>
        </w:rPr>
        <w:t xml:space="preserve">ells </w:t>
      </w:r>
      <w:r w:rsidR="009349C7" w:rsidRPr="00264359">
        <w:rPr>
          <w:rFonts w:ascii="Arial" w:hAnsi="Arial" w:cs="Arial"/>
          <w:noProof/>
          <w:sz w:val="22"/>
          <w:szCs w:val="22"/>
          <w:lang w:eastAsia="zh-CN"/>
        </w:rPr>
        <w:t>were fixed</w:t>
      </w:r>
      <w:r w:rsidR="005C6922" w:rsidRPr="005C6922">
        <w:rPr>
          <w:rFonts w:ascii="Arial" w:hAnsi="Arial" w:cs="Arial"/>
          <w:noProof/>
          <w:sz w:val="22"/>
          <w:szCs w:val="22"/>
          <w:lang w:eastAsia="zh-CN"/>
        </w:rPr>
        <w:t>,</w:t>
      </w:r>
      <w:r w:rsidR="009349C7" w:rsidRPr="00F73F91">
        <w:rPr>
          <w:rFonts w:ascii="Arial" w:hAnsi="Arial" w:cs="Arial"/>
          <w:sz w:val="22"/>
          <w:szCs w:val="22"/>
          <w:lang w:eastAsia="zh-CN"/>
        </w:rPr>
        <w:t xml:space="preserve"> </w:t>
      </w:r>
      <w:r w:rsidR="009349C7" w:rsidRPr="005C6922">
        <w:rPr>
          <w:rFonts w:ascii="Arial" w:hAnsi="Arial" w:cs="Arial"/>
          <w:noProof/>
          <w:sz w:val="22"/>
          <w:szCs w:val="22"/>
          <w:lang w:eastAsia="zh-CN"/>
        </w:rPr>
        <w:t>and</w:t>
      </w:r>
      <w:r w:rsidR="009349C7" w:rsidRPr="00F73F91">
        <w:rPr>
          <w:rFonts w:ascii="Arial" w:hAnsi="Arial" w:cs="Arial"/>
          <w:sz w:val="22"/>
          <w:szCs w:val="22"/>
          <w:lang w:eastAsia="zh-CN"/>
        </w:rPr>
        <w:t xml:space="preserve"> intracellular staining </w:t>
      </w:r>
      <w:r w:rsidR="00A940C6" w:rsidRPr="00264359">
        <w:rPr>
          <w:rFonts w:ascii="Arial" w:hAnsi="Arial" w:cs="Arial"/>
          <w:noProof/>
          <w:sz w:val="22"/>
          <w:szCs w:val="22"/>
          <w:lang w:eastAsia="zh-CN"/>
        </w:rPr>
        <w:t xml:space="preserve">was </w:t>
      </w:r>
      <w:r w:rsidR="009349C7" w:rsidRPr="00264359">
        <w:rPr>
          <w:rFonts w:ascii="Arial" w:hAnsi="Arial" w:cs="Arial"/>
          <w:noProof/>
          <w:sz w:val="22"/>
          <w:szCs w:val="22"/>
          <w:lang w:eastAsia="zh-CN"/>
        </w:rPr>
        <w:t>performed</w:t>
      </w:r>
      <w:r w:rsidR="009349C7" w:rsidRPr="00F73F91">
        <w:rPr>
          <w:rFonts w:ascii="Arial" w:hAnsi="Arial" w:cs="Arial"/>
          <w:sz w:val="22"/>
          <w:szCs w:val="22"/>
          <w:lang w:eastAsia="zh-CN"/>
        </w:rPr>
        <w:t xml:space="preserve"> according to the manufacturer's protocol </w:t>
      </w:r>
      <w:r w:rsidR="009C6E23">
        <w:rPr>
          <w:rFonts w:ascii="Arial" w:hAnsi="Arial" w:cs="Arial"/>
          <w:sz w:val="22"/>
          <w:szCs w:val="22"/>
          <w:lang w:eastAsia="zh-CN"/>
        </w:rPr>
        <w:t>with</w:t>
      </w:r>
      <w:r w:rsidR="009349C7" w:rsidRPr="00F73F91">
        <w:rPr>
          <w:rFonts w:ascii="Arial" w:hAnsi="Arial" w:cs="Arial"/>
          <w:sz w:val="22"/>
          <w:szCs w:val="22"/>
          <w:lang w:eastAsia="zh-CN"/>
        </w:rPr>
        <w:t xml:space="preserve"> the Foxp3 </w:t>
      </w:r>
      <w:r w:rsidR="00A940C6" w:rsidRPr="00A726C4">
        <w:rPr>
          <w:rFonts w:ascii="Arial" w:hAnsi="Arial" w:cs="Arial"/>
          <w:noProof/>
          <w:sz w:val="22"/>
          <w:szCs w:val="22"/>
          <w:lang w:eastAsia="zh-CN"/>
        </w:rPr>
        <w:t xml:space="preserve">Transcription Factor </w:t>
      </w:r>
      <w:r w:rsidR="009349C7" w:rsidRPr="00A726C4">
        <w:rPr>
          <w:rFonts w:ascii="Arial" w:hAnsi="Arial" w:cs="Arial"/>
          <w:noProof/>
          <w:sz w:val="22"/>
          <w:szCs w:val="22"/>
          <w:lang w:eastAsia="zh-CN"/>
        </w:rPr>
        <w:t>staining buffer set</w:t>
      </w:r>
      <w:r w:rsidR="00A940C6" w:rsidRPr="00F73F91">
        <w:rPr>
          <w:rFonts w:ascii="Arial" w:hAnsi="Arial" w:cs="Arial"/>
          <w:sz w:val="22"/>
          <w:szCs w:val="22"/>
          <w:lang w:eastAsia="zh-CN"/>
        </w:rPr>
        <w:t xml:space="preserve"> (Thermo Fisher Scientific). </w:t>
      </w:r>
      <w:r w:rsidR="004A51A6" w:rsidRPr="00F73F91">
        <w:rPr>
          <w:rFonts w:ascii="Arial" w:hAnsi="Arial" w:cs="Arial"/>
          <w:sz w:val="22"/>
          <w:szCs w:val="22"/>
          <w:lang w:eastAsia="zh-CN"/>
        </w:rPr>
        <w:t>After staining, cells were</w:t>
      </w:r>
      <w:r w:rsidR="004A51A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>washed and fixed with 0.4% paraformaldehyde in PBS. Data was acquired with a BD LSRII</w:t>
      </w:r>
      <w:r w:rsidR="004A51A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 xml:space="preserve">flow cytometer </w:t>
      </w:r>
      <w:r w:rsidR="009349C7" w:rsidRPr="009349C7">
        <w:rPr>
          <w:rFonts w:ascii="Arial" w:hAnsi="Arial" w:cs="Arial"/>
          <w:sz w:val="22"/>
          <w:szCs w:val="22"/>
          <w:lang w:eastAsia="zh-CN"/>
        </w:rPr>
        <w:t>in the Duke Human Vaccine Institute Research Flow Cytometry Facili</w:t>
      </w:r>
      <w:r w:rsidR="009349C7">
        <w:rPr>
          <w:rFonts w:ascii="Arial" w:hAnsi="Arial" w:cs="Arial"/>
          <w:sz w:val="22"/>
          <w:szCs w:val="22"/>
          <w:lang w:eastAsia="zh-CN"/>
        </w:rPr>
        <w:t xml:space="preserve">ty (Durham, NC) 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 xml:space="preserve">using BD FACSDiva software (BD Bioscience). Compensation </w:t>
      </w:r>
      <w:r w:rsidR="004A51A6" w:rsidRPr="00A726C4">
        <w:rPr>
          <w:rFonts w:ascii="Arial" w:hAnsi="Arial" w:cs="Arial"/>
          <w:noProof/>
          <w:sz w:val="22"/>
          <w:szCs w:val="22"/>
          <w:lang w:eastAsia="zh-CN"/>
        </w:rPr>
        <w:t>was performed</w:t>
      </w:r>
      <w:r w:rsidR="004A51A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 xml:space="preserve">on the BD LSRII flow cytometer at the beginning of </w:t>
      </w:r>
      <w:r w:rsidR="009C6E23">
        <w:rPr>
          <w:rFonts w:ascii="Arial" w:hAnsi="Arial" w:cs="Arial"/>
          <w:sz w:val="22"/>
          <w:szCs w:val="22"/>
          <w:lang w:eastAsia="zh-CN"/>
        </w:rPr>
        <w:t>the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 xml:space="preserve"> experiment. Data were analyzed</w:t>
      </w:r>
      <w:r w:rsidR="004A51A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4A51A6" w:rsidRPr="004A51A6">
        <w:rPr>
          <w:rFonts w:ascii="Arial" w:hAnsi="Arial" w:cs="Arial"/>
          <w:sz w:val="22"/>
          <w:szCs w:val="22"/>
          <w:lang w:eastAsia="zh-CN"/>
        </w:rPr>
        <w:t>using Flowjo v10.</w:t>
      </w:r>
    </w:p>
    <w:p w14:paraId="38E7E1B5" w14:textId="77777777" w:rsidR="00FD3698" w:rsidRPr="00FD3698" w:rsidRDefault="00FD3698" w:rsidP="00FD3698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</w:p>
    <w:p w14:paraId="32C5B7A9" w14:textId="5250619B" w:rsidR="00475D80" w:rsidRDefault="00475D80" w:rsidP="002E1BF2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M</w:t>
      </w:r>
      <w:r w:rsidR="002E1BF2" w:rsidRPr="002E1BF2">
        <w:rPr>
          <w:rFonts w:ascii="Arial" w:hAnsi="Arial" w:cs="Arial"/>
          <w:b/>
          <w:sz w:val="22"/>
          <w:szCs w:val="22"/>
          <w:lang w:eastAsia="zh-CN"/>
        </w:rPr>
        <w:t>ultiplex immunofluorescence staining:</w:t>
      </w:r>
      <w:r w:rsidR="002E1BF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5C6922">
        <w:rPr>
          <w:rFonts w:ascii="Arial" w:hAnsi="Arial" w:cs="Arial"/>
          <w:sz w:val="22"/>
          <w:szCs w:val="22"/>
          <w:lang w:eastAsia="zh-CN"/>
        </w:rPr>
        <w:t>Serial FFPE sections (5-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micron thickness) </w:t>
      </w:r>
      <w:r w:rsidR="002E1BF2" w:rsidRPr="00A726C4">
        <w:rPr>
          <w:rFonts w:ascii="Arial" w:hAnsi="Arial" w:cs="Arial"/>
          <w:noProof/>
          <w:sz w:val="22"/>
          <w:szCs w:val="22"/>
          <w:lang w:eastAsia="zh-CN"/>
        </w:rPr>
        <w:t>were stained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E1BF2">
        <w:rPr>
          <w:rFonts w:ascii="Arial" w:hAnsi="Arial" w:cs="Arial"/>
          <w:sz w:val="22"/>
          <w:szCs w:val="22"/>
          <w:lang w:eastAsia="zh-CN"/>
        </w:rPr>
        <w:t>with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E1BF2">
        <w:rPr>
          <w:rFonts w:ascii="Arial" w:hAnsi="Arial" w:cs="Arial"/>
          <w:sz w:val="22"/>
          <w:szCs w:val="22"/>
          <w:lang w:eastAsia="zh-CN"/>
        </w:rPr>
        <w:t>CD4 (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Cell Signaling Technology</w:t>
      </w:r>
      <w:r w:rsidR="002E1BF2">
        <w:rPr>
          <w:rFonts w:ascii="Arial" w:hAnsi="Arial" w:cs="Arial"/>
          <w:sz w:val="22"/>
          <w:szCs w:val="22"/>
          <w:lang w:eastAsia="zh-CN"/>
        </w:rPr>
        <w:t>), CD8 (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Cell Signaling Technology</w:t>
      </w:r>
      <w:r w:rsidR="002E1BF2">
        <w:rPr>
          <w:rFonts w:ascii="Arial" w:hAnsi="Arial" w:cs="Arial"/>
          <w:sz w:val="22"/>
          <w:szCs w:val="22"/>
          <w:lang w:eastAsia="zh-CN"/>
        </w:rPr>
        <w:t>), FoxP3 (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Cell Signaling Technology</w:t>
      </w:r>
      <w:r w:rsidR="002E1BF2">
        <w:rPr>
          <w:rFonts w:ascii="Arial" w:hAnsi="Arial" w:cs="Arial"/>
          <w:sz w:val="22"/>
          <w:szCs w:val="22"/>
          <w:lang w:eastAsia="zh-CN"/>
        </w:rPr>
        <w:t>), PD-1 (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Cell Signaling Technology</w:t>
      </w:r>
      <w:r w:rsidR="002E1BF2">
        <w:rPr>
          <w:rFonts w:ascii="Arial" w:hAnsi="Arial" w:cs="Arial"/>
          <w:sz w:val="22"/>
          <w:szCs w:val="22"/>
          <w:lang w:eastAsia="zh-CN"/>
        </w:rPr>
        <w:t xml:space="preserve">), or 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rabbit isotype control (Cell Signaling Technology</w:t>
      </w:r>
      <w:r w:rsidR="002E1BF2">
        <w:rPr>
          <w:rFonts w:ascii="Arial" w:hAnsi="Arial" w:cs="Arial"/>
          <w:sz w:val="22"/>
          <w:szCs w:val="22"/>
          <w:lang w:eastAsia="zh-CN"/>
        </w:rPr>
        <w:t>)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 xml:space="preserve">antibodies, </w:t>
      </w:r>
      <w:r w:rsidR="00266BDB">
        <w:rPr>
          <w:rFonts w:ascii="Arial" w:hAnsi="Arial" w:cs="Arial"/>
          <w:sz w:val="22"/>
          <w:szCs w:val="22"/>
          <w:lang w:eastAsia="zh-CN"/>
        </w:rPr>
        <w:t>and the n</w:t>
      </w:r>
      <w:r w:rsidR="00266BDB" w:rsidRPr="002E1BF2">
        <w:rPr>
          <w:rFonts w:ascii="Arial" w:hAnsi="Arial" w:cs="Arial" w:hint="eastAsia"/>
          <w:sz w:val="22"/>
          <w:szCs w:val="22"/>
          <w:lang w:eastAsia="zh-CN"/>
        </w:rPr>
        <w:t xml:space="preserve">uclei </w:t>
      </w:r>
      <w:r w:rsidR="00266BDB" w:rsidRPr="00A726C4">
        <w:rPr>
          <w:rFonts w:ascii="Arial" w:hAnsi="Arial" w:cs="Arial" w:hint="eastAsia"/>
          <w:noProof/>
          <w:sz w:val="22"/>
          <w:szCs w:val="22"/>
          <w:lang w:eastAsia="zh-CN"/>
        </w:rPr>
        <w:t>were subsequently stained</w:t>
      </w:r>
      <w:r w:rsidR="00266BDB" w:rsidRPr="002E1BF2">
        <w:rPr>
          <w:rFonts w:ascii="Arial" w:hAnsi="Arial" w:cs="Arial" w:hint="eastAsia"/>
          <w:sz w:val="22"/>
          <w:szCs w:val="22"/>
          <w:lang w:eastAsia="zh-CN"/>
        </w:rPr>
        <w:t xml:space="preserve"> with 4,6-diamidino-2-phenylindole solution (PerkinElmer</w:t>
      </w:r>
      <w:r w:rsidR="00266BDB">
        <w:rPr>
          <w:rFonts w:ascii="Arial" w:hAnsi="Arial" w:cs="Arial"/>
          <w:sz w:val="22"/>
          <w:szCs w:val="22"/>
          <w:lang w:eastAsia="zh-CN"/>
        </w:rPr>
        <w:t xml:space="preserve">) 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using aut</w:t>
      </w:r>
      <w:r w:rsidR="002E1BF2">
        <w:rPr>
          <w:rFonts w:ascii="Arial" w:hAnsi="Arial" w:cs="Arial"/>
          <w:sz w:val="22"/>
          <w:szCs w:val="22"/>
          <w:lang w:eastAsia="zh-CN"/>
        </w:rPr>
        <w:t>omated IHC techniques on Bond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-</w:t>
      </w:r>
      <w:r w:rsidR="002E1BF2" w:rsidRPr="00A726C4">
        <w:rPr>
          <w:rFonts w:ascii="Arial" w:hAnsi="Arial" w:cs="Arial"/>
          <w:noProof/>
          <w:sz w:val="22"/>
          <w:szCs w:val="22"/>
          <w:lang w:eastAsia="zh-CN"/>
        </w:rPr>
        <w:t>RXm</w:t>
      </w:r>
      <w:r w:rsidR="002E1BF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Processing Module (Leica Microsystems), utilizing the Bond Re</w:t>
      </w:r>
      <w:r w:rsidR="002E1BF2">
        <w:rPr>
          <w:rFonts w:ascii="Arial" w:hAnsi="Arial" w:cs="Arial"/>
          <w:sz w:val="22"/>
          <w:szCs w:val="22"/>
          <w:lang w:eastAsia="zh-CN"/>
        </w:rPr>
        <w:t>search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 Detection kit </w:t>
      </w:r>
      <w:r w:rsidR="002E1BF2">
        <w:rPr>
          <w:rFonts w:ascii="Arial" w:hAnsi="Arial" w:cs="Arial"/>
          <w:sz w:val="22"/>
          <w:szCs w:val="22"/>
          <w:lang w:eastAsia="zh-CN"/>
        </w:rPr>
        <w:t>and Opal fluorophores (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PerkinElmer</w:t>
      </w:r>
      <w:r w:rsidR="002E1BF2">
        <w:rPr>
          <w:rFonts w:ascii="Arial" w:hAnsi="Arial" w:cs="Arial"/>
          <w:sz w:val="22"/>
          <w:szCs w:val="22"/>
          <w:lang w:eastAsia="zh-CN"/>
        </w:rPr>
        <w:t>)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. </w:t>
      </w:r>
      <w:r w:rsidR="00266BDB">
        <w:rPr>
          <w:rFonts w:ascii="Arial" w:hAnsi="Arial" w:cs="Arial"/>
          <w:sz w:val="22"/>
          <w:szCs w:val="22"/>
          <w:lang w:eastAsia="zh-CN"/>
        </w:rPr>
        <w:t>T</w:t>
      </w:r>
      <w:r w:rsidR="002E1BF2" w:rsidRPr="002E1BF2">
        <w:rPr>
          <w:rFonts w:ascii="Arial" w:hAnsi="Arial" w:cs="Arial" w:hint="eastAsia"/>
          <w:sz w:val="22"/>
          <w:szCs w:val="22"/>
          <w:lang w:eastAsia="zh-CN"/>
        </w:rPr>
        <w:t>he sections w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ere </w:t>
      </w:r>
      <w:r w:rsidR="002E1BF2" w:rsidRPr="005C6922">
        <w:rPr>
          <w:rFonts w:ascii="Arial" w:hAnsi="Arial" w:cs="Arial"/>
          <w:noProof/>
          <w:sz w:val="22"/>
          <w:szCs w:val="22"/>
          <w:lang w:eastAsia="zh-CN"/>
        </w:rPr>
        <w:t>coverslipped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 xml:space="preserve"> using Vectashield HardSet Antifade mounting media (Vector Laboratories). </w:t>
      </w:r>
      <w:r w:rsidRPr="002E1BF2">
        <w:rPr>
          <w:rFonts w:ascii="Arial" w:hAnsi="Arial" w:cs="Arial"/>
          <w:sz w:val="22"/>
          <w:szCs w:val="22"/>
          <w:lang w:eastAsia="zh-CN"/>
        </w:rPr>
        <w:t>The slides were scanned using the Vectra 3.0 System; image analysis was performed using the InForm image analysis software (both PerkinElmer).</w:t>
      </w:r>
    </w:p>
    <w:p w14:paraId="00EB781F" w14:textId="77777777" w:rsidR="00475D80" w:rsidRDefault="00475D80" w:rsidP="002E1BF2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</w:p>
    <w:p w14:paraId="24FCC034" w14:textId="2CEDD203" w:rsidR="00FD3698" w:rsidRDefault="00475D80" w:rsidP="002E1BF2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  <w:r w:rsidRPr="002E1BF2">
        <w:rPr>
          <w:rFonts w:ascii="Arial" w:hAnsi="Arial" w:cs="Arial"/>
          <w:b/>
          <w:sz w:val="22"/>
          <w:szCs w:val="22"/>
          <w:lang w:eastAsia="zh-CN"/>
        </w:rPr>
        <w:lastRenderedPageBreak/>
        <w:t>Immunohistochemistry</w:t>
      </w:r>
      <w:r>
        <w:rPr>
          <w:rFonts w:ascii="Arial" w:hAnsi="Arial" w:cs="Arial"/>
          <w:b/>
          <w:sz w:val="22"/>
          <w:szCs w:val="22"/>
          <w:lang w:eastAsia="zh-CN"/>
        </w:rPr>
        <w:t>:</w:t>
      </w:r>
      <w:r w:rsidRPr="00475D80">
        <w:rPr>
          <w:rFonts w:ascii="Arial" w:hAnsi="Arial" w:cs="Arial"/>
          <w:sz w:val="22"/>
          <w:szCs w:val="22"/>
          <w:lang w:eastAsia="zh-CN"/>
        </w:rPr>
        <w:t xml:space="preserve"> </w:t>
      </w:r>
      <w:r w:rsidR="008E6E21">
        <w:rPr>
          <w:rFonts w:ascii="Arial" w:hAnsi="Arial" w:cs="Arial"/>
          <w:sz w:val="22"/>
          <w:szCs w:val="22"/>
          <w:lang w:eastAsia="zh-CN"/>
        </w:rPr>
        <w:t>FFPE sections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2E1BF2">
        <w:rPr>
          <w:rFonts w:ascii="Arial" w:hAnsi="Arial" w:cs="Arial"/>
          <w:sz w:val="22"/>
          <w:szCs w:val="22"/>
          <w:lang w:eastAsia="zh-CN"/>
        </w:rPr>
        <w:t>(</w:t>
      </w:r>
      <w:r w:rsidRPr="005C6922">
        <w:rPr>
          <w:rFonts w:ascii="Arial" w:hAnsi="Arial" w:cs="Arial"/>
          <w:noProof/>
          <w:sz w:val="22"/>
          <w:szCs w:val="22"/>
          <w:lang w:eastAsia="zh-CN"/>
        </w:rPr>
        <w:t>5</w:t>
      </w:r>
      <w:r w:rsidR="005C6922">
        <w:rPr>
          <w:rFonts w:ascii="Arial" w:hAnsi="Arial" w:cs="Arial"/>
          <w:noProof/>
          <w:sz w:val="22"/>
          <w:szCs w:val="22"/>
          <w:lang w:eastAsia="zh-CN"/>
        </w:rPr>
        <w:t>-</w:t>
      </w:r>
      <w:r w:rsidRPr="005C6922">
        <w:rPr>
          <w:rFonts w:ascii="Arial" w:hAnsi="Arial" w:cs="Arial"/>
          <w:noProof/>
          <w:sz w:val="22"/>
          <w:szCs w:val="22"/>
          <w:lang w:eastAsia="zh-CN"/>
        </w:rPr>
        <w:t>micron</w:t>
      </w:r>
      <w:r w:rsidRPr="002E1BF2">
        <w:rPr>
          <w:rFonts w:ascii="Arial" w:hAnsi="Arial" w:cs="Arial"/>
          <w:sz w:val="22"/>
          <w:szCs w:val="22"/>
          <w:lang w:eastAsia="zh-CN"/>
        </w:rPr>
        <w:t xml:space="preserve"> thickness)</w:t>
      </w:r>
      <w:r>
        <w:rPr>
          <w:rFonts w:ascii="Arial" w:hAnsi="Arial" w:cs="Arial"/>
          <w:sz w:val="22"/>
          <w:szCs w:val="22"/>
          <w:lang w:eastAsia="zh-CN"/>
        </w:rPr>
        <w:t xml:space="preserve"> 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 xml:space="preserve">were stained </w:t>
      </w:r>
      <w:r w:rsidR="008E6E21">
        <w:rPr>
          <w:rFonts w:ascii="Arial" w:hAnsi="Arial" w:cs="Arial"/>
          <w:sz w:val="22"/>
          <w:szCs w:val="22"/>
          <w:lang w:eastAsia="zh-CN"/>
        </w:rPr>
        <w:t xml:space="preserve">with PD-L1 </w:t>
      </w:r>
      <w:r w:rsidR="008E6E21" w:rsidRPr="002E1BF2">
        <w:rPr>
          <w:rFonts w:ascii="Arial" w:hAnsi="Arial" w:cs="Arial"/>
          <w:sz w:val="22"/>
          <w:szCs w:val="22"/>
          <w:lang w:eastAsia="zh-CN"/>
        </w:rPr>
        <w:t>(Cell Signaling Technology</w:t>
      </w:r>
      <w:r w:rsidR="008E6E21">
        <w:rPr>
          <w:rFonts w:ascii="Arial" w:hAnsi="Arial" w:cs="Arial"/>
          <w:sz w:val="22"/>
          <w:szCs w:val="22"/>
          <w:lang w:eastAsia="zh-CN"/>
        </w:rPr>
        <w:t xml:space="preserve">) or </w:t>
      </w:r>
      <w:r w:rsidR="008E6E21" w:rsidRPr="002E1BF2">
        <w:rPr>
          <w:rFonts w:ascii="Arial" w:hAnsi="Arial" w:cs="Arial"/>
          <w:sz w:val="22"/>
          <w:szCs w:val="22"/>
          <w:lang w:eastAsia="zh-CN"/>
        </w:rPr>
        <w:t>rabbit isotype control (Cell Signaling Technology</w:t>
      </w:r>
      <w:r w:rsidR="008E6E21">
        <w:rPr>
          <w:rFonts w:ascii="Arial" w:hAnsi="Arial" w:cs="Arial"/>
          <w:sz w:val="22"/>
          <w:szCs w:val="22"/>
          <w:lang w:eastAsia="zh-CN"/>
        </w:rPr>
        <w:t>)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 xml:space="preserve">antibodies 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 xml:space="preserve">using automated IHC techniques on </w:t>
      </w:r>
      <w:r w:rsidR="008E6E21">
        <w:rPr>
          <w:rFonts w:ascii="Arial" w:hAnsi="Arial" w:cs="Arial"/>
          <w:sz w:val="22"/>
          <w:szCs w:val="22"/>
          <w:lang w:eastAsia="zh-CN"/>
        </w:rPr>
        <w:t>Bond</w:t>
      </w:r>
      <w:r w:rsidR="008E6E21" w:rsidRPr="002E1BF2">
        <w:rPr>
          <w:rFonts w:ascii="Arial" w:hAnsi="Arial" w:cs="Arial"/>
          <w:sz w:val="22"/>
          <w:szCs w:val="22"/>
          <w:lang w:eastAsia="zh-CN"/>
        </w:rPr>
        <w:t>-</w:t>
      </w:r>
      <w:r w:rsidR="008E6E21" w:rsidRPr="00A726C4">
        <w:rPr>
          <w:rFonts w:ascii="Arial" w:hAnsi="Arial" w:cs="Arial"/>
          <w:noProof/>
          <w:sz w:val="22"/>
          <w:szCs w:val="22"/>
          <w:lang w:eastAsia="zh-CN"/>
        </w:rPr>
        <w:t>RXm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 xml:space="preserve"> Proces</w:t>
      </w:r>
      <w:r>
        <w:rPr>
          <w:rFonts w:ascii="Arial" w:hAnsi="Arial" w:cs="Arial"/>
          <w:sz w:val="22"/>
          <w:szCs w:val="22"/>
          <w:lang w:eastAsia="zh-CN"/>
        </w:rPr>
        <w:t>sing Module</w:t>
      </w:r>
      <w:r w:rsidR="008E6E21" w:rsidRPr="008E6E21">
        <w:rPr>
          <w:rFonts w:ascii="Arial" w:hAnsi="Arial" w:cs="Arial"/>
          <w:sz w:val="22"/>
          <w:szCs w:val="22"/>
          <w:lang w:eastAsia="zh-CN"/>
        </w:rPr>
        <w:t>, utilizing the Bond Polymer Refine Detection kit (Leica Microsystems).</w:t>
      </w:r>
      <w:r w:rsidR="002E1BF2" w:rsidRPr="002E1BF2">
        <w:rPr>
          <w:rFonts w:ascii="Arial" w:hAnsi="Arial" w:cs="Arial"/>
          <w:sz w:val="22"/>
          <w:szCs w:val="22"/>
          <w:lang w:eastAsia="zh-CN"/>
        </w:rPr>
        <w:t>The slides were scanned using the Vectra 3.0 System.</w:t>
      </w:r>
    </w:p>
    <w:p w14:paraId="3A9E8433" w14:textId="6E425A76" w:rsidR="00EE3A3D" w:rsidRDefault="00EE3A3D" w:rsidP="002E1BF2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</w:p>
    <w:p w14:paraId="5731A19F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  <w:r w:rsidRPr="00EE3A3D">
        <w:rPr>
          <w:rFonts w:ascii="Arial" w:eastAsia="Calibri" w:hAnsi="Arial" w:cs="Times New Roman"/>
          <w:b/>
          <w:i/>
          <w:sz w:val="22"/>
          <w:highlight w:val="yellow"/>
        </w:rPr>
        <w:t>In vivo</w:t>
      </w:r>
      <w:r w:rsidRPr="00EE3A3D">
        <w:rPr>
          <w:rFonts w:ascii="Arial" w:eastAsia="Calibri" w:hAnsi="Arial" w:cs="Times New Roman"/>
          <w:b/>
          <w:sz w:val="22"/>
          <w:highlight w:val="yellow"/>
        </w:rPr>
        <w:t xml:space="preserve"> intracranial antitumor studies: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C57BL/6J mice (</w:t>
      </w:r>
      <w:r w:rsidRPr="00EE3A3D">
        <w:rPr>
          <w:rFonts w:ascii="Arial" w:eastAsia="Calibri" w:hAnsi="Arial" w:cs="Times New Roman"/>
          <w:sz w:val="22"/>
          <w:highlight w:val="yellow"/>
        </w:rPr>
        <w:sym w:font="Symbol" w:char="F0BB"/>
      </w:r>
      <w:r w:rsidRPr="00EE3A3D">
        <w:rPr>
          <w:rFonts w:ascii="Arial" w:eastAsia="Calibri" w:hAnsi="Arial" w:cs="Times New Roman"/>
          <w:sz w:val="22"/>
          <w:highlight w:val="yellow"/>
        </w:rPr>
        <w:t>20 g, 6–8 weeks, female) and VM/Dk mice (</w:t>
      </w:r>
      <w:r w:rsidRPr="00EE3A3D">
        <w:rPr>
          <w:rFonts w:ascii="Arial" w:eastAsia="Calibri" w:hAnsi="Arial" w:cs="Times New Roman"/>
          <w:sz w:val="22"/>
          <w:highlight w:val="yellow"/>
        </w:rPr>
        <w:sym w:font="Symbol" w:char="F0BB"/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20 g, 6-8 weeks, male, Duke Division of Laboratory Animal Resources) were anesthetized and mounted onto a stereotactic frame. The anterior cranial region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was shaved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, and a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pilot hole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or an incision ≈1 cm in length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was made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in the skin over the skull at coordinates 2.0 mm left lateral of the sagittal and 0.5 mm anterior to the bregma using a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Dremel 105 Engraving Cutter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or manually with a needle. A 25 or 27-gauge disposable needle attached to a 25-μl Hamilton syringe was inserted vertically to a depth of 2.5 mm or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3.3 mm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from the dura mater. A total of 1.5-2x10</w:t>
      </w:r>
      <w:r w:rsidRPr="00EE3A3D">
        <w:rPr>
          <w:rFonts w:ascii="Arial" w:eastAsia="Calibri" w:hAnsi="Arial" w:cs="Times New Roman"/>
          <w:sz w:val="22"/>
          <w:highlight w:val="yellow"/>
          <w:vertAlign w:val="superscript"/>
        </w:rPr>
        <w:t>5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CT-2A-dmEGFRvIII-Luc mouse glioma cells or 3x10</w:t>
      </w:r>
      <w:r w:rsidRPr="00EE3A3D">
        <w:rPr>
          <w:rFonts w:ascii="Arial" w:eastAsia="Calibri" w:hAnsi="Arial" w:cs="Times New Roman"/>
          <w:sz w:val="22"/>
          <w:highlight w:val="yellow"/>
          <w:vertAlign w:val="superscript"/>
        </w:rPr>
        <w:t>4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SMA560-dmEGFRvIII-Luc mouse glioma cells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were injected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in 5 μl of PBS containing 3% methylcellulose (Sigma)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at a rate of 3.33 μL per minute using an automated injector</w:t>
      </w:r>
      <w:r w:rsidRPr="00EE3A3D">
        <w:rPr>
          <w:rFonts w:ascii="Arial" w:eastAsia="Calibri" w:hAnsi="Arial" w:cs="Times New Roman"/>
          <w:sz w:val="22"/>
          <w:highlight w:val="yellow"/>
        </w:rPr>
        <w:t>.</w:t>
      </w:r>
    </w:p>
    <w:p w14:paraId="26124760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</w:p>
    <w:p w14:paraId="2648F5F5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  <w:r w:rsidRPr="00EE3A3D">
        <w:rPr>
          <w:rFonts w:ascii="Arial" w:eastAsia="Calibri" w:hAnsi="Arial" w:cs="Times New Roman"/>
          <w:sz w:val="22"/>
          <w:highlight w:val="yellow"/>
        </w:rPr>
        <w:t xml:space="preserve">For the D2C7-IT monotherapy or combination therapy studies, mice underwent bioluminescence imaging (PerkinElmer) and were randomized into different treatment groups (10 mice/group)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by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total flux one day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before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D2C7-IT infusion. Post-implantation of CT-2A-dmEGFRvIII-Luc (day=6) and SMA560-dmEGFRvIII-Luc (day=4) cells, D2C7-IT (0.1 or 0.3 μg total dose in 2% PBS-MSA) was infused by convection-enhanced delivery (CED) at a rate of 0.5 μl/h for 72 h via alzet osmotic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minipumps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(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Durect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Corporation#1007D). The control mice were handled in the same manner but treated with 2% PBS-MSA.</w:t>
      </w:r>
    </w:p>
    <w:p w14:paraId="581087CD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</w:p>
    <w:p w14:paraId="0D36AE79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  <w:r w:rsidRPr="00EE3A3D">
        <w:rPr>
          <w:rFonts w:ascii="Arial" w:eastAsia="Calibri" w:hAnsi="Arial" w:cs="Times New Roman"/>
          <w:sz w:val="22"/>
          <w:highlight w:val="yellow"/>
        </w:rPr>
        <w:lastRenderedPageBreak/>
        <w:t xml:space="preserve">For the CD4 and CD8 T cell depletion studies, mice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were randomized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into different treatment groups (10 mice/group) based on their weight measurements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before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tumor implantation.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The </w:t>
      </w:r>
      <w:r w:rsidRPr="00EE3A3D">
        <w:rPr>
          <w:rFonts w:ascii="Arial" w:eastAsia="Calibri" w:hAnsi="Arial" w:cs="Times New Roman"/>
          <w:sz w:val="22"/>
          <w:highlight w:val="yellow"/>
        </w:rPr>
        <w:t>CT-2A-dmEGFRvIII-Luc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and </w:t>
      </w:r>
      <w:r w:rsidRPr="00EE3A3D">
        <w:rPr>
          <w:rFonts w:ascii="Arial" w:eastAsia="Calibri" w:hAnsi="Arial" w:cs="Times New Roman"/>
          <w:sz w:val="22"/>
          <w:highlight w:val="yellow"/>
        </w:rPr>
        <w:t>SMA560-dmEGFRvIII-Luc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cells were implanted and treated as specified above by CED with a </w:t>
      </w:r>
      <w:r w:rsidRPr="00EE3A3D">
        <w:rPr>
          <w:rFonts w:ascii="Arial" w:eastAsia="Calibri" w:hAnsi="Arial" w:cs="Times New Roman"/>
          <w:sz w:val="22"/>
          <w:highlight w:val="yellow"/>
        </w:rPr>
        <w:t>total dose of 0.3 μg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D2C7-IT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.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F</w:t>
      </w:r>
      <w:r w:rsidRPr="00EE3A3D">
        <w:rPr>
          <w:rFonts w:ascii="Arial" w:eastAsia="Calibri" w:hAnsi="Arial" w:cs="Times New Roman"/>
          <w:sz w:val="22"/>
          <w:highlight w:val="yellow"/>
        </w:rPr>
        <w:t>ive doses (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250 ug/dose)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of r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at IgG2b isotype control antibody (Clone LTF-2, </w:t>
      </w:r>
      <w:r w:rsidRPr="00EE3A3D">
        <w:rPr>
          <w:rFonts w:ascii="Arial" w:eastAsia="Calibri" w:hAnsi="Arial" w:cs="Times New Roman"/>
          <w:sz w:val="22"/>
          <w:highlight w:val="yellow"/>
        </w:rPr>
        <w:t>Bio-X-Cell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), </w:t>
      </w:r>
      <w:r w:rsidRPr="00EE3A3D">
        <w:rPr>
          <w:rFonts w:ascii="Arial" w:eastAsia="Calibri" w:hAnsi="Arial" w:cs="Times New Roman"/>
          <w:sz w:val="22"/>
          <w:highlight w:val="yellow"/>
        </w:rPr>
        <w:t>αCD4 antibody (Clone GK1.5, Bio-X-Cell), or αCD8 antibody (Clone 2.43, Bio-X-Cell)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were administered intraperitoneally post-implantation of </w:t>
      </w:r>
      <w:r w:rsidRPr="00EE3A3D">
        <w:rPr>
          <w:rFonts w:ascii="Arial" w:eastAsia="Calibri" w:hAnsi="Arial" w:cs="Times New Roman"/>
          <w:sz w:val="22"/>
          <w:highlight w:val="yellow"/>
        </w:rPr>
        <w:t>CT-2A-dmEGFRvIII-Luc cells (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days 2, 6, 9, 12, and 15</w:t>
      </w:r>
      <w:r w:rsidRPr="00EE3A3D">
        <w:rPr>
          <w:rFonts w:ascii="Arial" w:eastAsia="Calibri" w:hAnsi="Arial" w:cs="Times New Roman"/>
          <w:sz w:val="22"/>
          <w:highlight w:val="yellow"/>
        </w:rPr>
        <w:t>)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and </w:t>
      </w:r>
      <w:r w:rsidRPr="00EE3A3D">
        <w:rPr>
          <w:rFonts w:ascii="Arial" w:eastAsia="Calibri" w:hAnsi="Arial" w:cs="Times New Roman"/>
          <w:sz w:val="22"/>
          <w:highlight w:val="yellow"/>
        </w:rPr>
        <w:t>SMA560-dmEGFRvIII-Luc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cells (days 0, 4, 7, 10, and 13)</w:t>
      </w:r>
      <w:r w:rsidRPr="00EE3A3D">
        <w:rPr>
          <w:rFonts w:ascii="Arial" w:eastAsia="Calibri" w:hAnsi="Arial" w:cs="Times New Roman"/>
          <w:sz w:val="22"/>
          <w:highlight w:val="yellow"/>
        </w:rPr>
        <w:t>. Near total depletion of CD4+ and CD8+ T cells after αCD4 or αCD8 treatment was confirmed by the analysis of spleen by flow cytometry.</w:t>
      </w:r>
    </w:p>
    <w:p w14:paraId="05D01A1F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</w:p>
    <w:p w14:paraId="1B86D9A7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  <w:r w:rsidRPr="00EE3A3D">
        <w:rPr>
          <w:rFonts w:ascii="Arial" w:eastAsia="Calibri" w:hAnsi="Arial" w:cs="Times New Roman"/>
          <w:sz w:val="22"/>
          <w:highlight w:val="yellow"/>
        </w:rPr>
        <w:t xml:space="preserve">For the </w:t>
      </w:r>
      <w:r w:rsidRPr="00EE3A3D">
        <w:rPr>
          <w:rFonts w:ascii="Arial" w:eastAsia="Calibri" w:hAnsi="Arial" w:cs="Arial"/>
          <w:sz w:val="22"/>
          <w:highlight w:val="yellow"/>
        </w:rPr>
        <w:t>α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CTLA-4, αPD-1, αPD-L1, </w:t>
      </w:r>
      <w:r w:rsidRPr="00EE3A3D">
        <w:rPr>
          <w:rFonts w:ascii="Arial" w:eastAsia="Calibri" w:hAnsi="Arial" w:cs="Arial"/>
          <w:sz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Tim-3, </w:t>
      </w:r>
      <w:r w:rsidRPr="00EE3A3D">
        <w:rPr>
          <w:rFonts w:ascii="Arial" w:eastAsia="Calibri" w:hAnsi="Arial" w:cs="Times New Roman"/>
          <w:sz w:val="22"/>
          <w:highlight w:val="yellow"/>
        </w:rPr>
        <w:t>αLag-3, or αCD-73, efficacy studies with CT-2A-dmEGFRvIII-Luc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and </w:t>
      </w:r>
      <w:r w:rsidRPr="00EE3A3D">
        <w:rPr>
          <w:rFonts w:ascii="Arial" w:eastAsia="Calibri" w:hAnsi="Arial" w:cs="Times New Roman"/>
          <w:sz w:val="22"/>
          <w:highlight w:val="yellow"/>
        </w:rPr>
        <w:t>SMA560-dmEGFRvIII-Luc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cells</w:t>
      </w:r>
      <w:r w:rsidRPr="00EE3A3D">
        <w:rPr>
          <w:rFonts w:ascii="Arial" w:eastAsia="Calibri" w:hAnsi="Arial" w:cs="Times New Roman"/>
          <w:sz w:val="22"/>
          <w:highlight w:val="yellow"/>
        </w:rPr>
        <w:t>, mice were randomized and treated with a total dose of 0.1 μg D2C7-IT/vehicle control by CED as described above. Post-implantation of CT-2A-dmEGFRvIII-Luc (</w:t>
      </w:r>
      <w:r w:rsidRPr="00EE3A3D">
        <w:rPr>
          <w:rFonts w:ascii="Arial" w:eastAsia="Calibri" w:hAnsi="Arial" w:cs="Arial"/>
          <w:sz w:val="22"/>
          <w:highlight w:val="yellow"/>
        </w:rPr>
        <w:t>α</w:t>
      </w:r>
      <w:r w:rsidRPr="00EE3A3D">
        <w:rPr>
          <w:rFonts w:ascii="Arial" w:eastAsia="Calibri" w:hAnsi="Arial" w:cs="Times New Roman"/>
          <w:sz w:val="22"/>
          <w:highlight w:val="yellow"/>
        </w:rPr>
        <w:t>CTLA-4/αPD-1: days 6, 9, 12, 15, and 18 and αPD-1/αPD-L1/</w:t>
      </w:r>
      <w:r w:rsidRPr="00EE3A3D">
        <w:rPr>
          <w:rFonts w:ascii="Arial" w:eastAsia="Calibri" w:hAnsi="Arial" w:cs="Arial"/>
          <w:sz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Tim-3/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αLag-3/αCD-73: days 3, 6, 9, 12, and 15) and SMA560-dmEGFRvIII-Luc cells (days 4, 7, 10, 13, and 16), five doses of 250 </w:t>
      </w:r>
      <w:r w:rsidRPr="00EE3A3D">
        <w:rPr>
          <w:rFonts w:ascii="Arial" w:eastAsia="Calibri" w:hAnsi="Arial" w:cs="Arial"/>
          <w:sz w:val="22"/>
          <w:highlight w:val="yellow"/>
        </w:rPr>
        <w:t>µ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g/dose of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rat IgG2a isotype control antibody (Clone 2A3, Bio-X-Cell), </w:t>
      </w:r>
      <w:r w:rsidRPr="00EE3A3D">
        <w:rPr>
          <w:rFonts w:ascii="Calibri" w:eastAsia="Calibri" w:hAnsi="Calibri" w:cs="Arial"/>
          <w:sz w:val="22"/>
          <w:szCs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PD-1 antibody, </w:t>
      </w:r>
      <w:r w:rsidRPr="00EE3A3D">
        <w:rPr>
          <w:rFonts w:ascii="Calibri" w:eastAsia="Calibri" w:hAnsi="Calibri" w:cs="Arial"/>
          <w:sz w:val="22"/>
          <w:szCs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PD-L1 antibody (Clone 10F.9G2, Bio-X-Cell), </w:t>
      </w:r>
      <w:r w:rsidRPr="00EE3A3D">
        <w:rPr>
          <w:rFonts w:ascii="Calibri" w:eastAsia="Calibri" w:hAnsi="Calibri" w:cs="Arial"/>
          <w:sz w:val="22"/>
          <w:szCs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Tim-3 antibody (Clone RMT3-23, Bio-X-Cell), </w:t>
      </w:r>
      <w:r w:rsidRPr="00EE3A3D">
        <w:rPr>
          <w:rFonts w:ascii="Calibri" w:eastAsia="Calibri" w:hAnsi="Calibri" w:cs="Arial"/>
          <w:sz w:val="22"/>
          <w:szCs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Lag-3 antibody (Clone C9B7W, Bio-X-Cell), </w:t>
      </w:r>
      <w:r w:rsidRPr="00EE3A3D">
        <w:rPr>
          <w:rFonts w:ascii="Calibri" w:eastAsia="Calibri" w:hAnsi="Calibri" w:cs="Arial"/>
          <w:sz w:val="22"/>
          <w:szCs w:val="22"/>
          <w:highlight w:val="yellow"/>
        </w:rPr>
        <w:t>α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CD-73 antibody (Clone TY/23, Bio-X-Cell)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or 100 </w:t>
      </w:r>
      <w:r w:rsidRPr="00EE3A3D">
        <w:rPr>
          <w:rFonts w:ascii="Arial" w:eastAsia="Calibri" w:hAnsi="Arial" w:cs="Arial"/>
          <w:sz w:val="22"/>
          <w:highlight w:val="yellow"/>
        </w:rPr>
        <w:t>µ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g/dose αCTLA-4 antibody were delivered by intraperitoneal injections. </w:t>
      </w:r>
    </w:p>
    <w:p w14:paraId="1F588C99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</w:p>
    <w:p w14:paraId="23169483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  <w:r w:rsidRPr="00EE3A3D">
        <w:rPr>
          <w:rFonts w:ascii="Arial" w:eastAsia="Calibri" w:hAnsi="Arial" w:cs="Times New Roman"/>
          <w:sz w:val="22"/>
          <w:highlight w:val="yellow"/>
        </w:rPr>
        <w:t xml:space="preserve">The antitumor response of intracranial (ic) tumors to treatment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was assessed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by the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percentage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increase in time to a specific neurologic endpoint (seizure activity, repetitive circling, or other subtle changes such as a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decrease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in appetite) or death. Animals were observed twice daily for signs of distress or development of neurologic symptoms, at which time, the mice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were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lastRenderedPageBreak/>
        <w:t>euthanized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. All experiments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were repeated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at least two times. Pairwise differences of survival curves were assessed using the generalized Wilcoxon test.</w:t>
      </w:r>
    </w:p>
    <w:p w14:paraId="344C31A5" w14:textId="77777777" w:rsidR="00EE3A3D" w:rsidRPr="00EE3A3D" w:rsidRDefault="00EE3A3D" w:rsidP="00EE3A3D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Times New Roman"/>
          <w:sz w:val="22"/>
          <w:highlight w:val="yellow"/>
        </w:rPr>
      </w:pPr>
    </w:p>
    <w:p w14:paraId="02955B14" w14:textId="6A19486D" w:rsidR="00EE3A3D" w:rsidRPr="002E1BF2" w:rsidRDefault="00EE3A3D" w:rsidP="00EE3A3D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  <w:r w:rsidRPr="00EE3A3D">
        <w:rPr>
          <w:rFonts w:ascii="Arial" w:eastAsia="Calibri" w:hAnsi="Arial" w:cs="Times New Roman"/>
          <w:sz w:val="22"/>
          <w:highlight w:val="yellow"/>
        </w:rPr>
        <w:t xml:space="preserve">Mice from the efficacy studies surviving symptom-free for &gt;70 days post initial tumor implantation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were rechallenged with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1.5x10</w:t>
      </w:r>
      <w:r w:rsidRPr="00EE3A3D">
        <w:rPr>
          <w:rFonts w:ascii="Arial" w:eastAsia="Calibri" w:hAnsi="Arial" w:cs="Times New Roman"/>
          <w:sz w:val="22"/>
          <w:highlight w:val="yellow"/>
          <w:vertAlign w:val="superscript"/>
        </w:rPr>
        <w:t>5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CT-2A-dmEGFRvIII-Luc, 2x10</w:t>
      </w:r>
      <w:r w:rsidRPr="00EE3A3D">
        <w:rPr>
          <w:rFonts w:ascii="Arial" w:eastAsia="Calibri" w:hAnsi="Arial" w:cs="Times New Roman"/>
          <w:sz w:val="22"/>
          <w:highlight w:val="yellow"/>
          <w:vertAlign w:val="superscript"/>
        </w:rPr>
        <w:t>5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CT-2A parental, or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>3x10</w:t>
      </w:r>
      <w:r w:rsidRPr="00EE3A3D">
        <w:rPr>
          <w:rFonts w:ascii="Arial" w:eastAsia="Calibri" w:hAnsi="Arial" w:cs="Arial"/>
          <w:sz w:val="22"/>
          <w:szCs w:val="22"/>
          <w:highlight w:val="yellow"/>
          <w:vertAlign w:val="superscript"/>
        </w:rPr>
        <w:t xml:space="preserve">4 </w:t>
      </w:r>
      <w:r w:rsidRPr="00EE3A3D">
        <w:rPr>
          <w:rFonts w:ascii="Arial" w:eastAsia="Calibri" w:hAnsi="Arial" w:cs="Arial"/>
          <w:sz w:val="22"/>
          <w:szCs w:val="22"/>
          <w:highlight w:val="yellow"/>
        </w:rPr>
        <w:t xml:space="preserve">SMA560 parental cells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on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the contralateral hemisphere using the coordinates described earlier. A total of five C57BL/6J or VM/Dk mice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 xml:space="preserve"> were used</w:t>
      </w:r>
      <w:r w:rsidRPr="00EE3A3D">
        <w:rPr>
          <w:rFonts w:ascii="Arial" w:eastAsia="Calibri" w:hAnsi="Arial" w:cs="Times New Roman"/>
          <w:sz w:val="22"/>
          <w:highlight w:val="yellow"/>
        </w:rPr>
        <w:t xml:space="preserve"> as controls. Animals were observed twice daily for signs of distress or development of neurologic symptoms, at which time, they </w:t>
      </w:r>
      <w:r w:rsidRPr="00EE3A3D">
        <w:rPr>
          <w:rFonts w:ascii="Arial" w:eastAsia="Calibri" w:hAnsi="Arial" w:cs="Times New Roman"/>
          <w:noProof/>
          <w:sz w:val="22"/>
          <w:highlight w:val="yellow"/>
        </w:rPr>
        <w:t>were euthanized</w:t>
      </w:r>
      <w:r w:rsidRPr="00EE3A3D">
        <w:rPr>
          <w:rFonts w:ascii="Arial" w:eastAsia="Calibri" w:hAnsi="Arial" w:cs="Times New Roman"/>
          <w:sz w:val="22"/>
          <w:highlight w:val="yellow"/>
        </w:rPr>
        <w:t>.</w:t>
      </w:r>
    </w:p>
    <w:p w14:paraId="649AFDF8" w14:textId="77777777" w:rsidR="00FD3698" w:rsidRPr="00FD3698" w:rsidRDefault="00FD3698" w:rsidP="00FD3698">
      <w:pPr>
        <w:pStyle w:val="EndNoteBibliography"/>
        <w:spacing w:line="480" w:lineRule="auto"/>
        <w:rPr>
          <w:rFonts w:ascii="Arial" w:hAnsi="Arial" w:cs="Arial"/>
          <w:sz w:val="22"/>
          <w:szCs w:val="22"/>
          <w:lang w:eastAsia="zh-CN"/>
        </w:rPr>
      </w:pPr>
    </w:p>
    <w:p w14:paraId="17ABCE76" w14:textId="56CA27A5" w:rsidR="00A940C6" w:rsidRDefault="00A940C6">
      <w:pPr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br w:type="page"/>
      </w:r>
    </w:p>
    <w:p w14:paraId="643A3AAA" w14:textId="1B9C6CA7" w:rsidR="00FD3698" w:rsidRPr="003C6FD1" w:rsidRDefault="003C6FD1" w:rsidP="003027A8">
      <w:pPr>
        <w:pStyle w:val="EndNoteBibliography"/>
        <w:ind w:left="720" w:hanging="720"/>
        <w:rPr>
          <w:rFonts w:ascii="Arial" w:hAnsi="Arial" w:cs="Arial"/>
          <w:b/>
          <w:sz w:val="22"/>
          <w:lang w:eastAsia="zh-CN"/>
        </w:rPr>
      </w:pPr>
      <w:r w:rsidRPr="003C6FD1">
        <w:rPr>
          <w:rFonts w:ascii="Arial" w:hAnsi="Arial" w:cs="Arial"/>
          <w:b/>
          <w:sz w:val="22"/>
          <w:lang w:eastAsia="zh-CN"/>
        </w:rPr>
        <w:lastRenderedPageBreak/>
        <w:t>Reference</w:t>
      </w:r>
    </w:p>
    <w:p w14:paraId="1E4FE038" w14:textId="77777777" w:rsidR="00FD3698" w:rsidRDefault="00FD3698" w:rsidP="003027A8">
      <w:pPr>
        <w:pStyle w:val="EndNoteBibliography"/>
        <w:ind w:left="720" w:hanging="720"/>
        <w:rPr>
          <w:lang w:eastAsia="zh-CN"/>
        </w:rPr>
      </w:pPr>
    </w:p>
    <w:p w14:paraId="29C31283" w14:textId="77777777" w:rsidR="00AF018E" w:rsidRPr="003F4D48" w:rsidRDefault="00344F26" w:rsidP="003F4D48">
      <w:pPr>
        <w:pStyle w:val="EndNoteBibliography"/>
        <w:ind w:left="360" w:hanging="360"/>
        <w:rPr>
          <w:rFonts w:ascii="Arial" w:hAnsi="Arial" w:cs="Arial"/>
          <w:sz w:val="22"/>
          <w:szCs w:val="22"/>
        </w:rPr>
      </w:pPr>
      <w:r w:rsidRPr="003F4D48">
        <w:rPr>
          <w:rFonts w:ascii="Arial" w:hAnsi="Arial" w:cs="Arial"/>
          <w:sz w:val="22"/>
          <w:szCs w:val="22"/>
          <w:lang w:eastAsia="zh-CN"/>
        </w:rPr>
        <w:fldChar w:fldCharType="begin"/>
      </w:r>
      <w:r w:rsidRPr="003F4D48">
        <w:rPr>
          <w:rFonts w:ascii="Arial" w:hAnsi="Arial" w:cs="Arial"/>
          <w:sz w:val="22"/>
          <w:szCs w:val="22"/>
          <w:lang w:eastAsia="zh-CN"/>
        </w:rPr>
        <w:instrText xml:space="preserve"> ADDIN EN.REFLIST </w:instrText>
      </w:r>
      <w:r w:rsidRPr="003F4D48">
        <w:rPr>
          <w:rFonts w:ascii="Arial" w:hAnsi="Arial" w:cs="Arial"/>
          <w:sz w:val="22"/>
          <w:szCs w:val="22"/>
          <w:lang w:eastAsia="zh-CN"/>
        </w:rPr>
        <w:fldChar w:fldCharType="end"/>
      </w:r>
      <w:r w:rsidR="00AF018E" w:rsidRPr="003F4D48">
        <w:rPr>
          <w:rFonts w:ascii="Arial" w:hAnsi="Arial" w:cs="Arial"/>
          <w:sz w:val="22"/>
          <w:szCs w:val="22"/>
        </w:rPr>
        <w:t>1.</w:t>
      </w:r>
      <w:r w:rsidR="00AF018E" w:rsidRPr="003F4D48">
        <w:rPr>
          <w:rFonts w:ascii="Arial" w:hAnsi="Arial" w:cs="Arial"/>
          <w:sz w:val="22"/>
          <w:szCs w:val="22"/>
        </w:rPr>
        <w:tab/>
        <w:t>Chandramohan V, Bao X, Keir ST, Pegram CN, Szafranski SE, Piao H, et al. Construction of an immunotoxin, D2C7-(scdsFv</w:t>
      </w:r>
      <w:bookmarkStart w:id="0" w:name="_GoBack"/>
      <w:bookmarkEnd w:id="0"/>
      <w:r w:rsidR="00AF018E" w:rsidRPr="003F4D48">
        <w:rPr>
          <w:rFonts w:ascii="Arial" w:hAnsi="Arial" w:cs="Arial"/>
          <w:sz w:val="22"/>
          <w:szCs w:val="22"/>
        </w:rPr>
        <w:t>)-PE38KDEL, targeting EGFRwt and EGFRvIII for brain tumor therapy. Clin Cancer Res. 2013;19(17):4717-27.</w:t>
      </w:r>
    </w:p>
    <w:p w14:paraId="14F83851" w14:textId="77777777" w:rsidR="00AF018E" w:rsidRPr="003F4D48" w:rsidRDefault="00AF018E" w:rsidP="003F4D48">
      <w:pPr>
        <w:pStyle w:val="EndNoteBibliography"/>
        <w:ind w:left="360" w:hanging="360"/>
        <w:rPr>
          <w:rFonts w:ascii="Arial" w:hAnsi="Arial" w:cs="Arial"/>
          <w:sz w:val="22"/>
          <w:szCs w:val="22"/>
        </w:rPr>
      </w:pPr>
      <w:r w:rsidRPr="003F4D48">
        <w:rPr>
          <w:rFonts w:ascii="Arial" w:hAnsi="Arial" w:cs="Arial"/>
          <w:sz w:val="22"/>
          <w:szCs w:val="22"/>
        </w:rPr>
        <w:t>2.</w:t>
      </w:r>
      <w:r w:rsidRPr="003F4D48">
        <w:rPr>
          <w:rFonts w:ascii="Arial" w:hAnsi="Arial" w:cs="Arial"/>
          <w:sz w:val="22"/>
          <w:szCs w:val="22"/>
        </w:rPr>
        <w:tab/>
        <w:t>Yu YR, O'Koren EG, Hotten DF, Kan MJ, Kopin D, Nelson ER, et al. A Protocol for the Comprehensive Flow Cytometric Analysis of Immune Cells in Normal and Inflamed Murine Non-Lymphoid Tissues. PLoS One. 2016;11(3):e0150606.</w:t>
      </w:r>
    </w:p>
    <w:p w14:paraId="7723DE71" w14:textId="766FE8CD" w:rsidR="00FA0F39" w:rsidRPr="00201B31" w:rsidRDefault="00FA0F39" w:rsidP="003027A8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lang w:eastAsia="zh-CN"/>
        </w:rPr>
      </w:pPr>
    </w:p>
    <w:sectPr w:rsidR="00FA0F39" w:rsidRPr="00201B31" w:rsidSect="00E51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F0F78" w14:textId="77777777" w:rsidR="00ED66D3" w:rsidRDefault="00ED66D3" w:rsidP="00FA0F39">
      <w:r>
        <w:separator/>
      </w:r>
    </w:p>
  </w:endnote>
  <w:endnote w:type="continuationSeparator" w:id="0">
    <w:p w14:paraId="0E51EBE4" w14:textId="77777777" w:rsidR="00ED66D3" w:rsidRDefault="00ED66D3" w:rsidP="00FA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65688" w14:textId="77777777" w:rsidR="00ED66D3" w:rsidRDefault="00ED66D3" w:rsidP="00FA0F39">
      <w:r>
        <w:separator/>
      </w:r>
    </w:p>
  </w:footnote>
  <w:footnote w:type="continuationSeparator" w:id="0">
    <w:p w14:paraId="2BBC103F" w14:textId="77777777" w:rsidR="00ED66D3" w:rsidRDefault="00ED66D3" w:rsidP="00FA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1F1"/>
    <w:multiLevelType w:val="hybridMultilevel"/>
    <w:tmpl w:val="09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82F9E"/>
    <w:multiLevelType w:val="hybridMultilevel"/>
    <w:tmpl w:val="3C9E0288"/>
    <w:lvl w:ilvl="0" w:tplc="884C376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05E05"/>
    <w:multiLevelType w:val="hybridMultilevel"/>
    <w:tmpl w:val="3BAECCB0"/>
    <w:lvl w:ilvl="0" w:tplc="3F588780">
      <w:start w:val="1"/>
      <w:numFmt w:val="decimal"/>
      <w:lvlText w:val="2.%1 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W0MDWyMDC1sLA0s7RQ0lEKTi0uzszPAykwNK8FANoi9R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5092r05wve5cexvpnvrxsixf9z50pt2s0z&quot;&gt;Complete collection of References&lt;record-ids&gt;&lt;item&gt;194&lt;/item&gt;&lt;item&gt;201&lt;/item&gt;&lt;item&gt;214&lt;/item&gt;&lt;/record-ids&gt;&lt;/item&gt;&lt;/Libraries&gt;"/>
  </w:docVars>
  <w:rsids>
    <w:rsidRoot w:val="00FA0F39"/>
    <w:rsid w:val="00026839"/>
    <w:rsid w:val="00044D3B"/>
    <w:rsid w:val="00045C80"/>
    <w:rsid w:val="00046A19"/>
    <w:rsid w:val="00055A1E"/>
    <w:rsid w:val="0007238F"/>
    <w:rsid w:val="000733FB"/>
    <w:rsid w:val="00091FBC"/>
    <w:rsid w:val="00095574"/>
    <w:rsid w:val="000B3514"/>
    <w:rsid w:val="000D7C5C"/>
    <w:rsid w:val="000E1031"/>
    <w:rsid w:val="000F6D6C"/>
    <w:rsid w:val="000F77DE"/>
    <w:rsid w:val="00106430"/>
    <w:rsid w:val="001074AE"/>
    <w:rsid w:val="00112575"/>
    <w:rsid w:val="00117F3D"/>
    <w:rsid w:val="00121D2C"/>
    <w:rsid w:val="0012224D"/>
    <w:rsid w:val="001227B6"/>
    <w:rsid w:val="0013176A"/>
    <w:rsid w:val="001337FB"/>
    <w:rsid w:val="00137D5F"/>
    <w:rsid w:val="00141C2F"/>
    <w:rsid w:val="00145FC9"/>
    <w:rsid w:val="00150DB7"/>
    <w:rsid w:val="00196EF3"/>
    <w:rsid w:val="001A2992"/>
    <w:rsid w:val="001A4037"/>
    <w:rsid w:val="001B0A1F"/>
    <w:rsid w:val="001B1190"/>
    <w:rsid w:val="001B323B"/>
    <w:rsid w:val="001D6AE5"/>
    <w:rsid w:val="001E4690"/>
    <w:rsid w:val="001E5A0D"/>
    <w:rsid w:val="001F30AB"/>
    <w:rsid w:val="001F3B25"/>
    <w:rsid w:val="001F68BA"/>
    <w:rsid w:val="001F740D"/>
    <w:rsid w:val="00201B31"/>
    <w:rsid w:val="002142B5"/>
    <w:rsid w:val="00230597"/>
    <w:rsid w:val="002308CE"/>
    <w:rsid w:val="00232A6F"/>
    <w:rsid w:val="00235396"/>
    <w:rsid w:val="002362BA"/>
    <w:rsid w:val="0023783B"/>
    <w:rsid w:val="00254378"/>
    <w:rsid w:val="00264359"/>
    <w:rsid w:val="00266BDB"/>
    <w:rsid w:val="00273E74"/>
    <w:rsid w:val="002814B7"/>
    <w:rsid w:val="002819D9"/>
    <w:rsid w:val="002872B8"/>
    <w:rsid w:val="002A0DC2"/>
    <w:rsid w:val="002A3273"/>
    <w:rsid w:val="002C2BB7"/>
    <w:rsid w:val="002C74A7"/>
    <w:rsid w:val="002E1BF2"/>
    <w:rsid w:val="002F7589"/>
    <w:rsid w:val="003027A8"/>
    <w:rsid w:val="00310E97"/>
    <w:rsid w:val="00317332"/>
    <w:rsid w:val="0031741F"/>
    <w:rsid w:val="00344F26"/>
    <w:rsid w:val="00361DE9"/>
    <w:rsid w:val="003712FF"/>
    <w:rsid w:val="00371EB5"/>
    <w:rsid w:val="0039289A"/>
    <w:rsid w:val="003931EE"/>
    <w:rsid w:val="003A5052"/>
    <w:rsid w:val="003A5535"/>
    <w:rsid w:val="003A5657"/>
    <w:rsid w:val="003B532F"/>
    <w:rsid w:val="003C6FD1"/>
    <w:rsid w:val="003D532B"/>
    <w:rsid w:val="003F38CF"/>
    <w:rsid w:val="003F4D48"/>
    <w:rsid w:val="003F5C46"/>
    <w:rsid w:val="00405164"/>
    <w:rsid w:val="00412EB5"/>
    <w:rsid w:val="00426160"/>
    <w:rsid w:val="004344CF"/>
    <w:rsid w:val="00440F66"/>
    <w:rsid w:val="00465D0A"/>
    <w:rsid w:val="00470468"/>
    <w:rsid w:val="00475D80"/>
    <w:rsid w:val="0048591A"/>
    <w:rsid w:val="004A51A6"/>
    <w:rsid w:val="004B4E4A"/>
    <w:rsid w:val="004B514E"/>
    <w:rsid w:val="004C4455"/>
    <w:rsid w:val="004D232D"/>
    <w:rsid w:val="004D4897"/>
    <w:rsid w:val="004E5D8D"/>
    <w:rsid w:val="004E65C9"/>
    <w:rsid w:val="004E74EC"/>
    <w:rsid w:val="004F0440"/>
    <w:rsid w:val="004F1475"/>
    <w:rsid w:val="0050717A"/>
    <w:rsid w:val="00512618"/>
    <w:rsid w:val="00514590"/>
    <w:rsid w:val="00515516"/>
    <w:rsid w:val="0052220A"/>
    <w:rsid w:val="00532962"/>
    <w:rsid w:val="00541633"/>
    <w:rsid w:val="00543D0F"/>
    <w:rsid w:val="00547781"/>
    <w:rsid w:val="00555A02"/>
    <w:rsid w:val="0057465E"/>
    <w:rsid w:val="00591A42"/>
    <w:rsid w:val="00593E46"/>
    <w:rsid w:val="00597CDA"/>
    <w:rsid w:val="005A7545"/>
    <w:rsid w:val="005B36C0"/>
    <w:rsid w:val="005B49FC"/>
    <w:rsid w:val="005B515D"/>
    <w:rsid w:val="005B543D"/>
    <w:rsid w:val="005B79E0"/>
    <w:rsid w:val="005C30E3"/>
    <w:rsid w:val="005C6922"/>
    <w:rsid w:val="005D16D6"/>
    <w:rsid w:val="005E3E2E"/>
    <w:rsid w:val="005E41BA"/>
    <w:rsid w:val="005F103A"/>
    <w:rsid w:val="005F5C20"/>
    <w:rsid w:val="005F5EDB"/>
    <w:rsid w:val="00600BA2"/>
    <w:rsid w:val="00615440"/>
    <w:rsid w:val="006160C3"/>
    <w:rsid w:val="0062560C"/>
    <w:rsid w:val="00651BCA"/>
    <w:rsid w:val="00653955"/>
    <w:rsid w:val="006B038B"/>
    <w:rsid w:val="006B67F0"/>
    <w:rsid w:val="006D2B0C"/>
    <w:rsid w:val="006D3449"/>
    <w:rsid w:val="006D6B14"/>
    <w:rsid w:val="00706581"/>
    <w:rsid w:val="00720088"/>
    <w:rsid w:val="007248FC"/>
    <w:rsid w:val="00752F58"/>
    <w:rsid w:val="0075481C"/>
    <w:rsid w:val="007602E2"/>
    <w:rsid w:val="00763434"/>
    <w:rsid w:val="00765C40"/>
    <w:rsid w:val="007864E0"/>
    <w:rsid w:val="00793B53"/>
    <w:rsid w:val="007A24BC"/>
    <w:rsid w:val="007B6D00"/>
    <w:rsid w:val="007C13A0"/>
    <w:rsid w:val="007C34F8"/>
    <w:rsid w:val="007C5BB5"/>
    <w:rsid w:val="007E5E1F"/>
    <w:rsid w:val="007E67FD"/>
    <w:rsid w:val="007F4424"/>
    <w:rsid w:val="007F6EAD"/>
    <w:rsid w:val="00804E77"/>
    <w:rsid w:val="00814F99"/>
    <w:rsid w:val="00826A20"/>
    <w:rsid w:val="00836AA5"/>
    <w:rsid w:val="00836E0B"/>
    <w:rsid w:val="008460A4"/>
    <w:rsid w:val="00847171"/>
    <w:rsid w:val="0087405E"/>
    <w:rsid w:val="008814C7"/>
    <w:rsid w:val="00890819"/>
    <w:rsid w:val="008E50FD"/>
    <w:rsid w:val="008E6E21"/>
    <w:rsid w:val="00900423"/>
    <w:rsid w:val="009244B6"/>
    <w:rsid w:val="009349C7"/>
    <w:rsid w:val="00940722"/>
    <w:rsid w:val="00953375"/>
    <w:rsid w:val="00956518"/>
    <w:rsid w:val="009670AE"/>
    <w:rsid w:val="00984C6D"/>
    <w:rsid w:val="009A0095"/>
    <w:rsid w:val="009A2883"/>
    <w:rsid w:val="009A516B"/>
    <w:rsid w:val="009C6E23"/>
    <w:rsid w:val="009C72C8"/>
    <w:rsid w:val="009E1AA8"/>
    <w:rsid w:val="009E2270"/>
    <w:rsid w:val="00A05835"/>
    <w:rsid w:val="00A07115"/>
    <w:rsid w:val="00A22724"/>
    <w:rsid w:val="00A36C4C"/>
    <w:rsid w:val="00A44118"/>
    <w:rsid w:val="00A65287"/>
    <w:rsid w:val="00A66E65"/>
    <w:rsid w:val="00A71EFE"/>
    <w:rsid w:val="00A726C4"/>
    <w:rsid w:val="00A73D1D"/>
    <w:rsid w:val="00A741F1"/>
    <w:rsid w:val="00A74C02"/>
    <w:rsid w:val="00A8328B"/>
    <w:rsid w:val="00A83CF4"/>
    <w:rsid w:val="00A879E0"/>
    <w:rsid w:val="00A90CD9"/>
    <w:rsid w:val="00A940C6"/>
    <w:rsid w:val="00AA1FA8"/>
    <w:rsid w:val="00AB0E94"/>
    <w:rsid w:val="00AB251B"/>
    <w:rsid w:val="00AB5FAF"/>
    <w:rsid w:val="00AD3B22"/>
    <w:rsid w:val="00AD44D5"/>
    <w:rsid w:val="00AE29BE"/>
    <w:rsid w:val="00AE66AD"/>
    <w:rsid w:val="00AF018E"/>
    <w:rsid w:val="00B03D26"/>
    <w:rsid w:val="00B2077B"/>
    <w:rsid w:val="00B261BD"/>
    <w:rsid w:val="00B30A46"/>
    <w:rsid w:val="00B32EE2"/>
    <w:rsid w:val="00B352C7"/>
    <w:rsid w:val="00B4196A"/>
    <w:rsid w:val="00B57903"/>
    <w:rsid w:val="00B63D8B"/>
    <w:rsid w:val="00B6658B"/>
    <w:rsid w:val="00B81A4C"/>
    <w:rsid w:val="00B835CA"/>
    <w:rsid w:val="00B85BF1"/>
    <w:rsid w:val="00B869B8"/>
    <w:rsid w:val="00B95827"/>
    <w:rsid w:val="00BA018B"/>
    <w:rsid w:val="00BA0237"/>
    <w:rsid w:val="00BA1710"/>
    <w:rsid w:val="00BC3F17"/>
    <w:rsid w:val="00BC6EDC"/>
    <w:rsid w:val="00BD28A7"/>
    <w:rsid w:val="00BD4AC2"/>
    <w:rsid w:val="00BD794D"/>
    <w:rsid w:val="00BE21F0"/>
    <w:rsid w:val="00BE49F5"/>
    <w:rsid w:val="00BF13BC"/>
    <w:rsid w:val="00BF1E1A"/>
    <w:rsid w:val="00C01113"/>
    <w:rsid w:val="00C03201"/>
    <w:rsid w:val="00C26B8F"/>
    <w:rsid w:val="00C30939"/>
    <w:rsid w:val="00C3605B"/>
    <w:rsid w:val="00C502B8"/>
    <w:rsid w:val="00C53CA5"/>
    <w:rsid w:val="00C66A47"/>
    <w:rsid w:val="00C70464"/>
    <w:rsid w:val="00C76899"/>
    <w:rsid w:val="00CA0DB1"/>
    <w:rsid w:val="00CA36AA"/>
    <w:rsid w:val="00CB66DC"/>
    <w:rsid w:val="00CB7645"/>
    <w:rsid w:val="00CE5F2E"/>
    <w:rsid w:val="00CF6EAE"/>
    <w:rsid w:val="00D1489D"/>
    <w:rsid w:val="00D24655"/>
    <w:rsid w:val="00D30C62"/>
    <w:rsid w:val="00D7571F"/>
    <w:rsid w:val="00D77A80"/>
    <w:rsid w:val="00D8067A"/>
    <w:rsid w:val="00D97CAE"/>
    <w:rsid w:val="00DC76AD"/>
    <w:rsid w:val="00DF2919"/>
    <w:rsid w:val="00E219EB"/>
    <w:rsid w:val="00E234EE"/>
    <w:rsid w:val="00E35CFA"/>
    <w:rsid w:val="00E511C0"/>
    <w:rsid w:val="00E769B9"/>
    <w:rsid w:val="00E85DC2"/>
    <w:rsid w:val="00E868FE"/>
    <w:rsid w:val="00E903E0"/>
    <w:rsid w:val="00EA5914"/>
    <w:rsid w:val="00EA757C"/>
    <w:rsid w:val="00EB0922"/>
    <w:rsid w:val="00EC64F9"/>
    <w:rsid w:val="00ED2E8C"/>
    <w:rsid w:val="00ED66D3"/>
    <w:rsid w:val="00EE2CCE"/>
    <w:rsid w:val="00EE3A3D"/>
    <w:rsid w:val="00F02A57"/>
    <w:rsid w:val="00F179CB"/>
    <w:rsid w:val="00F426A0"/>
    <w:rsid w:val="00F56675"/>
    <w:rsid w:val="00F70532"/>
    <w:rsid w:val="00F73F91"/>
    <w:rsid w:val="00F770B0"/>
    <w:rsid w:val="00F87694"/>
    <w:rsid w:val="00F957F5"/>
    <w:rsid w:val="00FA0F39"/>
    <w:rsid w:val="00FA2B84"/>
    <w:rsid w:val="00FA7833"/>
    <w:rsid w:val="00FB169F"/>
    <w:rsid w:val="00FB4970"/>
    <w:rsid w:val="00FC47FE"/>
    <w:rsid w:val="00FD3698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6F60"/>
  <w14:defaultImageDpi w14:val="330"/>
  <w15:chartTrackingRefBased/>
  <w15:docId w15:val="{B112F279-8D29-4F83-935F-12EA02DA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F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A0F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F39"/>
    <w:rPr>
      <w:rFonts w:ascii="Times New Roman" w:hAnsi="Times New Roman" w:cs="Times New Roman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F39"/>
    <w:rPr>
      <w:rFonts w:ascii="Times New Roman" w:hAnsi="Times New Roman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A0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F39"/>
  </w:style>
  <w:style w:type="paragraph" w:styleId="Footer">
    <w:name w:val="footer"/>
    <w:basedOn w:val="Normal"/>
    <w:link w:val="FooterChar"/>
    <w:uiPriority w:val="99"/>
    <w:unhideWhenUsed/>
    <w:rsid w:val="00FA0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F39"/>
  </w:style>
  <w:style w:type="paragraph" w:customStyle="1" w:styleId="EndNoteBibliographyTitle">
    <w:name w:val="EndNote Bibliography Title"/>
    <w:basedOn w:val="Normal"/>
    <w:rsid w:val="00344F26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344F26"/>
    <w:pPr>
      <w:jc w:val="both"/>
    </w:pPr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A3D"/>
    <w:pPr>
      <w:spacing w:after="200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A3D"/>
    <w:rPr>
      <w:rFonts w:ascii="Calibri" w:eastAsia="Calibri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Yu</dc:creator>
  <cp:keywords/>
  <dc:description/>
  <cp:lastModifiedBy>Vidya Chandramohan</cp:lastModifiedBy>
  <cp:revision>2</cp:revision>
  <dcterms:created xsi:type="dcterms:W3CDTF">2019-04-16T13:30:00Z</dcterms:created>
  <dcterms:modified xsi:type="dcterms:W3CDTF">2019-04-23T17:03:00Z</dcterms:modified>
</cp:coreProperties>
</file>