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4DA" w:rsidRDefault="003B14DA" w:rsidP="003B14D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3B14DA" w:rsidRDefault="003B14DA" w:rsidP="003B14D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 wp14:anchorId="2214CB19" wp14:editId="12C031A3">
            <wp:extent cx="5274310" cy="278701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upplementary Figure 5.tif"/>
                    <pic:cNvPicPr/>
                  </pic:nvPicPr>
                  <pic:blipFill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4DA" w:rsidRDefault="003B14DA" w:rsidP="003B14D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3B14DA" w:rsidRPr="003840E7" w:rsidRDefault="003B14DA" w:rsidP="003B14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297A"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07C3">
        <w:rPr>
          <w:rFonts w:ascii="Times New Roman" w:hAnsi="Times New Roman" w:cs="Times New Roman"/>
          <w:b/>
          <w:bCs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890DB3">
        <w:rPr>
          <w:rFonts w:ascii="Times New Roman" w:hAnsi="Times New Roman" w:cs="Times New Roman"/>
          <w:b/>
          <w:bCs/>
          <w:sz w:val="24"/>
          <w:szCs w:val="24"/>
        </w:rPr>
        <w:t>Mean pl</w:t>
      </w:r>
      <w:r w:rsidRPr="00BF6143">
        <w:rPr>
          <w:rFonts w:ascii="Times New Roman" w:hAnsi="Times New Roman" w:cs="Times New Roman"/>
          <w:b/>
          <w:bCs/>
          <w:sz w:val="24"/>
          <w:szCs w:val="24"/>
        </w:rPr>
        <w:t>asma and tumor concentrations of APG-115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MH-22A tumor bearing mice after treatment. </w:t>
      </w:r>
      <w:r w:rsidRPr="00E56B97">
        <w:rPr>
          <w:rFonts w:ascii="Times New Roman" w:hAnsi="Times New Roman" w:cs="Times New Roman"/>
          <w:sz w:val="24"/>
          <w:szCs w:val="24"/>
        </w:rPr>
        <w:t>Mice</w:t>
      </w:r>
      <w:r>
        <w:rPr>
          <w:rFonts w:ascii="Times New Roman" w:hAnsi="Times New Roman" w:cs="Times New Roman"/>
          <w:sz w:val="24"/>
          <w:szCs w:val="24"/>
        </w:rPr>
        <w:t xml:space="preserve"> bearing</w:t>
      </w:r>
      <w:r w:rsidRPr="00E56B97">
        <w:rPr>
          <w:rFonts w:ascii="Times New Roman" w:hAnsi="Times New Roman" w:cs="Times New Roman"/>
          <w:sz w:val="24"/>
          <w:szCs w:val="24"/>
        </w:rPr>
        <w:t xml:space="preserve"> </w:t>
      </w:r>
      <w:r w:rsidRPr="00890DB3">
        <w:rPr>
          <w:rFonts w:ascii="Times New Roman" w:hAnsi="Times New Roman" w:cs="Times New Roman"/>
          <w:bCs/>
          <w:sz w:val="24"/>
          <w:szCs w:val="24"/>
        </w:rPr>
        <w:t>MH-22A tumor were treated with vehicle, APG-115, anti-PD-1 alone or their combination. Four hours after the drug administration on day eight,</w:t>
      </w:r>
      <w:r w:rsidRPr="00E56B97"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Pr="00BF6143">
        <w:rPr>
          <w:rFonts w:ascii="Times New Roman" w:hAnsi="Times New Roman" w:cs="Times New Roman"/>
          <w:bCs/>
          <w:sz w:val="24"/>
          <w:szCs w:val="24"/>
        </w:rPr>
        <w:t>he plasma and tumor concentration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F6143">
        <w:rPr>
          <w:rFonts w:ascii="Times New Roman" w:hAnsi="Times New Roman" w:cs="Times New Roman"/>
          <w:bCs/>
          <w:sz w:val="24"/>
          <w:szCs w:val="24"/>
        </w:rPr>
        <w:t xml:space="preserve"> of APG-115 were analyzed by quantitative </w:t>
      </w:r>
      <w:r>
        <w:rPr>
          <w:rFonts w:ascii="Times New Roman" w:hAnsi="Times New Roman" w:cs="Times New Roman"/>
          <w:sz w:val="24"/>
          <w:szCs w:val="24"/>
        </w:rPr>
        <w:t>liquid chromatography mass spectrometry (</w:t>
      </w:r>
      <w:r w:rsidRPr="00BF6143">
        <w:rPr>
          <w:rFonts w:ascii="Times New Roman" w:hAnsi="Times New Roman" w:cs="Times New Roman"/>
          <w:bCs/>
          <w:sz w:val="24"/>
          <w:szCs w:val="24"/>
        </w:rPr>
        <w:t>LC/MS/MS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Briefly, quantitative LC/MS/MS analysis was conducted using an Exion HPLC system (AB Sciex) coupled to an API 5500 mass spectrometer (AB Sciex) equipped with an API electrospray ionization source. The Phenomenex Titank phenyl-Hexyl column (50 mm × 2.1 mm, 5 μm particle size) was used to achieved HPLC separation. The injection volume was 2 µL and the flow rate was kept constantly at 0.5 mL/min. Chromatography was performed with mobile phase A, acetonitrile: water: formic (5:95:0.1, in volume) and B, acetonitrile: water: formic (95:5:0.1, in volume). The mass spectrometer was operated at ESI positive ion mode for APG-115. The results were presented as dot plots with each dot representing a sample. </w:t>
      </w:r>
    </w:p>
    <w:p w:rsidR="00BD530E" w:rsidRPr="003B14DA" w:rsidRDefault="00BD530E" w:rsidP="003B14DA"/>
    <w:sectPr w:rsidR="00BD530E" w:rsidRPr="003B14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906D1"/>
    <w:rsid w:val="003B14DA"/>
    <w:rsid w:val="005906D1"/>
    <w:rsid w:val="00735E7E"/>
    <w:rsid w:val="007D1E9D"/>
    <w:rsid w:val="00BB2AFE"/>
    <w:rsid w:val="00BD530E"/>
    <w:rsid w:val="00E521DC"/>
    <w:rsid w:val="00F2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6D1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Theme="minorEastAsia"/>
      <w:b/>
      <w:bCs/>
      <w:kern w:val="44"/>
      <w:sz w:val="44"/>
      <w:szCs w:val="4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6D1"/>
    <w:rPr>
      <w:rFonts w:eastAsiaTheme="minorEastAsia"/>
      <w:b/>
      <w:bCs/>
      <w:kern w:val="44"/>
      <w:sz w:val="44"/>
      <w:szCs w:val="4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6D1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Theme="minorEastAsia"/>
      <w:b/>
      <w:bCs/>
      <w:kern w:val="44"/>
      <w:sz w:val="44"/>
      <w:szCs w:val="4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6D1"/>
    <w:rPr>
      <w:rFonts w:eastAsiaTheme="minorEastAsia"/>
      <w:b/>
      <w:bCs/>
      <w:kern w:val="44"/>
      <w:sz w:val="44"/>
      <w:szCs w:val="4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934</Characters>
  <Application>Microsoft Office Word</Application>
  <DocSecurity>0</DocSecurity>
  <Lines>16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S3G_Change_Case</cp:lastModifiedBy>
  <cp:revision>3</cp:revision>
  <dcterms:created xsi:type="dcterms:W3CDTF">2019-10-12T13:02:00Z</dcterms:created>
  <dcterms:modified xsi:type="dcterms:W3CDTF">2019-10-12T14:50:00Z</dcterms:modified>
</cp:coreProperties>
</file>