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723" w:rsidRDefault="00F76F41">
      <w:pPr>
        <w:rPr>
          <w:b/>
        </w:rPr>
      </w:pPr>
      <w:r>
        <w:rPr>
          <w:b/>
        </w:rPr>
        <w:t>Additional file</w:t>
      </w:r>
      <w:r w:rsidR="00355723" w:rsidRPr="00B359C6">
        <w:rPr>
          <w:b/>
        </w:rPr>
        <w:t xml:space="preserve"> </w:t>
      </w:r>
      <w:r w:rsidR="00A27F1E">
        <w:rPr>
          <w:b/>
        </w:rPr>
        <w:t>4</w:t>
      </w:r>
      <w:r w:rsidR="00355723" w:rsidRPr="00B359C6">
        <w:rPr>
          <w:b/>
        </w:rPr>
        <w:t>: Multivariate clustering</w:t>
      </w:r>
    </w:p>
    <w:p w:rsidR="00B403A2" w:rsidRPr="00C2624B" w:rsidRDefault="00A27F1E" w:rsidP="00B403A2">
      <w:pPr>
        <w:spacing w:line="480" w:lineRule="auto"/>
        <w:rPr>
          <w:lang w:val="en-CA"/>
        </w:rPr>
      </w:pPr>
      <w:r w:rsidRPr="00B359C6">
        <w:rPr>
          <w:lang w:val="en-CA"/>
        </w:rPr>
        <w:t>We expanded our latent-variable model by adding a second normal distribution associated</w:t>
      </w:r>
      <w:r w:rsidRPr="00C2624B">
        <w:rPr>
          <w:lang w:val="en-CA"/>
        </w:rPr>
        <w:t xml:space="preserve"> </w:t>
      </w:r>
      <w:r>
        <w:rPr>
          <w:lang w:val="en-CA"/>
        </w:rPr>
        <w:t>with</w:t>
      </w:r>
      <w:r w:rsidRPr="00C2624B">
        <w:rPr>
          <w:lang w:val="en-CA"/>
        </w:rPr>
        <w:t xml:space="preserve"> a potential new variable</w:t>
      </w:r>
      <w:r>
        <w:rPr>
          <w:lang w:val="en-CA"/>
        </w:rPr>
        <w:t xml:space="preserve"> and expanding the vector of NSD values </w:t>
      </w:r>
      <w:r>
        <w:rPr>
          <w:i/>
          <w:lang w:val="en-CA"/>
        </w:rPr>
        <w:t>y</w:t>
      </w:r>
      <w:r>
        <w:rPr>
          <w:lang w:val="en-CA"/>
        </w:rPr>
        <w:t xml:space="preserve"> to a two columns matrix</w:t>
      </w:r>
      <w:r w:rsidRPr="00C2624B">
        <w:rPr>
          <w:lang w:val="en-CA"/>
        </w:rPr>
        <w:t xml:space="preserve">. For a given vector of </w:t>
      </w:r>
      <w:r>
        <w:rPr>
          <w:lang w:val="en-CA"/>
        </w:rPr>
        <w:t>mode</w:t>
      </w:r>
      <w:r w:rsidRPr="00C2624B">
        <w:rPr>
          <w:lang w:val="en-CA"/>
        </w:rPr>
        <w:t xml:space="preserve">s </w:t>
      </w:r>
      <w:r w:rsidRPr="00C2624B">
        <w:rPr>
          <w:i/>
          <w:lang w:val="en-CA"/>
        </w:rPr>
        <w:t>I</w:t>
      </w:r>
      <w:r>
        <w:rPr>
          <w:i/>
          <w:lang w:val="en-CA"/>
        </w:rPr>
        <w:t xml:space="preserve"> </w:t>
      </w:r>
      <w:r>
        <w:rPr>
          <w:lang w:val="en-CA"/>
        </w:rPr>
        <w:t xml:space="preserve">and given data </w:t>
      </w:r>
      <w:r>
        <w:rPr>
          <w:i/>
          <w:lang w:val="en-CA"/>
        </w:rPr>
        <w:t>y</w:t>
      </w:r>
      <w:r w:rsidRPr="00C2624B">
        <w:rPr>
          <w:lang w:val="en-CA"/>
        </w:rPr>
        <w:t>, the likelihood function</w:t>
      </w:r>
      <w:r>
        <w:rPr>
          <w:lang w:val="en-CA"/>
        </w:rPr>
        <w:t xml:space="preserve"> analogous to equation 1</w:t>
      </w:r>
      <w:r w:rsidR="00B403A2">
        <w:rPr>
          <w:lang w:val="en-CA"/>
        </w:rPr>
        <w:t xml:space="preserve"> of the manuscript</w:t>
      </w:r>
      <w:r>
        <w:rPr>
          <w:lang w:val="en-CA"/>
        </w:rPr>
        <w:t xml:space="preserve"> is</w:t>
      </w:r>
      <w:r w:rsidRPr="00C2624B">
        <w:rPr>
          <w:lang w:val="en-CA"/>
        </w:rPr>
        <w:t xml:space="preserve"> </w:t>
      </w:r>
      <w:r>
        <w:rPr>
          <w:lang w:val="en-CA"/>
        </w:rPr>
        <w:t>expanded to</w:t>
      </w:r>
      <w:r w:rsidRPr="00C2624B">
        <w:rPr>
          <w:lang w:val="en-CA"/>
        </w:rPr>
        <w:t>:</w:t>
      </w:r>
    </w:p>
    <w:p w:rsidR="00A27F1E" w:rsidRPr="005A47DC" w:rsidRDefault="00A27F1E" w:rsidP="00A27F1E">
      <w:pPr>
        <w:spacing w:line="480" w:lineRule="auto"/>
        <w:rPr>
          <w:lang w:val="en-CA"/>
        </w:rPr>
      </w:pPr>
      <w:r>
        <w:rPr>
          <w:lang w:val="en-CA"/>
        </w:rPr>
        <w:tab/>
      </w:r>
      <m:oMath>
        <m:r>
          <w:rPr>
            <w:rFonts w:ascii="Cambria Math" w:hAnsi="Cambria Math"/>
            <w:lang w:val="en-CA"/>
          </w:rPr>
          <m:t>L</m:t>
        </m:r>
        <m:d>
          <m:dPr>
            <m:ctrlPr>
              <w:rPr>
                <w:rFonts w:ascii="Cambria Math" w:hAnsi="Cambria Math"/>
                <w:i/>
                <w:lang w:val="en-CA"/>
              </w:rPr>
            </m:ctrlPr>
          </m:dPr>
          <m:e>
            <m:r>
              <w:rPr>
                <w:rFonts w:ascii="Cambria Math" w:hAnsi="Cambria Math"/>
                <w:lang w:val="en-CA"/>
              </w:rPr>
              <m:t>y</m:t>
            </m:r>
          </m:e>
          <m:e>
            <m:sSub>
              <m:sSubPr>
                <m:ctrlPr>
                  <w:rPr>
                    <w:rFonts w:ascii="Cambria Math" w:hAnsi="Cambria Math"/>
                    <w:i/>
                    <w:lang w:val="en-CA"/>
                  </w:rPr>
                </m:ctrlPr>
              </m:sSubPr>
              <m:e>
                <m:r>
                  <w:rPr>
                    <w:rFonts w:ascii="Cambria Math" w:hAnsi="Cambria Math"/>
                    <w:lang w:val="en-CA"/>
                  </w:rPr>
                  <m:t>μ</m:t>
                </m:r>
              </m:e>
              <m:sub>
                <m:r>
                  <w:rPr>
                    <w:rFonts w:ascii="Cambria Math" w:hAnsi="Cambria Math"/>
                    <w:lang w:val="en-CA"/>
                  </w:rPr>
                  <m:t>1</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σ</m:t>
                </m:r>
              </m:e>
              <m:sub>
                <m:r>
                  <w:rPr>
                    <w:rFonts w:ascii="Cambria Math" w:hAnsi="Cambria Math"/>
                    <w:lang w:val="en-CA"/>
                  </w:rPr>
                  <m:t>1</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μ</m:t>
                </m:r>
              </m:e>
              <m:sub>
                <m:r>
                  <w:rPr>
                    <w:rFonts w:ascii="Cambria Math" w:hAnsi="Cambria Math"/>
                    <w:lang w:val="en-CA"/>
                  </w:rPr>
                  <m:t>2</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σ</m:t>
                </m:r>
              </m:e>
              <m:sub>
                <m:r>
                  <w:rPr>
                    <w:rFonts w:ascii="Cambria Math" w:hAnsi="Cambria Math"/>
                    <w:lang w:val="en-CA"/>
                  </w:rPr>
                  <m:t>2</m:t>
                </m:r>
              </m:sub>
            </m:sSub>
          </m:e>
        </m:d>
        <m:r>
          <w:rPr>
            <w:rFonts w:ascii="Cambria Math" w:hAnsi="Cambria Math"/>
            <w:lang w:val="en-CA"/>
          </w:rPr>
          <m:t>=</m:t>
        </m:r>
        <m:nary>
          <m:naryPr>
            <m:chr m:val="∏"/>
            <m:limLoc m:val="undOvr"/>
            <m:ctrlPr>
              <w:rPr>
                <w:rFonts w:ascii="Cambria Math" w:hAnsi="Cambria Math"/>
                <w:i/>
                <w:lang w:val="en-CA"/>
              </w:rPr>
            </m:ctrlPr>
          </m:naryPr>
          <m:sub>
            <m:r>
              <w:rPr>
                <w:rFonts w:ascii="Cambria Math" w:hAnsi="Cambria Math"/>
                <w:lang w:val="en-CA"/>
              </w:rPr>
              <m:t>t=1</m:t>
            </m:r>
          </m:sub>
          <m:sup>
            <m:r>
              <w:rPr>
                <w:rFonts w:ascii="Cambria Math" w:hAnsi="Cambria Math"/>
                <w:lang w:val="en-CA"/>
              </w:rPr>
              <m:t>T</m:t>
            </m:r>
          </m:sup>
          <m:e>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1</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n</m:t>
                </m:r>
              </m:e>
              <m:sub>
                <m:sSub>
                  <m:sSubPr>
                    <m:ctrlPr>
                      <w:rPr>
                        <w:rFonts w:ascii="Cambria Math" w:hAnsi="Cambria Math"/>
                        <w:i/>
                        <w:lang w:val="en-CA"/>
                      </w:rPr>
                    </m:ctrlPr>
                  </m:sSubPr>
                  <m:e>
                    <m:r>
                      <w:rPr>
                        <w:rFonts w:ascii="Cambria Math" w:hAnsi="Cambria Math"/>
                        <w:lang w:val="en-CA"/>
                      </w:rPr>
                      <m:t>1</m:t>
                    </m:r>
                  </m:e>
                  <m:sub>
                    <m:r>
                      <w:rPr>
                        <w:rFonts w:ascii="Cambria Math" w:hAnsi="Cambria Math"/>
                        <w:lang w:val="en-CA"/>
                      </w:rPr>
                      <m:t>t</m:t>
                    </m:r>
                  </m:sub>
                </m:sSub>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μ</m:t>
                </m:r>
              </m:e>
              <m:sub>
                <m:sSub>
                  <m:sSubPr>
                    <m:ctrlPr>
                      <w:rPr>
                        <w:rFonts w:ascii="Cambria Math" w:hAnsi="Cambria Math"/>
                        <w:i/>
                        <w:lang w:val="en-CA"/>
                      </w:rPr>
                    </m:ctrlPr>
                  </m:sSubPr>
                  <m:e>
                    <m:r>
                      <w:rPr>
                        <w:rFonts w:ascii="Cambria Math" w:hAnsi="Cambria Math"/>
                        <w:lang w:val="en-CA"/>
                      </w:rPr>
                      <m:t>1I</m:t>
                    </m:r>
                  </m:e>
                  <m:sub>
                    <m:r>
                      <w:rPr>
                        <w:rFonts w:ascii="Cambria Math" w:hAnsi="Cambria Math"/>
                        <w:lang w:val="en-CA"/>
                      </w:rPr>
                      <m:t>t</m:t>
                    </m:r>
                  </m:sub>
                </m:sSub>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σ</m:t>
                </m:r>
              </m:e>
              <m:sub>
                <m:sSub>
                  <m:sSubPr>
                    <m:ctrlPr>
                      <w:rPr>
                        <w:rFonts w:ascii="Cambria Math" w:hAnsi="Cambria Math"/>
                        <w:i/>
                        <w:lang w:val="en-CA"/>
                      </w:rPr>
                    </m:ctrlPr>
                  </m:sSubPr>
                  <m:e>
                    <m:r>
                      <w:rPr>
                        <w:rFonts w:ascii="Cambria Math" w:hAnsi="Cambria Math"/>
                        <w:lang w:val="en-CA"/>
                      </w:rPr>
                      <m:t>1I</m:t>
                    </m:r>
                  </m:e>
                  <m:sub>
                    <m:r>
                      <w:rPr>
                        <w:rFonts w:ascii="Cambria Math" w:hAnsi="Cambria Math"/>
                        <w:lang w:val="en-CA"/>
                      </w:rPr>
                      <m:t>t</m:t>
                    </m:r>
                  </m:sub>
                </m:sSub>
              </m:sub>
            </m:sSub>
            <m:r>
              <w:rPr>
                <w:rFonts w:ascii="Cambria Math" w:hAnsi="Cambria Math"/>
                <w:lang w:val="en-CA"/>
              </w:rPr>
              <m:t>)</m:t>
            </m:r>
          </m:e>
        </m:nary>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2</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n</m:t>
            </m:r>
          </m:e>
          <m:sub>
            <m:sSub>
              <m:sSubPr>
                <m:ctrlPr>
                  <w:rPr>
                    <w:rFonts w:ascii="Cambria Math" w:hAnsi="Cambria Math"/>
                    <w:i/>
                    <w:lang w:val="en-CA"/>
                  </w:rPr>
                </m:ctrlPr>
              </m:sSubPr>
              <m:e>
                <m:r>
                  <w:rPr>
                    <w:rFonts w:ascii="Cambria Math" w:hAnsi="Cambria Math"/>
                    <w:lang w:val="en-CA"/>
                  </w:rPr>
                  <m:t>2</m:t>
                </m:r>
              </m:e>
              <m:sub>
                <m:r>
                  <w:rPr>
                    <w:rFonts w:ascii="Cambria Math" w:hAnsi="Cambria Math"/>
                    <w:lang w:val="en-CA"/>
                  </w:rPr>
                  <m:t>t</m:t>
                </m:r>
              </m:sub>
            </m:sSub>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μ</m:t>
            </m:r>
          </m:e>
          <m:sub>
            <m:sSub>
              <m:sSubPr>
                <m:ctrlPr>
                  <w:rPr>
                    <w:rFonts w:ascii="Cambria Math" w:hAnsi="Cambria Math"/>
                    <w:i/>
                    <w:lang w:val="en-CA"/>
                  </w:rPr>
                </m:ctrlPr>
              </m:sSubPr>
              <m:e>
                <m:r>
                  <w:rPr>
                    <w:rFonts w:ascii="Cambria Math" w:hAnsi="Cambria Math"/>
                    <w:lang w:val="en-CA"/>
                  </w:rPr>
                  <m:t>2I</m:t>
                </m:r>
              </m:e>
              <m:sub>
                <m:r>
                  <w:rPr>
                    <w:rFonts w:ascii="Cambria Math" w:hAnsi="Cambria Math"/>
                    <w:lang w:val="en-CA"/>
                  </w:rPr>
                  <m:t>t</m:t>
                </m:r>
              </m:sub>
            </m:sSub>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σ</m:t>
            </m:r>
          </m:e>
          <m:sub>
            <m:sSub>
              <m:sSubPr>
                <m:ctrlPr>
                  <w:rPr>
                    <w:rFonts w:ascii="Cambria Math" w:hAnsi="Cambria Math"/>
                    <w:i/>
                    <w:lang w:val="en-CA"/>
                  </w:rPr>
                </m:ctrlPr>
              </m:sSubPr>
              <m:e>
                <m:r>
                  <w:rPr>
                    <w:rFonts w:ascii="Cambria Math" w:hAnsi="Cambria Math"/>
                    <w:lang w:val="en-CA"/>
                  </w:rPr>
                  <m:t>2I</m:t>
                </m:r>
              </m:e>
              <m:sub>
                <m:r>
                  <w:rPr>
                    <w:rFonts w:ascii="Cambria Math" w:hAnsi="Cambria Math"/>
                    <w:lang w:val="en-CA"/>
                  </w:rPr>
                  <m:t>t</m:t>
                </m:r>
              </m:sub>
            </m:sSub>
          </m:sub>
        </m:sSub>
        <m:r>
          <w:rPr>
            <w:rFonts w:ascii="Cambria Math" w:hAnsi="Cambria Math"/>
            <w:lang w:val="en-CA"/>
          </w:rPr>
          <m:t>)</m:t>
        </m:r>
      </m:oMath>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t>eqn 5</w:t>
      </w:r>
    </w:p>
    <w:p w:rsidR="00A27F1E" w:rsidRPr="00213A95" w:rsidRDefault="00A27F1E" w:rsidP="00A27F1E">
      <w:pPr>
        <w:spacing w:line="480" w:lineRule="auto"/>
        <w:rPr>
          <w:lang w:val="en-CA"/>
        </w:rPr>
      </w:pPr>
      <w:r w:rsidRPr="00C2624B">
        <w:rPr>
          <w:lang w:val="en-CA"/>
        </w:rPr>
        <w:t>Where</w:t>
      </w:r>
      <w:r>
        <w:rPr>
          <w:lang w:val="en-CA"/>
        </w:rPr>
        <w:t xml:space="preserve"> </w:t>
      </w:r>
      <m:oMath>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1</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n</m:t>
            </m:r>
          </m:e>
          <m:sub>
            <m:sSub>
              <m:sSubPr>
                <m:ctrlPr>
                  <w:rPr>
                    <w:rFonts w:ascii="Cambria Math" w:hAnsi="Cambria Math"/>
                    <w:i/>
                    <w:lang w:val="en-CA"/>
                  </w:rPr>
                </m:ctrlPr>
              </m:sSubPr>
              <m:e>
                <m:r>
                  <w:rPr>
                    <w:rFonts w:ascii="Cambria Math" w:hAnsi="Cambria Math"/>
                    <w:lang w:val="en-CA"/>
                  </w:rPr>
                  <m:t>1</m:t>
                </m:r>
              </m:e>
              <m:sub>
                <m:r>
                  <w:rPr>
                    <w:rFonts w:ascii="Cambria Math" w:hAnsi="Cambria Math"/>
                    <w:lang w:val="en-CA"/>
                  </w:rPr>
                  <m:t>t</m:t>
                </m:r>
              </m:sub>
            </m:sSub>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μ</m:t>
            </m:r>
          </m:e>
          <m:sub>
            <m:sSub>
              <m:sSubPr>
                <m:ctrlPr>
                  <w:rPr>
                    <w:rFonts w:ascii="Cambria Math" w:hAnsi="Cambria Math"/>
                    <w:i/>
                    <w:lang w:val="en-CA"/>
                  </w:rPr>
                </m:ctrlPr>
              </m:sSubPr>
              <m:e>
                <m:r>
                  <w:rPr>
                    <w:rFonts w:ascii="Cambria Math" w:hAnsi="Cambria Math"/>
                    <w:lang w:val="en-CA"/>
                  </w:rPr>
                  <m:t>1I</m:t>
                </m:r>
              </m:e>
              <m:sub>
                <m:r>
                  <w:rPr>
                    <w:rFonts w:ascii="Cambria Math" w:hAnsi="Cambria Math"/>
                    <w:lang w:val="en-CA"/>
                  </w:rPr>
                  <m:t>t</m:t>
                </m:r>
              </m:sub>
            </m:sSub>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σ</m:t>
            </m:r>
          </m:e>
          <m:sub>
            <m:sSub>
              <m:sSubPr>
                <m:ctrlPr>
                  <w:rPr>
                    <w:rFonts w:ascii="Cambria Math" w:hAnsi="Cambria Math"/>
                    <w:i/>
                    <w:lang w:val="en-CA"/>
                  </w:rPr>
                </m:ctrlPr>
              </m:sSubPr>
              <m:e>
                <m:r>
                  <w:rPr>
                    <w:rFonts w:ascii="Cambria Math" w:hAnsi="Cambria Math"/>
                    <w:lang w:val="en-CA"/>
                  </w:rPr>
                  <m:t>1I</m:t>
                </m:r>
              </m:e>
              <m:sub>
                <m:r>
                  <w:rPr>
                    <w:rFonts w:ascii="Cambria Math" w:hAnsi="Cambria Math"/>
                    <w:lang w:val="en-CA"/>
                  </w:rPr>
                  <m:t>t</m:t>
                </m:r>
              </m:sub>
            </m:sSub>
          </m:sub>
        </m:sSub>
        <m:r>
          <w:rPr>
            <w:rFonts w:ascii="Cambria Math" w:hAnsi="Cambria Math"/>
            <w:lang w:val="en-CA"/>
          </w:rPr>
          <m:t xml:space="preserve">) </m:t>
        </m:r>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2</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n</m:t>
            </m:r>
          </m:e>
          <m:sub>
            <m:sSub>
              <m:sSubPr>
                <m:ctrlPr>
                  <w:rPr>
                    <w:rFonts w:ascii="Cambria Math" w:hAnsi="Cambria Math"/>
                    <w:i/>
                    <w:lang w:val="en-CA"/>
                  </w:rPr>
                </m:ctrlPr>
              </m:sSubPr>
              <m:e>
                <m:r>
                  <w:rPr>
                    <w:rFonts w:ascii="Cambria Math" w:hAnsi="Cambria Math"/>
                    <w:lang w:val="en-CA"/>
                  </w:rPr>
                  <m:t>2</m:t>
                </m:r>
              </m:e>
              <m:sub>
                <m:r>
                  <w:rPr>
                    <w:rFonts w:ascii="Cambria Math" w:hAnsi="Cambria Math"/>
                    <w:lang w:val="en-CA"/>
                  </w:rPr>
                  <m:t>t</m:t>
                </m:r>
              </m:sub>
            </m:sSub>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μ</m:t>
            </m:r>
          </m:e>
          <m:sub>
            <m:sSub>
              <m:sSubPr>
                <m:ctrlPr>
                  <w:rPr>
                    <w:rFonts w:ascii="Cambria Math" w:hAnsi="Cambria Math"/>
                    <w:i/>
                    <w:lang w:val="en-CA"/>
                  </w:rPr>
                </m:ctrlPr>
              </m:sSubPr>
              <m:e>
                <m:r>
                  <w:rPr>
                    <w:rFonts w:ascii="Cambria Math" w:hAnsi="Cambria Math"/>
                    <w:lang w:val="en-CA"/>
                  </w:rPr>
                  <m:t>2I</m:t>
                </m:r>
              </m:e>
              <m:sub>
                <m:r>
                  <w:rPr>
                    <w:rFonts w:ascii="Cambria Math" w:hAnsi="Cambria Math"/>
                    <w:lang w:val="en-CA"/>
                  </w:rPr>
                  <m:t>t</m:t>
                </m:r>
              </m:sub>
            </m:sSub>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σ</m:t>
            </m:r>
          </m:e>
          <m:sub>
            <m:sSub>
              <m:sSubPr>
                <m:ctrlPr>
                  <w:rPr>
                    <w:rFonts w:ascii="Cambria Math" w:hAnsi="Cambria Math"/>
                    <w:i/>
                    <w:lang w:val="en-CA"/>
                  </w:rPr>
                </m:ctrlPr>
              </m:sSubPr>
              <m:e>
                <m:r>
                  <w:rPr>
                    <w:rFonts w:ascii="Cambria Math" w:hAnsi="Cambria Math"/>
                    <w:lang w:val="en-CA"/>
                  </w:rPr>
                  <m:t>2I</m:t>
                </m:r>
              </m:e>
              <m:sub>
                <m:r>
                  <w:rPr>
                    <w:rFonts w:ascii="Cambria Math" w:hAnsi="Cambria Math"/>
                    <w:lang w:val="en-CA"/>
                  </w:rPr>
                  <m:t>t</m:t>
                </m:r>
              </m:sub>
            </m:sSub>
          </m:sub>
        </m:sSub>
        <m:r>
          <w:rPr>
            <w:rFonts w:ascii="Cambria Math" w:hAnsi="Cambria Math"/>
            <w:lang w:val="en-CA"/>
          </w:rPr>
          <m:t>)</m:t>
        </m:r>
      </m:oMath>
      <w:r>
        <w:rPr>
          <w:rFonts w:eastAsiaTheme="minorEastAsia"/>
          <w:lang w:val="en-CA"/>
        </w:rPr>
        <w:t xml:space="preserve"> is the value at time </w:t>
      </w:r>
      <w:r>
        <w:rPr>
          <w:rFonts w:eastAsiaTheme="minorEastAsia"/>
          <w:i/>
          <w:lang w:val="en-CA"/>
        </w:rPr>
        <w:t>t</w:t>
      </w:r>
      <w:r>
        <w:rPr>
          <w:rFonts w:eastAsiaTheme="minorEastAsia"/>
          <w:lang w:val="en-CA"/>
        </w:rPr>
        <w:t xml:space="preserve"> of the probability density function of the two independents normal distribution with mean </w:t>
      </w:r>
      <w:r w:rsidRPr="00C2624B">
        <w:rPr>
          <w:i/>
          <w:lang w:val="en-CA"/>
        </w:rPr>
        <w:t>µ</w:t>
      </w:r>
      <w:r>
        <w:rPr>
          <w:i/>
          <w:lang w:val="en-CA"/>
        </w:rPr>
        <w:t>1</w:t>
      </w:r>
      <w:r>
        <w:rPr>
          <w:i/>
          <w:vertAlign w:val="subscript"/>
          <w:lang w:val="en-CA"/>
        </w:rPr>
        <w:t>I</w:t>
      </w:r>
      <w:r w:rsidRPr="00C2624B">
        <w:rPr>
          <w:lang w:val="en-CA"/>
        </w:rPr>
        <w:t xml:space="preserve"> and standard deviation </w:t>
      </w:r>
      <w:r w:rsidRPr="00C2624B">
        <w:rPr>
          <w:i/>
          <w:lang w:val="en-CA"/>
        </w:rPr>
        <w:t>σ</w:t>
      </w:r>
      <w:r>
        <w:rPr>
          <w:i/>
          <w:lang w:val="en-CA"/>
        </w:rPr>
        <w:t>1</w:t>
      </w:r>
      <w:r>
        <w:rPr>
          <w:i/>
          <w:vertAlign w:val="subscript"/>
          <w:lang w:val="en-CA"/>
        </w:rPr>
        <w:t>I</w:t>
      </w:r>
      <w:r>
        <w:rPr>
          <w:lang w:val="en-CA"/>
        </w:rPr>
        <w:t xml:space="preserve"> for the first variable (</w:t>
      </w:r>
      <w:r w:rsidRPr="00213A95">
        <w:rPr>
          <w:i/>
          <w:lang w:val="en-CA"/>
        </w:rPr>
        <w:t>n</w:t>
      </w:r>
      <w:r w:rsidRPr="00213A95">
        <w:rPr>
          <w:i/>
          <w:vertAlign w:val="subscript"/>
          <w:lang w:val="en-CA"/>
        </w:rPr>
        <w:t>1</w:t>
      </w:r>
      <w:r>
        <w:rPr>
          <w:lang w:val="en-CA"/>
        </w:rPr>
        <w:t xml:space="preserve">=NSD) and </w:t>
      </w:r>
      <w:r>
        <w:rPr>
          <w:rFonts w:eastAsiaTheme="minorEastAsia"/>
          <w:lang w:val="en-CA"/>
        </w:rPr>
        <w:t xml:space="preserve">with mean </w:t>
      </w:r>
      <w:r w:rsidRPr="00C2624B">
        <w:rPr>
          <w:i/>
          <w:lang w:val="en-CA"/>
        </w:rPr>
        <w:t>µ</w:t>
      </w:r>
      <w:r>
        <w:rPr>
          <w:i/>
          <w:lang w:val="en-CA"/>
        </w:rPr>
        <w:t>2</w:t>
      </w:r>
      <w:r>
        <w:rPr>
          <w:i/>
          <w:vertAlign w:val="subscript"/>
          <w:lang w:val="en-CA"/>
        </w:rPr>
        <w:t>I</w:t>
      </w:r>
      <w:r w:rsidRPr="00C2624B">
        <w:rPr>
          <w:lang w:val="en-CA"/>
        </w:rPr>
        <w:t xml:space="preserve"> and standard deviation </w:t>
      </w:r>
      <w:r w:rsidRPr="00C2624B">
        <w:rPr>
          <w:i/>
          <w:lang w:val="en-CA"/>
        </w:rPr>
        <w:t>σ</w:t>
      </w:r>
      <w:r>
        <w:rPr>
          <w:i/>
          <w:lang w:val="en-CA"/>
        </w:rPr>
        <w:t>2</w:t>
      </w:r>
      <w:r>
        <w:rPr>
          <w:i/>
          <w:vertAlign w:val="subscript"/>
          <w:lang w:val="en-CA"/>
        </w:rPr>
        <w:t>I</w:t>
      </w:r>
      <w:r>
        <w:rPr>
          <w:lang w:val="en-CA"/>
        </w:rPr>
        <w:t xml:space="preserve"> for the second variable (</w:t>
      </w:r>
      <w:r w:rsidRPr="00213A95">
        <w:rPr>
          <w:i/>
          <w:lang w:val="en-CA"/>
        </w:rPr>
        <w:t>n</w:t>
      </w:r>
      <w:r>
        <w:rPr>
          <w:i/>
          <w:vertAlign w:val="subscript"/>
          <w:lang w:val="en-CA"/>
        </w:rPr>
        <w:t>2</w:t>
      </w:r>
      <w:r>
        <w:rPr>
          <w:lang w:val="en-CA"/>
        </w:rPr>
        <w:t xml:space="preserve">= elevation or daily distance). </w:t>
      </w:r>
    </w:p>
    <w:p w:rsidR="00A27F1E" w:rsidRPr="00A27F1E" w:rsidRDefault="00A27F1E" w:rsidP="00A27F1E">
      <w:pPr>
        <w:spacing w:line="480" w:lineRule="auto"/>
        <w:rPr>
          <w:b/>
          <w:lang w:val="en-GB"/>
        </w:rPr>
      </w:pPr>
      <w:r>
        <w:rPr>
          <w:lang w:val="en-CA"/>
        </w:rPr>
        <w:tab/>
      </w:r>
      <w:r w:rsidRPr="00C2624B">
        <w:rPr>
          <w:lang w:val="en-CA"/>
        </w:rPr>
        <w:t>We test</w:t>
      </w:r>
      <w:r>
        <w:rPr>
          <w:lang w:val="en-CA"/>
        </w:rPr>
        <w:t>ed</w:t>
      </w:r>
      <w:r w:rsidRPr="00C2624B">
        <w:rPr>
          <w:lang w:val="en-CA"/>
        </w:rPr>
        <w:t xml:space="preserve"> this new formulation </w:t>
      </w:r>
      <w:r>
        <w:rPr>
          <w:lang w:val="en-CA"/>
        </w:rPr>
        <w:t xml:space="preserve">separately </w:t>
      </w:r>
      <w:r w:rsidRPr="00C2624B">
        <w:rPr>
          <w:lang w:val="en-CA"/>
        </w:rPr>
        <w:t>with two different variables</w:t>
      </w:r>
      <w:r>
        <w:rPr>
          <w:lang w:val="en-CA"/>
        </w:rPr>
        <w:t xml:space="preserve"> – daily distance travelled and elevation</w:t>
      </w:r>
      <w:r w:rsidRPr="00C2624B">
        <w:rPr>
          <w:lang w:val="en-CA"/>
        </w:rPr>
        <w:t>. We expect</w:t>
      </w:r>
      <w:r>
        <w:rPr>
          <w:lang w:val="en-CA"/>
        </w:rPr>
        <w:t>ed</w:t>
      </w:r>
      <w:r w:rsidRPr="00C2624B">
        <w:rPr>
          <w:lang w:val="en-CA"/>
        </w:rPr>
        <w:t xml:space="preserve"> an increase in distance traveled when individuals </w:t>
      </w:r>
      <w:r>
        <w:rPr>
          <w:lang w:val="en-CA"/>
        </w:rPr>
        <w:t>were</w:t>
      </w:r>
      <w:r w:rsidRPr="00C2624B">
        <w:rPr>
          <w:lang w:val="en-CA"/>
        </w:rPr>
        <w:t xml:space="preserve"> migrating or dispersing.</w:t>
      </w:r>
      <w:r>
        <w:rPr>
          <w:lang w:val="en-CA"/>
        </w:rPr>
        <w:t xml:space="preserve"> Distance was calculated from </w:t>
      </w:r>
      <w:proofErr w:type="spellStart"/>
      <w:r>
        <w:rPr>
          <w:lang w:val="en-CA"/>
        </w:rPr>
        <w:t>rediscretize</w:t>
      </w:r>
      <w:r w:rsidR="00DF3FC8">
        <w:rPr>
          <w:lang w:val="en-CA"/>
        </w:rPr>
        <w:t>d</w:t>
      </w:r>
      <w:proofErr w:type="spellEnd"/>
      <w:r>
        <w:rPr>
          <w:lang w:val="en-CA"/>
        </w:rPr>
        <w:t xml:space="preserve"> movement trajectories. Moreover, previous studies have shown that </w:t>
      </w:r>
      <w:r w:rsidRPr="000508B2">
        <w:rPr>
          <w:lang w:val="en-CA"/>
        </w:rPr>
        <w:t xml:space="preserve">altitudinal gradients </w:t>
      </w:r>
      <w:r>
        <w:rPr>
          <w:lang w:val="en-CA"/>
        </w:rPr>
        <w:t>may impact the presence of</w:t>
      </w:r>
      <w:r w:rsidRPr="000508B2">
        <w:rPr>
          <w:lang w:val="en-CA"/>
        </w:rPr>
        <w:t xml:space="preserve"> migratory movements of Galapagos</w:t>
      </w:r>
      <w:r>
        <w:rPr>
          <w:lang w:val="en-CA"/>
        </w:rPr>
        <w:t xml:space="preserve"> tortoises in some populations </w:t>
      </w:r>
      <w:r w:rsidR="000B6330">
        <w:rPr>
          <w:lang w:val="en-CA"/>
        </w:rPr>
        <w:fldChar w:fldCharType="begin" w:fldLock="1"/>
      </w:r>
      <w:r w:rsidR="007E4B1B">
        <w:rPr>
          <w:lang w:val="en-CA"/>
        </w:rPr>
        <w:instrText>ADDIN CSL_CITATION { "citationItems" : [ { "id" : "ITEM-1", "itemData" : { "DOI" : "10.1111/1365-2656.12020", "ISSN" : "1365-2656", "PMID" : "23171344", "abstract" : "Seasonal migration has evolved in many taxa as a response to predictable spatial and temporal variation in the environment. Individual traits, physiology and social state interact with environmental factors to increase the complexity of migratory systems. Despite a huge body of research, the ultimate causes of migration remain unclear. A relatively simple, tractable system - giant tortoises on Santa Cruz Island, Galapagos, was studied to elucidate the roles of environmental variation and individual traits in a partial migratory system. Specifically, we asked: (i) do Galapagos tortoises undergo long-distance seasonal migrations? (ii) is tortoise migration ultimately driven by gradients in forage quality or temperature; and (iii) how do sex and body size influence migration patterns? We recorded the daily locations of 17 GPS-tagged tortoises and walked a monthly survey along the altitudinal gradient to characterize the movements and distribution of tortoises of different sizes and sexes. Monthly temperature and rainfall data were obtained from weather stations deployed at various altitudes, and the Normalized Difference Vegetation Index was used as a proxy for forage quality. Analyses using net displacement or daily movement characteristics did not agree on assigning individuals as either migratory or non-migratory; however, both methods suggested that some individuals were migratory. Adult tortoises of both sexes move up and down an altitudinal gradient in response to changes in vegetation dynamics, not temperature. The largest tagged individuals all moved, whereas only some mid-sized individuals moved, and the smallest individuals never left lowland areas. The timing of movements varied with body size: large individuals moved upward (as lowland forage quality declined) earlier in the year than did mid-sized individuals, while the timing of downward movements was unrelated to body size and occurred as lowland vegetation productivity peaked. Giant tortoises are unlikely candidates for forage-driven migration as they are well buffered against environmental fluctuations by large body size and a slow metabolism. Notably the largest, and presumably most dominant, individuals were most likely to migrate. This characteristic and the lack of sex-based differences in movement behaviour distinguish Galapagos tortoise movement from previously described partial migratory systems.", "author" : [ { "dropping-particle" : "", "family" : "Blake", "given" : "Stephen", "non-dropping-particle" : "", "parse-names" : false, "suffix" : "" }, { "dropping-particle" : "", "family" : "Yackulic", "given" : "Charles B", "non-dropping-particle" : "", "parse-names" : false, "suffix" : "" }, { "dropping-particle" : "", "family" : "Cabrera", "given" : "Fredy", "non-dropping-particle" : "", "parse-names" : false, "suffix" : "" }, { "dropping-particle" : "", "family" : "Tapia", "given" : "Washington", "non-dropping-particle" : "", "parse-names" : false, "suffix" : "" }, { "dropping-particle" : "", "family" : "Gibbs", "given" : "James P", "non-dropping-particle" : "", "parse-names" : false, "suffix" : "" }, { "dropping-particle" : "", "family" : "K\u00fcmmeth", "given" : "Franz", "non-dropping-particle" : "", "parse-names" : false, "suffix" : "" }, { "dropping-particle" : "", "family" : "Wikelski", "given" : "Martin", "non-dropping-particle" : "", "parse-names" : false, "suffix" : "" } ], "container-title" : "Journal of Animal Ecology", "id" : "ITEM-1", "issue" : "2", "issued" : { "date-parts" : [ [ "2012", "3" ] ] }, "page" : "310-321", "title" : "Vegetation dynamics drive segregation by body size in Galapagos tortoises migrating across altitudinal gradients.", "type" : "article-journal", "volume" : "82" }, "uris" : [ "http://www.mendeley.com/documents/?uuid=d3b2026b-e33b-49ee-a745-150e068d6209" ] } ], "mendeley" : { "formattedCitation" : "(Blake &lt;i&gt;et al.&lt;/i&gt; 2012)", "plainTextFormattedCitation" : "(Blake et al. 2012)", "previouslyFormattedCitation" : "[17]" }, "properties" : { "noteIndex" : 0 }, "schema" : "https://github.com/citation-style-language/schema/raw/master/csl-citation.json" }</w:instrText>
      </w:r>
      <w:r w:rsidR="000B6330">
        <w:rPr>
          <w:lang w:val="en-CA"/>
        </w:rPr>
        <w:fldChar w:fldCharType="separate"/>
      </w:r>
      <w:r w:rsidR="007E4B1B" w:rsidRPr="007E4B1B">
        <w:rPr>
          <w:noProof/>
          <w:lang w:val="en-CA"/>
        </w:rPr>
        <w:t xml:space="preserve">(Blake </w:t>
      </w:r>
      <w:r w:rsidR="007E4B1B" w:rsidRPr="007E4B1B">
        <w:rPr>
          <w:i/>
          <w:noProof/>
          <w:lang w:val="en-CA"/>
        </w:rPr>
        <w:t>et al.</w:t>
      </w:r>
      <w:r w:rsidR="007E4B1B" w:rsidRPr="007E4B1B">
        <w:rPr>
          <w:noProof/>
          <w:lang w:val="en-CA"/>
        </w:rPr>
        <w:t xml:space="preserve"> 2012)</w:t>
      </w:r>
      <w:r w:rsidR="000B6330">
        <w:rPr>
          <w:lang w:val="en-CA"/>
        </w:rPr>
        <w:fldChar w:fldCharType="end"/>
      </w:r>
      <w:r w:rsidRPr="000508B2">
        <w:rPr>
          <w:lang w:val="en-CA"/>
        </w:rPr>
        <w:t xml:space="preserve">. </w:t>
      </w:r>
      <w:r w:rsidR="00B403A2">
        <w:rPr>
          <w:lang w:val="en-CA"/>
        </w:rPr>
        <w:t>We</w:t>
      </w:r>
      <w:r w:rsidRPr="000508B2">
        <w:rPr>
          <w:lang w:val="en-CA"/>
        </w:rPr>
        <w:t xml:space="preserve"> r</w:t>
      </w:r>
      <w:r>
        <w:rPr>
          <w:lang w:val="en-CA"/>
        </w:rPr>
        <w:t>a</w:t>
      </w:r>
      <w:r w:rsidRPr="000508B2">
        <w:rPr>
          <w:lang w:val="en-CA"/>
        </w:rPr>
        <w:t xml:space="preserve">n </w:t>
      </w:r>
      <w:r w:rsidR="00B403A2">
        <w:rPr>
          <w:lang w:val="en-CA"/>
        </w:rPr>
        <w:t xml:space="preserve">the model </w:t>
      </w:r>
      <w:r w:rsidRPr="000508B2">
        <w:rPr>
          <w:lang w:val="en-CA"/>
        </w:rPr>
        <w:t>using 3 chains and 2</w:t>
      </w:r>
      <w:r>
        <w:rPr>
          <w:lang w:val="en-CA"/>
        </w:rPr>
        <w:t>5</w:t>
      </w:r>
      <w:r w:rsidRPr="000508B2">
        <w:rPr>
          <w:lang w:val="en-CA"/>
        </w:rPr>
        <w:t>,000 iterations and assess</w:t>
      </w:r>
      <w:r>
        <w:rPr>
          <w:lang w:val="en-CA"/>
        </w:rPr>
        <w:t>ed</w:t>
      </w:r>
      <w:r w:rsidRPr="000508B2">
        <w:rPr>
          <w:lang w:val="en-CA"/>
        </w:rPr>
        <w:t xml:space="preserve"> convergence by using </w:t>
      </w:r>
      <m:oMath>
        <m:acc>
          <m:accPr>
            <m:ctrlPr>
              <w:rPr>
                <w:rFonts w:ascii="Cambria Math" w:hAnsi="Cambria Math"/>
                <w:i/>
                <w:lang w:val="en-CA"/>
              </w:rPr>
            </m:ctrlPr>
          </m:accPr>
          <m:e>
            <m:r>
              <w:rPr>
                <w:rFonts w:ascii="Cambria Math" w:hAnsi="Cambria Math"/>
                <w:lang w:val="en-CA"/>
              </w:rPr>
              <m:t>R</m:t>
            </m:r>
          </m:e>
        </m:acc>
      </m:oMath>
      <w:r w:rsidRPr="000508B2">
        <w:rPr>
          <w:lang w:val="en-CA"/>
        </w:rPr>
        <w:t xml:space="preserve">&lt; 1.1. All analyses </w:t>
      </w:r>
      <w:r>
        <w:rPr>
          <w:lang w:val="en-CA"/>
        </w:rPr>
        <w:t>we</w:t>
      </w:r>
      <w:r w:rsidRPr="000508B2">
        <w:rPr>
          <w:lang w:val="en-CA"/>
        </w:rPr>
        <w:t>re r</w:t>
      </w:r>
      <w:r>
        <w:rPr>
          <w:lang w:val="en-CA"/>
        </w:rPr>
        <w:t>un</w:t>
      </w:r>
      <w:r w:rsidRPr="000508B2">
        <w:rPr>
          <w:lang w:val="en-CA"/>
        </w:rPr>
        <w:t xml:space="preserve"> using R</w:t>
      </w:r>
      <w:r w:rsidR="00DF3FC8">
        <w:rPr>
          <w:lang w:val="en-CA"/>
        </w:rPr>
        <w:t xml:space="preserve"> v</w:t>
      </w:r>
      <w:r w:rsidRPr="000508B2">
        <w:rPr>
          <w:lang w:val="en-CA"/>
        </w:rPr>
        <w:t>3.1.2.</w:t>
      </w:r>
      <w:r w:rsidRPr="00C2624B">
        <w:rPr>
          <w:lang w:val="en-CA"/>
        </w:rPr>
        <w:t xml:space="preserve"> </w:t>
      </w:r>
    </w:p>
    <w:p w:rsidR="00355723" w:rsidRDefault="00A27F1E" w:rsidP="00355723">
      <w:pPr>
        <w:spacing w:line="480" w:lineRule="auto"/>
        <w:rPr>
          <w:lang w:val="en-CA"/>
        </w:rPr>
      </w:pPr>
      <w:r>
        <w:rPr>
          <w:lang w:val="en-CA"/>
        </w:rPr>
        <w:tab/>
      </w:r>
      <w:r w:rsidR="004F0742">
        <w:rPr>
          <w:lang w:val="en-CA"/>
        </w:rPr>
        <w:t xml:space="preserve">With </w:t>
      </w:r>
      <w:r w:rsidR="00355723" w:rsidRPr="00C2624B">
        <w:rPr>
          <w:lang w:val="en-CA"/>
        </w:rPr>
        <w:t>2</w:t>
      </w:r>
      <w:r w:rsidR="00355723">
        <w:rPr>
          <w:lang w:val="en-CA"/>
        </w:rPr>
        <w:t>5</w:t>
      </w:r>
      <w:r w:rsidR="00355723" w:rsidRPr="00C2624B">
        <w:rPr>
          <w:lang w:val="en-CA"/>
        </w:rPr>
        <w:t xml:space="preserve">,000 iterations, adding a second variable to the clustering algorithm </w:t>
      </w:r>
      <w:r w:rsidR="00355723" w:rsidRPr="00B3470D">
        <w:rPr>
          <w:lang w:val="en-CA"/>
        </w:rPr>
        <w:t xml:space="preserve">considerably reduced convergence. Using daily distance traveled as a second variable </w:t>
      </w:r>
      <w:r w:rsidR="004F0742" w:rsidRPr="00B3470D">
        <w:rPr>
          <w:lang w:val="en-CA"/>
        </w:rPr>
        <w:t>reduced</w:t>
      </w:r>
      <w:r w:rsidR="00B3470D" w:rsidRPr="00B3470D">
        <w:rPr>
          <w:lang w:val="en-CA"/>
        </w:rPr>
        <w:t xml:space="preserve"> </w:t>
      </w:r>
      <w:r w:rsidR="00355723" w:rsidRPr="00B3470D">
        <w:rPr>
          <w:lang w:val="en-CA"/>
        </w:rPr>
        <w:t xml:space="preserve">convergence </w:t>
      </w:r>
      <w:r w:rsidR="004F0742" w:rsidRPr="00B3470D">
        <w:rPr>
          <w:lang w:val="en-CA"/>
        </w:rPr>
        <w:t>to</w:t>
      </w:r>
      <w:r w:rsidR="00355723" w:rsidRPr="00B3470D">
        <w:rPr>
          <w:lang w:val="en-CA"/>
        </w:rPr>
        <w:t xml:space="preserve"> 7</w:t>
      </w:r>
      <w:r w:rsidR="00B3470D" w:rsidRPr="00B3470D">
        <w:rPr>
          <w:lang w:val="en-CA"/>
        </w:rPr>
        <w:t>4</w:t>
      </w:r>
      <w:r w:rsidR="00355723" w:rsidRPr="00B3470D">
        <w:rPr>
          <w:lang w:val="en-CA"/>
        </w:rPr>
        <w:t xml:space="preserve">% of the individuals analyzed, </w:t>
      </w:r>
      <w:r w:rsidR="004F0742" w:rsidRPr="00B3470D">
        <w:rPr>
          <w:lang w:val="en-CA"/>
        </w:rPr>
        <w:t>whereas including</w:t>
      </w:r>
      <w:r w:rsidR="00355723" w:rsidRPr="00B3470D">
        <w:rPr>
          <w:lang w:val="en-CA"/>
        </w:rPr>
        <w:t xml:space="preserve"> elevation further reduced </w:t>
      </w:r>
      <w:r w:rsidR="00B3470D" w:rsidRPr="00B3470D">
        <w:rPr>
          <w:lang w:val="en-CA"/>
        </w:rPr>
        <w:t>convergence to 61</w:t>
      </w:r>
      <w:r w:rsidR="00355723" w:rsidRPr="00B3470D">
        <w:rPr>
          <w:lang w:val="en-CA"/>
        </w:rPr>
        <w:t>% of the</w:t>
      </w:r>
      <w:r w:rsidR="00355723" w:rsidRPr="00C2624B">
        <w:rPr>
          <w:lang w:val="en-CA"/>
        </w:rPr>
        <w:t xml:space="preserve"> </w:t>
      </w:r>
      <w:r w:rsidR="00355723">
        <w:rPr>
          <w:lang w:val="en-CA"/>
        </w:rPr>
        <w:t>individual</w:t>
      </w:r>
      <w:r w:rsidR="00355723" w:rsidRPr="00C2624B">
        <w:rPr>
          <w:lang w:val="en-CA"/>
        </w:rPr>
        <w:t>s.</w:t>
      </w:r>
      <w:r w:rsidR="00355723">
        <w:rPr>
          <w:lang w:val="en-CA"/>
        </w:rPr>
        <w:t xml:space="preserve"> For model</w:t>
      </w:r>
      <w:r w:rsidR="003C0337">
        <w:rPr>
          <w:lang w:val="en-CA"/>
        </w:rPr>
        <w:t>s</w:t>
      </w:r>
      <w:r w:rsidR="00355723">
        <w:rPr>
          <w:lang w:val="en-CA"/>
        </w:rPr>
        <w:t xml:space="preserve"> </w:t>
      </w:r>
      <w:r w:rsidR="00355723" w:rsidRPr="00B359C6">
        <w:rPr>
          <w:lang w:val="en-CA"/>
        </w:rPr>
        <w:t xml:space="preserve">that converged, the resulting classification was highly similar to the univariate classification </w:t>
      </w:r>
      <w:r w:rsidR="004F0742" w:rsidRPr="00B359C6">
        <w:rPr>
          <w:lang w:val="en-CA"/>
        </w:rPr>
        <w:t>but</w:t>
      </w:r>
      <w:r w:rsidR="00355723" w:rsidRPr="00B359C6">
        <w:rPr>
          <w:lang w:val="en-CA"/>
        </w:rPr>
        <w:t xml:space="preserve"> sometime</w:t>
      </w:r>
      <w:r w:rsidR="004F0742" w:rsidRPr="00B359C6">
        <w:rPr>
          <w:lang w:val="en-CA"/>
        </w:rPr>
        <w:t>s</w:t>
      </w:r>
      <w:r w:rsidR="00355723" w:rsidRPr="00B359C6">
        <w:rPr>
          <w:lang w:val="en-CA"/>
        </w:rPr>
        <w:t xml:space="preserve"> wors</w:t>
      </w:r>
      <w:r w:rsidR="004F0742" w:rsidRPr="00B359C6">
        <w:rPr>
          <w:lang w:val="en-CA"/>
        </w:rPr>
        <w:t>e</w:t>
      </w:r>
      <w:r w:rsidR="00355723" w:rsidRPr="00B359C6">
        <w:rPr>
          <w:lang w:val="en-CA"/>
        </w:rPr>
        <w:t xml:space="preserve"> (Figure </w:t>
      </w:r>
      <w:r w:rsidR="00AC1301" w:rsidRPr="00B359C6">
        <w:rPr>
          <w:lang w:val="en-CA"/>
        </w:rPr>
        <w:t>S</w:t>
      </w:r>
      <w:r w:rsidR="00B359C6" w:rsidRPr="00B359C6">
        <w:rPr>
          <w:lang w:val="en-CA"/>
        </w:rPr>
        <w:t>1</w:t>
      </w:r>
      <w:r w:rsidR="00355723" w:rsidRPr="00B359C6">
        <w:rPr>
          <w:lang w:val="en-CA"/>
        </w:rPr>
        <w:t>). We failed to detect</w:t>
      </w:r>
      <w:r w:rsidR="00355723" w:rsidRPr="00C2624B">
        <w:rPr>
          <w:lang w:val="en-CA"/>
        </w:rPr>
        <w:t xml:space="preserve"> instance</w:t>
      </w:r>
      <w:r w:rsidR="00355723">
        <w:rPr>
          <w:lang w:val="en-CA"/>
        </w:rPr>
        <w:t>s</w:t>
      </w:r>
      <w:r w:rsidR="00355723" w:rsidRPr="00C2624B">
        <w:rPr>
          <w:lang w:val="en-CA"/>
        </w:rPr>
        <w:t xml:space="preserve"> where multivariate clustering</w:t>
      </w:r>
      <w:r w:rsidR="00355723">
        <w:rPr>
          <w:lang w:val="en-CA"/>
        </w:rPr>
        <w:t xml:space="preserve"> significantly</w:t>
      </w:r>
      <w:r w:rsidR="00355723" w:rsidRPr="00C2624B">
        <w:rPr>
          <w:lang w:val="en-CA"/>
        </w:rPr>
        <w:t xml:space="preserve"> improved</w:t>
      </w:r>
      <w:r w:rsidR="00355723">
        <w:rPr>
          <w:lang w:val="en-CA"/>
        </w:rPr>
        <w:t xml:space="preserve"> </w:t>
      </w:r>
      <w:r w:rsidR="00355723" w:rsidRPr="00C2624B">
        <w:rPr>
          <w:lang w:val="en-CA"/>
        </w:rPr>
        <w:t>our understanding and characterization of movement strateg</w:t>
      </w:r>
      <w:r w:rsidR="00355723">
        <w:rPr>
          <w:lang w:val="en-CA"/>
        </w:rPr>
        <w:t>ies and therefore we did not pursue a</w:t>
      </w:r>
      <w:r w:rsidR="0026231C">
        <w:rPr>
          <w:lang w:val="en-CA"/>
        </w:rPr>
        <w:t>ss</w:t>
      </w:r>
      <w:r w:rsidR="00355723">
        <w:rPr>
          <w:lang w:val="en-CA"/>
        </w:rPr>
        <w:t>essing convergence for all individuals</w:t>
      </w:r>
      <w:r w:rsidR="00355723" w:rsidRPr="00C2624B">
        <w:rPr>
          <w:lang w:val="en-CA"/>
        </w:rPr>
        <w:t xml:space="preserve">.   </w:t>
      </w:r>
    </w:p>
    <w:p w:rsidR="00355723" w:rsidRDefault="00355723" w:rsidP="00355723">
      <w:pPr>
        <w:spacing w:line="480" w:lineRule="auto"/>
        <w:rPr>
          <w:lang w:val="en-CA"/>
        </w:rPr>
      </w:pPr>
    </w:p>
    <w:p w:rsidR="00355723" w:rsidRDefault="00400C27" w:rsidP="00355723">
      <w:pPr>
        <w:spacing w:line="480" w:lineRule="auto"/>
        <w:rPr>
          <w:lang w:val="en-CA"/>
        </w:rPr>
      </w:pPr>
      <w:r>
        <w:rPr>
          <w:noProof/>
        </w:rPr>
        <w:drawing>
          <wp:inline distT="0" distB="0" distL="0" distR="0">
            <wp:extent cx="3896139" cy="3896139"/>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94784" cy="3894784"/>
                    </a:xfrm>
                    <a:prstGeom prst="rect">
                      <a:avLst/>
                    </a:prstGeom>
                  </pic:spPr>
                </pic:pic>
              </a:graphicData>
            </a:graphic>
          </wp:inline>
        </w:drawing>
      </w:r>
    </w:p>
    <w:p w:rsidR="00355723" w:rsidRPr="004848EB" w:rsidRDefault="00355723" w:rsidP="00355723">
      <w:pPr>
        <w:spacing w:line="480" w:lineRule="auto"/>
        <w:rPr>
          <w:i/>
          <w:lang w:val="en-CA"/>
        </w:rPr>
      </w:pPr>
      <w:r w:rsidRPr="00B359C6">
        <w:rPr>
          <w:i/>
          <w:lang w:val="en-CA"/>
        </w:rPr>
        <w:t xml:space="preserve">Figure </w:t>
      </w:r>
      <w:r w:rsidR="00B359C6" w:rsidRPr="00B359C6">
        <w:rPr>
          <w:i/>
          <w:lang w:val="en-CA"/>
        </w:rPr>
        <w:t>S</w:t>
      </w:r>
      <w:r w:rsidR="00B359C6">
        <w:rPr>
          <w:i/>
          <w:lang w:val="en-CA"/>
        </w:rPr>
        <w:t>1</w:t>
      </w:r>
      <w:r w:rsidRPr="00B359C6">
        <w:rPr>
          <w:i/>
          <w:lang w:val="en-CA"/>
        </w:rPr>
        <w:t>. Movement</w:t>
      </w:r>
      <w:r w:rsidRPr="004848EB">
        <w:rPr>
          <w:i/>
          <w:lang w:val="en-CA"/>
        </w:rPr>
        <w:t xml:space="preserve"> pattern of a giant tortoise (Tag ID = 1406) from La </w:t>
      </w:r>
      <w:proofErr w:type="spellStart"/>
      <w:r w:rsidRPr="004848EB">
        <w:rPr>
          <w:i/>
          <w:lang w:val="en-CA"/>
        </w:rPr>
        <w:t>Reserva</w:t>
      </w:r>
      <w:proofErr w:type="spellEnd"/>
      <w:r w:rsidRPr="004848EB">
        <w:rPr>
          <w:i/>
          <w:lang w:val="en-CA"/>
        </w:rPr>
        <w:t xml:space="preserve"> tax</w:t>
      </w:r>
      <w:r>
        <w:rPr>
          <w:i/>
          <w:lang w:val="en-CA"/>
        </w:rPr>
        <w:t>on</w:t>
      </w:r>
      <w:r w:rsidRPr="004848EB">
        <w:rPr>
          <w:i/>
          <w:lang w:val="en-CA"/>
        </w:rPr>
        <w:t>. The upper row represented movement pattern in response to elevation in the x-y plan and the corresponding pattern in NSD</w:t>
      </w:r>
      <w:r>
        <w:rPr>
          <w:i/>
          <w:lang w:val="en-CA"/>
        </w:rPr>
        <w:t xml:space="preserve"> over time</w:t>
      </w:r>
      <w:r w:rsidRPr="004848EB">
        <w:rPr>
          <w:i/>
          <w:lang w:val="en-CA"/>
        </w:rPr>
        <w:t xml:space="preserve">. Relocations are colour-associated with a specific cluster based on bivariate clustering integrating NSD and elevation. The lower row represents the relationship between the NSD and daily distance travel with associated temporal pattern of NSD. Relocations are colour-associated with a specific cluster based on bivariate clustering integrating NSD and daily distance travel. </w:t>
      </w:r>
      <w:r>
        <w:rPr>
          <w:i/>
          <w:lang w:val="en-CA"/>
        </w:rPr>
        <w:t>Reader can r</w:t>
      </w:r>
      <w:r w:rsidRPr="004848EB">
        <w:rPr>
          <w:i/>
          <w:lang w:val="en-CA"/>
        </w:rPr>
        <w:t>efer to Figure 3 for a comparison with the univariate approach</w:t>
      </w:r>
      <w:r>
        <w:rPr>
          <w:i/>
          <w:lang w:val="en-CA"/>
        </w:rPr>
        <w:t xml:space="preserve"> for this individual</w:t>
      </w:r>
      <w:r w:rsidRPr="004848EB">
        <w:rPr>
          <w:i/>
          <w:lang w:val="en-CA"/>
        </w:rPr>
        <w:t xml:space="preserve">. </w:t>
      </w:r>
    </w:p>
    <w:sectPr w:rsidR="00355723" w:rsidRPr="004848EB" w:rsidSect="000B6330">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EE4E126" w15:done="0"/>
  <w15:commentEx w15:paraId="46BF2796" w15:done="0"/>
  <w15:commentEx w15:paraId="5B8E20F6" w15:done="0"/>
</w15:commentsEx>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E5D2C"/>
    <w:multiLevelType w:val="hybridMultilevel"/>
    <w:tmpl w:val="E760E3C0"/>
    <w:lvl w:ilvl="0" w:tplc="A6C42EA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122E198A"/>
    <w:multiLevelType w:val="hybridMultilevel"/>
    <w:tmpl w:val="6B44741E"/>
    <w:lvl w:ilvl="0" w:tplc="440AACFA">
      <w:start w:val="1"/>
      <w:numFmt w:val="decimal"/>
      <w:lvlText w:val="%1)"/>
      <w:lvlJc w:val="left"/>
      <w:pPr>
        <w:ind w:left="1080" w:hanging="360"/>
      </w:pPr>
      <w:rPr>
        <w:rFonts w:hint="default"/>
        <w:b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nsid w:val="3A3D70F6"/>
    <w:multiLevelType w:val="hybridMultilevel"/>
    <w:tmpl w:val="C336A07E"/>
    <w:lvl w:ilvl="0" w:tplc="2EA00714">
      <w:start w:val="1"/>
      <w:numFmt w:val="bullet"/>
      <w:lvlText w:val=""/>
      <w:lvlJc w:val="left"/>
      <w:pPr>
        <w:ind w:left="720" w:hanging="360"/>
      </w:pPr>
      <w:rPr>
        <w:rFonts w:ascii="Wingdings" w:eastAsiaTheme="minorHAnsi" w:hAnsi="Wingding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438750DB"/>
    <w:multiLevelType w:val="hybridMultilevel"/>
    <w:tmpl w:val="E7982E9A"/>
    <w:lvl w:ilvl="0" w:tplc="8AFEABB6">
      <w:start w:val="1"/>
      <w:numFmt w:val="decimal"/>
      <w:lvlText w:val="%1)"/>
      <w:lvlJc w:val="left"/>
      <w:pPr>
        <w:ind w:left="1080" w:hanging="360"/>
      </w:pPr>
      <w:rPr>
        <w:rFonts w:hint="default"/>
        <w:b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nsid w:val="7C410ADC"/>
    <w:multiLevelType w:val="hybridMultilevel"/>
    <w:tmpl w:val="EE6899E2"/>
    <w:lvl w:ilvl="0" w:tplc="C36A684E">
      <w:start w:val="1"/>
      <w:numFmt w:val="decimal"/>
      <w:lvlText w:val="%1)"/>
      <w:lvlJc w:val="left"/>
      <w:pPr>
        <w:ind w:left="1080" w:hanging="360"/>
      </w:pPr>
      <w:rPr>
        <w:rFonts w:hint="default"/>
        <w:b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4"/>
  </w:num>
  <w:num w:numId="2">
    <w:abstractNumId w:val="0"/>
  </w:num>
  <w:num w:numId="3">
    <w:abstractNumId w:val="1"/>
  </w:num>
  <w:num w:numId="4">
    <w:abstractNumId w:val="3"/>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ance Ellington">
    <w15:presenceInfo w15:providerId="None" w15:userId="Hance Ellingto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355723"/>
    <w:rsid w:val="0003614C"/>
    <w:rsid w:val="0005607A"/>
    <w:rsid w:val="00074E72"/>
    <w:rsid w:val="000828F2"/>
    <w:rsid w:val="000A306B"/>
    <w:rsid w:val="000B6330"/>
    <w:rsid w:val="000C4CC1"/>
    <w:rsid w:val="00146E9D"/>
    <w:rsid w:val="00171FCB"/>
    <w:rsid w:val="001A6B9C"/>
    <w:rsid w:val="00213A95"/>
    <w:rsid w:val="0026231C"/>
    <w:rsid w:val="002A1562"/>
    <w:rsid w:val="002B32DE"/>
    <w:rsid w:val="002E3483"/>
    <w:rsid w:val="0030003C"/>
    <w:rsid w:val="00306F41"/>
    <w:rsid w:val="00315AEA"/>
    <w:rsid w:val="00355723"/>
    <w:rsid w:val="00360E44"/>
    <w:rsid w:val="003B34AE"/>
    <w:rsid w:val="003C0337"/>
    <w:rsid w:val="003E5C5B"/>
    <w:rsid w:val="00400C27"/>
    <w:rsid w:val="00407928"/>
    <w:rsid w:val="00414BDD"/>
    <w:rsid w:val="004E06FB"/>
    <w:rsid w:val="004F0742"/>
    <w:rsid w:val="004F6F93"/>
    <w:rsid w:val="00590666"/>
    <w:rsid w:val="00694AFE"/>
    <w:rsid w:val="006F0735"/>
    <w:rsid w:val="007E4B1B"/>
    <w:rsid w:val="0080510C"/>
    <w:rsid w:val="00862B91"/>
    <w:rsid w:val="0090698C"/>
    <w:rsid w:val="00954D10"/>
    <w:rsid w:val="00970282"/>
    <w:rsid w:val="0097073F"/>
    <w:rsid w:val="00A03A1E"/>
    <w:rsid w:val="00A27F1E"/>
    <w:rsid w:val="00A52769"/>
    <w:rsid w:val="00A56993"/>
    <w:rsid w:val="00AB326E"/>
    <w:rsid w:val="00AC1301"/>
    <w:rsid w:val="00AC75AF"/>
    <w:rsid w:val="00AE0262"/>
    <w:rsid w:val="00B1034A"/>
    <w:rsid w:val="00B3470D"/>
    <w:rsid w:val="00B359C6"/>
    <w:rsid w:val="00B403A2"/>
    <w:rsid w:val="00B618AD"/>
    <w:rsid w:val="00BF2716"/>
    <w:rsid w:val="00C544B1"/>
    <w:rsid w:val="00C65948"/>
    <w:rsid w:val="00C75E21"/>
    <w:rsid w:val="00CA5FFA"/>
    <w:rsid w:val="00CB7E5D"/>
    <w:rsid w:val="00CC31CF"/>
    <w:rsid w:val="00CF127B"/>
    <w:rsid w:val="00DA6F50"/>
    <w:rsid w:val="00DB3A18"/>
    <w:rsid w:val="00DF3FC8"/>
    <w:rsid w:val="00E10ADE"/>
    <w:rsid w:val="00E67AC6"/>
    <w:rsid w:val="00E912EB"/>
    <w:rsid w:val="00EC1A99"/>
    <w:rsid w:val="00EE1453"/>
    <w:rsid w:val="00EF35D4"/>
    <w:rsid w:val="00F0778E"/>
    <w:rsid w:val="00F76F41"/>
    <w:rsid w:val="00FE50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3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57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723"/>
    <w:rPr>
      <w:rFonts w:ascii="Tahoma" w:hAnsi="Tahoma" w:cs="Tahoma"/>
      <w:sz w:val="16"/>
      <w:szCs w:val="16"/>
    </w:rPr>
  </w:style>
  <w:style w:type="character" w:styleId="CommentReference">
    <w:name w:val="annotation reference"/>
    <w:basedOn w:val="DefaultParagraphFont"/>
    <w:uiPriority w:val="99"/>
    <w:semiHidden/>
    <w:unhideWhenUsed/>
    <w:rsid w:val="00AC1301"/>
    <w:rPr>
      <w:sz w:val="16"/>
      <w:szCs w:val="16"/>
    </w:rPr>
  </w:style>
  <w:style w:type="paragraph" w:styleId="CommentText">
    <w:name w:val="annotation text"/>
    <w:basedOn w:val="Normal"/>
    <w:link w:val="CommentTextChar"/>
    <w:uiPriority w:val="99"/>
    <w:unhideWhenUsed/>
    <w:rsid w:val="00AC1301"/>
    <w:pPr>
      <w:spacing w:line="240" w:lineRule="auto"/>
    </w:pPr>
    <w:rPr>
      <w:sz w:val="20"/>
      <w:szCs w:val="20"/>
    </w:rPr>
  </w:style>
  <w:style w:type="character" w:customStyle="1" w:styleId="CommentTextChar">
    <w:name w:val="Comment Text Char"/>
    <w:basedOn w:val="DefaultParagraphFont"/>
    <w:link w:val="CommentText"/>
    <w:uiPriority w:val="99"/>
    <w:rsid w:val="00AC1301"/>
    <w:rPr>
      <w:sz w:val="20"/>
      <w:szCs w:val="20"/>
    </w:rPr>
  </w:style>
  <w:style w:type="paragraph" w:styleId="CommentSubject">
    <w:name w:val="annotation subject"/>
    <w:basedOn w:val="CommentText"/>
    <w:next w:val="CommentText"/>
    <w:link w:val="CommentSubjectChar"/>
    <w:uiPriority w:val="99"/>
    <w:semiHidden/>
    <w:unhideWhenUsed/>
    <w:rsid w:val="00AC1301"/>
    <w:rPr>
      <w:b/>
      <w:bCs/>
    </w:rPr>
  </w:style>
  <w:style w:type="character" w:customStyle="1" w:styleId="CommentSubjectChar">
    <w:name w:val="Comment Subject Char"/>
    <w:basedOn w:val="CommentTextChar"/>
    <w:link w:val="CommentSubject"/>
    <w:uiPriority w:val="99"/>
    <w:semiHidden/>
    <w:rsid w:val="00AC1301"/>
    <w:rPr>
      <w:b/>
      <w:bCs/>
      <w:sz w:val="20"/>
      <w:szCs w:val="20"/>
    </w:rPr>
  </w:style>
  <w:style w:type="paragraph" w:styleId="ListParagraph">
    <w:name w:val="List Paragraph"/>
    <w:basedOn w:val="Normal"/>
    <w:uiPriority w:val="34"/>
    <w:qFormat/>
    <w:rsid w:val="005906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57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723"/>
    <w:rPr>
      <w:rFonts w:ascii="Tahoma" w:hAnsi="Tahoma" w:cs="Tahoma"/>
      <w:sz w:val="16"/>
      <w:szCs w:val="16"/>
    </w:rPr>
  </w:style>
  <w:style w:type="character" w:styleId="CommentReference">
    <w:name w:val="annotation reference"/>
    <w:basedOn w:val="DefaultParagraphFont"/>
    <w:uiPriority w:val="99"/>
    <w:semiHidden/>
    <w:unhideWhenUsed/>
    <w:rsid w:val="00AC1301"/>
    <w:rPr>
      <w:sz w:val="16"/>
      <w:szCs w:val="16"/>
    </w:rPr>
  </w:style>
  <w:style w:type="paragraph" w:styleId="CommentText">
    <w:name w:val="annotation text"/>
    <w:basedOn w:val="Normal"/>
    <w:link w:val="CommentTextChar"/>
    <w:uiPriority w:val="99"/>
    <w:unhideWhenUsed/>
    <w:rsid w:val="00AC1301"/>
    <w:pPr>
      <w:spacing w:line="240" w:lineRule="auto"/>
    </w:pPr>
    <w:rPr>
      <w:sz w:val="20"/>
      <w:szCs w:val="20"/>
    </w:rPr>
  </w:style>
  <w:style w:type="character" w:customStyle="1" w:styleId="CommentTextChar">
    <w:name w:val="Comment Text Char"/>
    <w:basedOn w:val="DefaultParagraphFont"/>
    <w:link w:val="CommentText"/>
    <w:uiPriority w:val="99"/>
    <w:rsid w:val="00AC1301"/>
    <w:rPr>
      <w:sz w:val="20"/>
      <w:szCs w:val="20"/>
    </w:rPr>
  </w:style>
  <w:style w:type="paragraph" w:styleId="CommentSubject">
    <w:name w:val="annotation subject"/>
    <w:basedOn w:val="CommentText"/>
    <w:next w:val="CommentText"/>
    <w:link w:val="CommentSubjectChar"/>
    <w:uiPriority w:val="99"/>
    <w:semiHidden/>
    <w:unhideWhenUsed/>
    <w:rsid w:val="00AC1301"/>
    <w:rPr>
      <w:b/>
      <w:bCs/>
    </w:rPr>
  </w:style>
  <w:style w:type="character" w:customStyle="1" w:styleId="CommentSubjectChar">
    <w:name w:val="Comment Subject Char"/>
    <w:basedOn w:val="CommentTextChar"/>
    <w:link w:val="CommentSubject"/>
    <w:uiPriority w:val="99"/>
    <w:semiHidden/>
    <w:rsid w:val="00AC1301"/>
    <w:rPr>
      <w:b/>
      <w:bCs/>
      <w:sz w:val="20"/>
      <w:szCs w:val="20"/>
    </w:rPr>
  </w:style>
  <w:style w:type="paragraph" w:styleId="ListParagraph">
    <w:name w:val="List Paragraph"/>
    <w:basedOn w:val="Normal"/>
    <w:uiPriority w:val="34"/>
    <w:qFormat/>
    <w:rsid w:val="0059066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ntTable" Target="fontTable.xml"/><Relationship Id="rId12"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C9448-B59D-485C-B077-3A37A7262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1065</Words>
  <Characters>6071</Characters>
  <Application>Microsoft Office Word</Application>
  <DocSecurity>0</DocSecurity>
  <Lines>50</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SUNY ESF</Company>
  <LinksUpToDate>false</LinksUpToDate>
  <CharactersWithSpaces>7122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Guillaume Bastille-Rousseau</dc:creator>
  <cp:lastModifiedBy>mbacong</cp:lastModifiedBy>
  <cp:revision>4</cp:revision>
  <dcterms:created xsi:type="dcterms:W3CDTF">2016-02-16T15:12:00Z</dcterms:created>
  <dcterms:modified xsi:type="dcterms:W3CDTF">2016-04-14T19:48:00Z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gbastillerousseau@hotmail.com@www.mendeley.com</vt:lpwstr>
  </property>
  <property fmtid="{D5CDD505-2E9C-101B-9397-08002B2CF9AE}" pid="4" name="Mendeley Citation Style_1">
    <vt:lpwstr>http://www.zotero.org/styles/journal-of-animal-ecology</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16th edition (author-date)</vt:lpwstr>
  </property>
  <property fmtid="{D5CDD505-2E9C-101B-9397-08002B2CF9AE}" pid="9" name="Mendeley Recent Style Id 2_1">
    <vt:lpwstr>http://www.zotero.org/styles/harvard1</vt:lpwstr>
  </property>
  <property fmtid="{D5CDD505-2E9C-101B-9397-08002B2CF9AE}" pid="10" name="Mendeley Recent Style Name 2_1">
    <vt:lpwstr>Harvard Reference format 1 (author-date)</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http://www.zotero.org/styles/journal-of-animal-ecology</vt:lpwstr>
  </property>
  <property fmtid="{D5CDD505-2E9C-101B-9397-08002B2CF9AE}" pid="14" name="Mendeley Recent Style Name 4_1">
    <vt:lpwstr>Journal of Animal Ecology</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7th edition</vt:lpwstr>
  </property>
  <property fmtid="{D5CDD505-2E9C-101B-9397-08002B2CF9AE}" pid="19" name="Mendeley Recent Style Id 7_1">
    <vt:lpwstr>http://www.zotero.org/styles/movement-ecology</vt:lpwstr>
  </property>
  <property fmtid="{D5CDD505-2E9C-101B-9397-08002B2CF9AE}" pid="20" name="Mendeley Recent Style Name 7_1">
    <vt:lpwstr>Movement Ecology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http://www.zotero.org/styles/oikos</vt:lpwstr>
  </property>
  <property fmtid="{D5CDD505-2E9C-101B-9397-08002B2CF9AE}" pid="24" name="Mendeley Recent Style Name 9_1">
    <vt:lpwstr>Oikos</vt:lpwstr>
  </property>
</Properties>
</file>