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pPr>
      <w:r>
        <w:rPr>
          <w:rtl w:val="0"/>
          <w:lang w:val="en-US"/>
        </w:rPr>
        <w:t>Supplementary Information</w:t>
      </w:r>
    </w:p>
    <w:p>
      <w:pPr>
        <w:pStyle w:val="Body"/>
        <w:rPr>
          <w:rFonts w:ascii="Times New Roman" w:cs="Times New Roman" w:hAnsi="Times New Roman" w:eastAsia="Times New Roman"/>
        </w:rPr>
      </w:pPr>
    </w:p>
    <w:p>
      <w:pPr>
        <w:pStyle w:val="Heading 2"/>
      </w:pPr>
      <w:bookmarkStart w:name="_bn6wsx" w:id="0"/>
      <w:bookmarkEnd w:id="0"/>
      <w:r>
        <w:rPr>
          <w:rFonts w:cs="Arial Unicode MS" w:eastAsia="Arial Unicode MS"/>
          <w:rtl w:val="0"/>
        </w:rPr>
        <w:t>S</w:t>
      </w:r>
      <w:r>
        <w:rPr>
          <w:rFonts w:cs="Arial Unicode MS" w:eastAsia="Arial Unicode MS"/>
          <w:rtl w:val="0"/>
          <w:lang w:val="en-US"/>
        </w:rPr>
        <w:t>M: Figures &amp; Tables</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cs="Times New Roman" w:hAnsi="Times New Roman" w:eastAsia="Times New Roman"/>
        </w:rPr>
        <w:drawing xmlns:a="http://schemas.openxmlformats.org/drawingml/2006/main">
          <wp:inline distT="0" distB="0" distL="0" distR="0">
            <wp:extent cx="5727573" cy="4295680"/>
            <wp:effectExtent l="0" t="0" r="0" b="0"/>
            <wp:docPr id="1073741825" name="officeArt object" descr="image5.png"/>
            <wp:cNvGraphicFramePr/>
            <a:graphic xmlns:a="http://schemas.openxmlformats.org/drawingml/2006/main">
              <a:graphicData uri="http://schemas.openxmlformats.org/drawingml/2006/picture">
                <pic:pic xmlns:pic="http://schemas.openxmlformats.org/drawingml/2006/picture">
                  <pic:nvPicPr>
                    <pic:cNvPr id="1073741825" name="image5.png" descr="image5.png"/>
                    <pic:cNvPicPr>
                      <a:picLocks noChangeAspect="1"/>
                    </pic:cNvPicPr>
                  </pic:nvPicPr>
                  <pic:blipFill>
                    <a:blip r:embed="rId4">
                      <a:extLst/>
                    </a:blip>
                    <a:stretch>
                      <a:fillRect/>
                    </a:stretch>
                  </pic:blipFill>
                  <pic:spPr>
                    <a:xfrm>
                      <a:off x="0" y="0"/>
                      <a:ext cx="5727573" cy="4295680"/>
                    </a:xfrm>
                    <a:prstGeom prst="rect">
                      <a:avLst/>
                    </a:prstGeom>
                    <a:ln w="12700" cap="flat">
                      <a:noFill/>
                      <a:miter lim="400000"/>
                    </a:ln>
                    <a:effectLst/>
                  </pic:spPr>
                </pic:pic>
              </a:graphicData>
            </a:graphic>
          </wp:inline>
        </w:drawing>
      </w:r>
    </w:p>
    <w:p>
      <w:pPr>
        <w:pStyle w:val="Heading"/>
        <w:rPr>
          <w:b w:val="0"/>
          <w:bCs w:val="0"/>
          <w:sz w:val="22"/>
          <w:szCs w:val="22"/>
        </w:rPr>
      </w:pPr>
      <w:bookmarkStart w:name="_qsh70q" w:id="1"/>
      <w:bookmarkEnd w:id="1"/>
      <w:r>
        <w:rPr>
          <w:sz w:val="22"/>
          <w:szCs w:val="22"/>
          <w:rtl w:val="0"/>
        </w:rPr>
        <w:t>S</w:t>
      </w:r>
      <w:r>
        <w:rPr>
          <w:sz w:val="22"/>
          <w:szCs w:val="22"/>
          <w:rtl w:val="0"/>
          <w:lang w:val="it-IT"/>
        </w:rPr>
        <w:t xml:space="preserve">M Figure 1. </w:t>
      </w:r>
      <w:r>
        <w:rPr>
          <w:b w:val="0"/>
          <w:bCs w:val="0"/>
          <w:sz w:val="22"/>
          <w:szCs w:val="22"/>
          <w:rtl w:val="0"/>
          <w:lang w:val="en-US"/>
        </w:rPr>
        <w:t xml:space="preserve">Distribution of the random effects from individual elephants in each zonal model. A) is the Mara Reserve (Mara Reserve), B) is the community conservancy areas (Conservancies) zone, and C) is the unprotected area (Unprotected). Visual inspection of the distributions and the standard deviation of the hyperparameters show that there is more variation between individuals in the nationally protected and the unprotected zones, while the variation is smaller in the community conservancies. </w:t>
      </w:r>
    </w:p>
    <w:p>
      <w:pPr>
        <w:pStyle w:val="Body"/>
        <w:rPr>
          <w:rFonts w:ascii="Times New Roman" w:cs="Times New Roman" w:hAnsi="Times New Roman" w:eastAsia="Times New Roman"/>
        </w:rPr>
      </w:pPr>
    </w:p>
    <w:p>
      <w:pPr>
        <w:pStyle w:val="Heading"/>
        <w:rPr>
          <w:sz w:val="22"/>
          <w:szCs w:val="22"/>
        </w:rPr>
      </w:pPr>
      <w:bookmarkStart w:name="_as4poj" w:id="2"/>
      <w:bookmarkEnd w:id="2"/>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cs="Times New Roman" w:hAnsi="Times New Roman" w:eastAsia="Times New Roman"/>
        </w:rPr>
        <w:drawing xmlns:a="http://schemas.openxmlformats.org/drawingml/2006/main">
          <wp:inline distT="0" distB="0" distL="0" distR="0">
            <wp:extent cx="5727573" cy="3867336"/>
            <wp:effectExtent l="0" t="0" r="0" b="0"/>
            <wp:docPr id="1073741826" name="officeArt object"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Graphical user interface, applicationDescription automatically generated" descr="Graphical user interface, applicationDescription automatically generated"/>
                    <pic:cNvPicPr>
                      <a:picLocks noChangeAspect="1"/>
                    </pic:cNvPicPr>
                  </pic:nvPicPr>
                  <pic:blipFill>
                    <a:blip r:embed="rId5">
                      <a:extLst/>
                    </a:blip>
                    <a:stretch>
                      <a:fillRect/>
                    </a:stretch>
                  </pic:blipFill>
                  <pic:spPr>
                    <a:xfrm>
                      <a:off x="0" y="0"/>
                      <a:ext cx="5727573" cy="3867336"/>
                    </a:xfrm>
                    <a:prstGeom prst="rect">
                      <a:avLst/>
                    </a:prstGeom>
                    <a:ln w="12700" cap="flat">
                      <a:noFill/>
                      <a:miter lim="400000"/>
                    </a:ln>
                    <a:effectLst/>
                  </pic:spPr>
                </pic:pic>
              </a:graphicData>
            </a:graphic>
          </wp:inline>
        </w:drawing>
      </w:r>
    </w:p>
    <w:p>
      <w:pPr>
        <w:pStyle w:val="Heading"/>
        <w:rPr>
          <w:b w:val="0"/>
          <w:bCs w:val="0"/>
          <w:sz w:val="22"/>
          <w:szCs w:val="22"/>
        </w:rPr>
      </w:pPr>
      <w:bookmarkStart w:name="_pxezwc" w:id="3"/>
      <w:bookmarkEnd w:id="3"/>
      <w:r>
        <w:rPr>
          <w:sz w:val="22"/>
          <w:szCs w:val="22"/>
          <w:rtl w:val="0"/>
        </w:rPr>
        <w:t>S</w:t>
      </w:r>
      <w:r>
        <w:rPr>
          <w:sz w:val="22"/>
          <w:szCs w:val="22"/>
          <w:rtl w:val="0"/>
          <w:lang w:val="it-IT"/>
        </w:rPr>
        <w:t xml:space="preserve">M Figure 2. </w:t>
      </w:r>
      <w:r>
        <w:rPr>
          <w:b w:val="0"/>
          <w:bCs w:val="0"/>
          <w:sz w:val="22"/>
          <w:szCs w:val="22"/>
          <w:rtl w:val="0"/>
          <w:lang w:val="en-US"/>
        </w:rPr>
        <w:t xml:space="preserve">Posterior predictive checks of each zonal model showed a similar distribution of the observed and predicted values, indicating that the models accurately described the data. Plots are shown for the A) Mara Reserve , B) Conservancies, and C) Unprotected models. The black line represents the observed distribution of used (elephant GPS relocations) and unused (random GPS relocations) data, and the blue lines represent the distribution of predicted used and unused relocations based on 500 replications. </w:t>
      </w:r>
    </w:p>
    <w:p>
      <w:pPr>
        <w:pStyle w:val="Body"/>
      </w:pPr>
      <w:r>
        <w:rPr>
          <w:rFonts w:ascii="Arial Unicode MS" w:cs="Arial Unicode MS" w:hAnsi="Arial Unicode MS" w:eastAsia="Arial Unicode MS"/>
          <w:b w:val="0"/>
          <w:bCs w:val="0"/>
          <w:i w:val="0"/>
          <w:iCs w:val="0"/>
        </w:rPr>
        <w:br w:type="page"/>
      </w:r>
    </w:p>
    <w:p>
      <w:pPr>
        <w:pStyle w:val="Body"/>
        <w:rPr>
          <w:rFonts w:ascii="Times New Roman" w:cs="Times New Roman" w:hAnsi="Times New Roman" w:eastAsia="Times New Roman"/>
        </w:rPr>
      </w:pPr>
      <w:r>
        <w:rPr>
          <w:rFonts w:ascii="Times New Roman" w:cs="Times New Roman" w:hAnsi="Times New Roman" w:eastAsia="Times New Roman"/>
        </w:rPr>
        <w:drawing xmlns:a="http://schemas.openxmlformats.org/drawingml/2006/main">
          <wp:inline distT="0" distB="0" distL="0" distR="0">
            <wp:extent cx="5727573" cy="4772978"/>
            <wp:effectExtent l="0" t="0" r="0" b="0"/>
            <wp:docPr id="1073741827" name="officeArt object" descr="image8.png"/>
            <wp:cNvGraphicFramePr/>
            <a:graphic xmlns:a="http://schemas.openxmlformats.org/drawingml/2006/main">
              <a:graphicData uri="http://schemas.openxmlformats.org/drawingml/2006/picture">
                <pic:pic xmlns:pic="http://schemas.openxmlformats.org/drawingml/2006/picture">
                  <pic:nvPicPr>
                    <pic:cNvPr id="1073741827" name="image8.png" descr="image8.png"/>
                    <pic:cNvPicPr>
                      <a:picLocks noChangeAspect="1"/>
                    </pic:cNvPicPr>
                  </pic:nvPicPr>
                  <pic:blipFill>
                    <a:blip r:embed="rId6">
                      <a:extLst/>
                    </a:blip>
                    <a:stretch>
                      <a:fillRect/>
                    </a:stretch>
                  </pic:blipFill>
                  <pic:spPr>
                    <a:xfrm>
                      <a:off x="0" y="0"/>
                      <a:ext cx="5727573" cy="4772978"/>
                    </a:xfrm>
                    <a:prstGeom prst="rect">
                      <a:avLst/>
                    </a:prstGeom>
                    <a:ln w="12700" cap="flat">
                      <a:noFill/>
                      <a:miter lim="400000"/>
                    </a:ln>
                    <a:effectLst/>
                  </pic:spPr>
                </pic:pic>
              </a:graphicData>
            </a:graphic>
          </wp:inline>
        </w:drawing>
      </w:r>
    </w:p>
    <w:p>
      <w:pPr>
        <w:pStyle w:val="Body"/>
        <w:jc w:val="center"/>
        <w:rPr>
          <w:rFonts w:ascii="Times New Roman" w:cs="Times New Roman" w:hAnsi="Times New Roman" w:eastAsia="Times New Roman"/>
          <w:sz w:val="22"/>
          <w:szCs w:val="22"/>
        </w:rPr>
      </w:pPr>
      <w:r>
        <w:rPr>
          <w:rFonts w:ascii="Times New Roman" w:hAnsi="Times New Roman"/>
          <w:b w:val="1"/>
          <w:bCs w:val="1"/>
          <w:rtl w:val="0"/>
          <w:lang w:val="it-IT"/>
        </w:rPr>
        <w:t>SM Figure 3</w:t>
      </w:r>
      <w:r>
        <w:rPr>
          <w:rFonts w:ascii="Times New Roman" w:hAnsi="Times New Roman"/>
          <w:rtl w:val="0"/>
          <w:lang w:val="en-US"/>
        </w:rPr>
        <w:t>. Mean posterior and 95% highest-density posterior intervals (HDPI) (x-axis) for each covariate (y-axis) within the Seasonal set of models.</w:t>
      </w:r>
    </w:p>
    <w:p>
      <w:pPr>
        <w:pStyle w:val="Heading"/>
      </w:pPr>
      <w:bookmarkStart w:name="_p2csry" w:id="4"/>
      <w:bookmarkEnd w:id="4"/>
      <w:r>
        <w:drawing xmlns:a="http://schemas.openxmlformats.org/drawingml/2006/main">
          <wp:inline distT="0" distB="0" distL="0" distR="0">
            <wp:extent cx="5727573" cy="4772978"/>
            <wp:effectExtent l="0" t="0" r="0" b="0"/>
            <wp:docPr id="1073741828" name="officeArt object" descr="image7.png"/>
            <wp:cNvGraphicFramePr/>
            <a:graphic xmlns:a="http://schemas.openxmlformats.org/drawingml/2006/main">
              <a:graphicData uri="http://schemas.openxmlformats.org/drawingml/2006/picture">
                <pic:pic xmlns:pic="http://schemas.openxmlformats.org/drawingml/2006/picture">
                  <pic:nvPicPr>
                    <pic:cNvPr id="1073741828" name="image7.png" descr="image7.png"/>
                    <pic:cNvPicPr>
                      <a:picLocks noChangeAspect="1"/>
                    </pic:cNvPicPr>
                  </pic:nvPicPr>
                  <pic:blipFill>
                    <a:blip r:embed="rId7">
                      <a:extLst/>
                    </a:blip>
                    <a:stretch>
                      <a:fillRect/>
                    </a:stretch>
                  </pic:blipFill>
                  <pic:spPr>
                    <a:xfrm>
                      <a:off x="0" y="0"/>
                      <a:ext cx="5727573" cy="4772978"/>
                    </a:xfrm>
                    <a:prstGeom prst="rect">
                      <a:avLst/>
                    </a:prstGeom>
                    <a:ln w="12700" cap="flat">
                      <a:noFill/>
                      <a:miter lim="400000"/>
                    </a:ln>
                    <a:effectLst/>
                  </pic:spPr>
                </pic:pic>
              </a:graphicData>
            </a:graphic>
          </wp:inline>
        </w:drawing>
      </w:r>
    </w:p>
    <w:p>
      <w:pPr>
        <w:pStyle w:val="Heading"/>
        <w:jc w:val="center"/>
      </w:pPr>
      <w:bookmarkStart w:name="_n2zr" w:id="5"/>
      <w:bookmarkEnd w:id="5"/>
      <w:r>
        <w:rPr>
          <w:sz w:val="22"/>
          <w:szCs w:val="22"/>
          <w:rtl w:val="0"/>
        </w:rPr>
        <w:t>S</w:t>
      </w:r>
      <w:r>
        <w:rPr>
          <w:sz w:val="22"/>
          <w:szCs w:val="22"/>
          <w:rtl w:val="0"/>
          <w:lang w:val="it-IT"/>
        </w:rPr>
        <w:t>M Figure 4</w:t>
      </w:r>
      <w:r>
        <w:rPr>
          <w:b w:val="0"/>
          <w:bCs w:val="0"/>
          <w:sz w:val="22"/>
          <w:szCs w:val="22"/>
          <w:rtl w:val="0"/>
          <w:lang w:val="en-US"/>
        </w:rPr>
        <w:t>. Mean posterior and 95% highest-density posterior intervals (HDPI) (x-axis) for each covariate (y-axis) within the Time-of-Day set of models.</w:t>
      </w:r>
    </w:p>
    <w:p>
      <w:pPr>
        <w:pStyle w:val="Heading"/>
        <w:rPr>
          <w:b w:val="0"/>
          <w:bCs w:val="0"/>
          <w:sz w:val="22"/>
          <w:szCs w:val="22"/>
        </w:rPr>
      </w:pPr>
      <w:bookmarkStart w:name="_o7alnk" w:id="6"/>
      <w:bookmarkEnd w:id="6"/>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inline distT="0" distB="0" distL="0" distR="0">
            <wp:extent cx="5727573" cy="4772978"/>
            <wp:effectExtent l="0" t="0" r="0" b="0"/>
            <wp:docPr id="1073741829" name="officeArt object" descr="image2.png"/>
            <wp:cNvGraphicFramePr/>
            <a:graphic xmlns:a="http://schemas.openxmlformats.org/drawingml/2006/main">
              <a:graphicData uri="http://schemas.openxmlformats.org/drawingml/2006/picture">
                <pic:pic xmlns:pic="http://schemas.openxmlformats.org/drawingml/2006/picture">
                  <pic:nvPicPr>
                    <pic:cNvPr id="1073741829" name="image2.png" descr="image2.png"/>
                    <pic:cNvPicPr>
                      <a:picLocks noChangeAspect="1"/>
                    </pic:cNvPicPr>
                  </pic:nvPicPr>
                  <pic:blipFill>
                    <a:blip r:embed="rId8">
                      <a:extLst/>
                    </a:blip>
                    <a:stretch>
                      <a:fillRect/>
                    </a:stretch>
                  </pic:blipFill>
                  <pic:spPr>
                    <a:xfrm>
                      <a:off x="0" y="0"/>
                      <a:ext cx="5727573" cy="4772978"/>
                    </a:xfrm>
                    <a:prstGeom prst="rect">
                      <a:avLst/>
                    </a:prstGeom>
                    <a:ln w="12700" cap="flat">
                      <a:noFill/>
                      <a:miter lim="400000"/>
                    </a:ln>
                    <a:effectLst/>
                  </pic:spPr>
                </pic:pic>
              </a:graphicData>
            </a:graphic>
          </wp:inline>
        </w:drawing>
      </w:r>
    </w:p>
    <w:p>
      <w:pPr>
        <w:pStyle w:val="Body"/>
      </w:pPr>
    </w:p>
    <w:p>
      <w:pPr>
        <w:pStyle w:val="Body"/>
      </w:pPr>
    </w:p>
    <w:p>
      <w:pPr>
        <w:pStyle w:val="Body"/>
        <w:jc w:val="center"/>
        <w:rPr>
          <w:b w:val="1"/>
          <w:bCs w:val="1"/>
        </w:rPr>
      </w:pPr>
      <w:r>
        <w:rPr>
          <w:rFonts w:ascii="Times New Roman" w:hAnsi="Times New Roman"/>
          <w:b w:val="1"/>
          <w:bCs w:val="1"/>
          <w:rtl w:val="0"/>
          <w:lang w:val="it-IT"/>
        </w:rPr>
        <w:t>SM Figure 5</w:t>
      </w:r>
      <w:r>
        <w:rPr>
          <w:rFonts w:ascii="Times New Roman" w:hAnsi="Times New Roman"/>
          <w:rtl w:val="0"/>
        </w:rPr>
        <w:t>.</w:t>
      </w:r>
      <w:r>
        <w:rPr>
          <w:b w:val="1"/>
          <w:bCs w:val="1"/>
          <w:rtl w:val="0"/>
        </w:rPr>
        <w:t xml:space="preserve"> </w:t>
      </w:r>
      <w:r>
        <w:rPr>
          <w:rFonts w:ascii="Times New Roman" w:hAnsi="Times New Roman"/>
          <w:rtl w:val="0"/>
          <w:lang w:val="en-US"/>
        </w:rPr>
        <w:t>Mean posterior and 95% highest-density posterior intervals (HDPI) (x-axis) for each covariate (y-axis) within the Sex set of models.</w:t>
      </w:r>
    </w:p>
    <w:p>
      <w:pPr>
        <w:pStyle w:val="Body"/>
      </w:pPr>
    </w:p>
    <w:p>
      <w:pPr>
        <w:pStyle w:val="Heading"/>
      </w:pPr>
      <w:bookmarkStart w:name="_ckvvd" w:id="7"/>
      <w:bookmarkEnd w:id="7"/>
      <w:r>
        <w:drawing xmlns:a="http://schemas.openxmlformats.org/drawingml/2006/main">
          <wp:inline distT="0" distB="0" distL="0" distR="0">
            <wp:extent cx="5727573" cy="4405826"/>
            <wp:effectExtent l="0" t="0" r="0" b="0"/>
            <wp:docPr id="1073741830" name="officeArt object" descr="Chart, bubbl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0" name="Chart, bubble chartDescription automatically generated" descr="Chart, bubble chartDescription automatically generated"/>
                    <pic:cNvPicPr>
                      <a:picLocks noChangeAspect="1"/>
                    </pic:cNvPicPr>
                  </pic:nvPicPr>
                  <pic:blipFill>
                    <a:blip r:embed="rId9">
                      <a:extLst/>
                    </a:blip>
                    <a:stretch>
                      <a:fillRect/>
                    </a:stretch>
                  </pic:blipFill>
                  <pic:spPr>
                    <a:xfrm>
                      <a:off x="0" y="0"/>
                      <a:ext cx="5727573" cy="4405826"/>
                    </a:xfrm>
                    <a:prstGeom prst="rect">
                      <a:avLst/>
                    </a:prstGeom>
                    <a:ln w="12700" cap="flat">
                      <a:noFill/>
                      <a:miter lim="400000"/>
                    </a:ln>
                    <a:effectLst/>
                  </pic:spPr>
                </pic:pic>
              </a:graphicData>
            </a:graphic>
          </wp:inline>
        </w:drawing>
      </w:r>
    </w:p>
    <w:p>
      <w:pPr>
        <w:pStyle w:val="Body"/>
        <w:jc w:val="center"/>
        <w:rPr>
          <w:rFonts w:ascii="Times New Roman" w:cs="Times New Roman" w:hAnsi="Times New Roman" w:eastAsia="Times New Roman"/>
        </w:rPr>
      </w:pPr>
      <w:r>
        <w:rPr>
          <w:rFonts w:ascii="Times New Roman" w:hAnsi="Times New Roman"/>
          <w:b w:val="1"/>
          <w:bCs w:val="1"/>
          <w:rtl w:val="0"/>
          <w:lang w:val="it-IT"/>
        </w:rPr>
        <w:t xml:space="preserve">SM Figure 6. </w:t>
      </w:r>
      <w:r>
        <w:rPr>
          <w:rFonts w:ascii="Times New Roman" w:hAnsi="Times New Roman"/>
          <w:rtl w:val="0"/>
          <w:lang w:val="en-US"/>
        </w:rPr>
        <w:t>Correlation of covariates used in the resource selection models.</w:t>
      </w:r>
    </w:p>
    <w:p>
      <w:pPr>
        <w:pStyle w:val="Body"/>
        <w:jc w:val="center"/>
        <w:rPr>
          <w:rFonts w:ascii="Times New Roman" w:cs="Times New Roman" w:hAnsi="Times New Roman" w:eastAsia="Times New Roman"/>
        </w:rPr>
      </w:pPr>
    </w:p>
    <w:p>
      <w:pPr>
        <w:pStyle w:val="Body"/>
        <w:jc w:val="center"/>
        <w:rPr>
          <w:rFonts w:ascii="Times New Roman" w:cs="Times New Roman" w:hAnsi="Times New Roman" w:eastAsia="Times New Roman"/>
        </w:rPr>
      </w:pPr>
    </w:p>
    <w:p>
      <w:pPr>
        <w:pStyle w:val="Body"/>
        <w:jc w:val="center"/>
        <w:rPr>
          <w:rFonts w:ascii="Times New Roman" w:cs="Times New Roman" w:hAnsi="Times New Roman" w:eastAsia="Times New Roman"/>
        </w:rPr>
      </w:pPr>
    </w:p>
    <w:p>
      <w:pPr>
        <w:pStyle w:val="Body"/>
        <w:jc w:val="center"/>
        <w:rPr>
          <w:rFonts w:ascii="Times New Roman" w:cs="Times New Roman" w:hAnsi="Times New Roman" w:eastAsia="Times New Roman"/>
          <w:b w:val="1"/>
          <w:bCs w:val="1"/>
        </w:rPr>
      </w:pPr>
    </w:p>
    <w:p>
      <w:pPr>
        <w:pStyle w:val="Body"/>
        <w:jc w:val="center"/>
        <w:rPr>
          <w:rFonts w:ascii="Times New Roman" w:cs="Times New Roman" w:hAnsi="Times New Roman" w:eastAsia="Times New Roman"/>
        </w:rPr>
      </w:pPr>
      <w:r>
        <w:rPr>
          <w:rFonts w:ascii="Times New Roman" w:hAnsi="Times New Roman"/>
          <w:rtl w:val="0"/>
          <w:lang w:val="en-US"/>
        </w:rPr>
        <w:t>&lt;</w:t>
      </w:r>
      <w:r>
        <w:rPr>
          <w:rFonts w:ascii="Times New Roman" w:hAnsi="Times New Roman"/>
          <w:rtl w:val="0"/>
          <w:lang w:val="en-US"/>
        </w:rPr>
        <w:t>Additional File 3&gt;</w:t>
      </w:r>
    </w:p>
    <w:p>
      <w:pPr>
        <w:pStyle w:val="Body"/>
        <w:rPr>
          <w:rFonts w:ascii="Times New Roman" w:cs="Times New Roman" w:hAnsi="Times New Roman" w:eastAsia="Times New Roman"/>
        </w:rPr>
      </w:pPr>
    </w:p>
    <w:p>
      <w:pPr>
        <w:pStyle w:val="Body"/>
        <w:jc w:val="center"/>
        <w:rPr>
          <w:rFonts w:ascii="Times New Roman" w:cs="Times New Roman" w:hAnsi="Times New Roman" w:eastAsia="Times New Roman"/>
        </w:rPr>
      </w:pPr>
      <w:r>
        <w:rPr>
          <w:rFonts w:ascii="Times New Roman" w:hAnsi="Times New Roman"/>
          <w:b w:val="1"/>
          <w:bCs w:val="1"/>
          <w:rtl w:val="0"/>
          <w:lang w:val="it-IT"/>
        </w:rPr>
        <w:t>SM Figure 7:</w:t>
      </w:r>
      <w:r>
        <w:rPr>
          <w:rFonts w:ascii="Times New Roman" w:hAnsi="Times New Roman"/>
          <w:rtl w:val="0"/>
          <w:lang w:val="en-US"/>
        </w:rPr>
        <w:t xml:space="preserve"> The number of monthly locations from each of the 49 tracking datasets for datasets included in the analysis. Collars were most commonly set to record 1 GPS fix per hour. </w:t>
      </w:r>
    </w:p>
    <w:p>
      <w:pPr>
        <w:pStyle w:val="Heading"/>
      </w:pPr>
      <w:bookmarkStart w:name="_vpvbb6b2lcqt" w:id="8"/>
      <w:bookmarkEnd w:id="8"/>
      <w:r>
        <w:rPr>
          <w:rFonts w:ascii="Arial Unicode MS" w:cs="Arial Unicode MS" w:hAnsi="Arial Unicode MS" w:eastAsia="Arial Unicode MS"/>
          <w:b w:val="0"/>
          <w:bCs w:val="0"/>
          <w:i w:val="0"/>
          <w:iCs w:val="0"/>
        </w:rPr>
        <w:br w:type="page"/>
      </w:r>
    </w:p>
    <w:p>
      <w:pPr>
        <w:pStyle w:val="Heading"/>
        <w:rPr>
          <w:b w:val="0"/>
          <w:bCs w:val="0"/>
          <w:sz w:val="24"/>
          <w:szCs w:val="24"/>
        </w:rPr>
      </w:pPr>
      <w:bookmarkStart w:name="_hmsyys" w:id="9"/>
      <w:bookmarkEnd w:id="9"/>
      <w:r>
        <w:rPr>
          <w:sz w:val="24"/>
          <w:szCs w:val="24"/>
          <w:rtl w:val="0"/>
        </w:rPr>
        <w:t>T</w:t>
      </w:r>
      <w:r>
        <w:rPr>
          <w:sz w:val="24"/>
          <w:szCs w:val="24"/>
          <w:rtl w:val="0"/>
          <w:lang w:val="fr-FR"/>
        </w:rPr>
        <w:t>able SM 1</w:t>
      </w:r>
      <w:r>
        <w:rPr>
          <w:b w:val="0"/>
          <w:bCs w:val="0"/>
          <w:sz w:val="24"/>
          <w:szCs w:val="24"/>
          <w:rtl w:val="0"/>
          <w:lang w:val="en-US"/>
        </w:rPr>
        <w:t>. Model coefficient estimates and 95% Highest-Density Posterior Interval (HDPI) for the Zone-only RSF model.</w:t>
      </w:r>
    </w:p>
    <w:p>
      <w:pPr>
        <w:pStyle w:val="Body"/>
        <w:rPr>
          <w:rFonts w:ascii="Times New Roman" w:cs="Times New Roman" w:hAnsi="Times New Roman" w:eastAsia="Times New Roman"/>
        </w:rPr>
      </w:pPr>
    </w:p>
    <w:tbl>
      <w:tblPr>
        <w:tblW w:w="695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922"/>
        <w:gridCol w:w="947"/>
        <w:gridCol w:w="1367"/>
        <w:gridCol w:w="1354"/>
        <w:gridCol w:w="1367"/>
      </w:tblGrid>
      <w:tr>
        <w:tblPrEx>
          <w:shd w:val="clear" w:color="auto" w:fill="d0ddef"/>
        </w:tblPrEx>
        <w:trPr>
          <w:trHeight w:val="623" w:hRule="atLeast"/>
        </w:trPr>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widowControl w:val="0"/>
              <w:jc w:val="center"/>
            </w:pPr>
            <w:r>
              <w:rPr>
                <w:rFonts w:ascii="Times New Roman" w:hAnsi="Times New Roman"/>
                <w:b w:val="1"/>
                <w:bCs w:val="1"/>
                <w:sz w:val="24"/>
                <w:szCs w:val="24"/>
                <w:shd w:val="nil" w:color="auto" w:fill="auto"/>
                <w:rtl w:val="0"/>
                <w:lang w:val="en-US"/>
              </w:rPr>
              <w:t>Coefficient</w:t>
            </w:r>
          </w:p>
        </w:tc>
        <w:tc>
          <w:tcPr>
            <w:tcW w:type="dxa" w:w="9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widowControl w:val="0"/>
              <w:jc w:val="center"/>
            </w:pPr>
            <w:r>
              <w:rPr>
                <w:rFonts w:ascii="Times New Roman" w:hAnsi="Times New Roman"/>
                <w:b w:val="1"/>
                <w:bCs w:val="1"/>
                <w:sz w:val="24"/>
                <w:szCs w:val="24"/>
                <w:shd w:val="nil" w:color="auto" w:fill="auto"/>
                <w:rtl w:val="0"/>
                <w:lang w:val="en-US"/>
              </w:rPr>
              <w:t>Estimate</w:t>
            </w:r>
          </w:p>
        </w:tc>
        <w:tc>
          <w:tcPr>
            <w:tcW w:type="dxa" w:w="1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widowControl w:val="0"/>
              <w:jc w:val="center"/>
            </w:pPr>
            <w:r>
              <w:rPr>
                <w:rFonts w:ascii="Times New Roman" w:hAnsi="Times New Roman"/>
                <w:b w:val="1"/>
                <w:bCs w:val="1"/>
                <w:sz w:val="24"/>
                <w:szCs w:val="24"/>
                <w:shd w:val="nil" w:color="auto" w:fill="auto"/>
                <w:rtl w:val="0"/>
                <w:lang w:val="en-US"/>
              </w:rPr>
              <w:t>HDPI Lower</w:t>
            </w:r>
          </w:p>
        </w:tc>
        <w:tc>
          <w:tcPr>
            <w:tcW w:type="dxa" w:w="13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widowControl w:val="0"/>
              <w:jc w:val="center"/>
            </w:pPr>
            <w:r>
              <w:rPr>
                <w:rFonts w:ascii="Times New Roman" w:hAnsi="Times New Roman"/>
                <w:b w:val="1"/>
                <w:bCs w:val="1"/>
                <w:sz w:val="24"/>
                <w:szCs w:val="24"/>
                <w:shd w:val="nil" w:color="auto" w:fill="auto"/>
                <w:rtl w:val="0"/>
                <w:lang w:val="en-US"/>
              </w:rPr>
              <w:t>HDPI Upper</w:t>
            </w:r>
          </w:p>
        </w:tc>
        <w:tc>
          <w:tcPr>
            <w:tcW w:type="dxa" w:w="1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widowControl w:val="0"/>
              <w:jc w:val="center"/>
            </w:pPr>
            <w:r>
              <w:rPr>
                <w:rFonts w:ascii="Times New Roman" w:hAnsi="Times New Roman"/>
                <w:b w:val="1"/>
                <w:bCs w:val="1"/>
                <w:sz w:val="24"/>
                <w:szCs w:val="24"/>
                <w:shd w:val="nil" w:color="auto" w:fill="auto"/>
                <w:rtl w:val="0"/>
                <w:lang w:val="en-US"/>
              </w:rPr>
              <w:t>Zone</w:t>
            </w:r>
          </w:p>
        </w:tc>
      </w:tr>
      <w:tr>
        <w:tblPrEx>
          <w:shd w:val="clear" w:color="auto" w:fill="d0ddef"/>
        </w:tblPrEx>
        <w:trPr>
          <w:trHeight w:val="455" w:hRule="atLeast"/>
        </w:trPr>
        <w:tc>
          <w:tcPr>
            <w:tcW w:type="dxa" w:w="1922"/>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NDVI</w:t>
            </w:r>
          </w:p>
        </w:tc>
        <w:tc>
          <w:tcPr>
            <w:tcW w:type="dxa" w:w="94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0.430</w:t>
            </w:r>
          </w:p>
        </w:tc>
        <w:tc>
          <w:tcPr>
            <w:tcW w:type="dxa" w:w="136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0.420</w:t>
            </w:r>
          </w:p>
        </w:tc>
        <w:tc>
          <w:tcPr>
            <w:tcW w:type="dxa" w:w="135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0.441</w:t>
            </w:r>
          </w:p>
        </w:tc>
        <w:tc>
          <w:tcPr>
            <w:tcW w:type="dxa" w:w="136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Slope</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-0.232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-0.239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-0.225</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&lt; 20%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-0.399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-0.490</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-0.308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20%-70%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0.636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0.545</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0.727</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&gt; 70%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1.014</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0.920</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1.108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Bare Rock</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0.741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0.639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0.843</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Drains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0.469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0.457</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0.482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Lodges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-0.328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-0.369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-0.286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Roads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-0.144</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-0.159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-0.128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Mara Reserve</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NDVI</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-0.061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-0.065</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-0.057</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Slope</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-0.196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-0.199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-0.192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&lt; 20%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-0.912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-0.928</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-0.896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20%-70%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0.876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0.861</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0.891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&gt; 70%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1.482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1.464</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1.499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Bare Rock</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0.587</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0.560</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0.615</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Drains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0.531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0.524</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0.538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Lodges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0.211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0.196</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0.226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Roads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0.074</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0.067</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0.082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Settlements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-0.738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-0.747</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-0.729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Conservancies</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NDVI</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-0.067</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-0.073</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-0.061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Slope</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-0.153</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-0.158</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-0.148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&lt; 20%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-1.519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-1.559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-1.479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20%-70%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0.753</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0.721</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0.785</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Veg.Cover &gt; 70%</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1.634</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1.599</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1.668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Bare Rock</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0.161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0.113</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0.209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Agriculture</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-0.131</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-0.170</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-0.092</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Drains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0.708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0.697</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0.719</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Lodges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0.338</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0.284</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0.393</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Roads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-0.336</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-0.354</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-0.317</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r>
        <w:tblPrEx>
          <w:shd w:val="clear" w:color="auto" w:fill="d0ddef"/>
        </w:tblPrEx>
        <w:trPr>
          <w:trHeight w:val="455" w:hRule="atLeast"/>
        </w:trPr>
        <w:tc>
          <w:tcPr>
            <w:tcW w:type="dxa" w:w="1922"/>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pPr>
            <w:r>
              <w:rPr>
                <w:rFonts w:ascii="Times New Roman" w:hAnsi="Times New Roman"/>
                <w:sz w:val="20"/>
                <w:szCs w:val="20"/>
                <w:shd w:val="nil" w:color="auto" w:fill="auto"/>
                <w:rtl w:val="0"/>
                <w:lang w:val="en-US"/>
              </w:rPr>
              <w:t>Settlements</w:t>
            </w:r>
          </w:p>
        </w:tc>
        <w:tc>
          <w:tcPr>
            <w:tcW w:type="dxa" w:w="94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-0.607</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-0.621</w:t>
            </w:r>
          </w:p>
        </w:tc>
        <w:tc>
          <w:tcPr>
            <w:tcW w:type="dxa" w:w="1354"/>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-0.593</w:t>
            </w:r>
          </w:p>
        </w:tc>
        <w:tc>
          <w:tcPr>
            <w:tcW w:type="dxa" w:w="1367"/>
            <w:tcBorders>
              <w:top w:val="nil"/>
              <w:left w:val="nil"/>
              <w:bottom w:val="nil"/>
              <w:right w:val="nil"/>
            </w:tcBorders>
            <w:shd w:val="clear" w:color="auto" w:fill="auto"/>
            <w:tcMar>
              <w:top w:type="dxa" w:w="80"/>
              <w:left w:type="dxa" w:w="80"/>
              <w:bottom w:type="dxa" w:w="80"/>
              <w:right w:type="dxa" w:w="80"/>
            </w:tcMar>
            <w:vAlign w:val="top"/>
          </w:tcPr>
          <w:p>
            <w:pPr>
              <w:pStyle w:val="Body"/>
              <w:widowControl w:val="0"/>
              <w:jc w:val="center"/>
            </w:pPr>
            <w:r>
              <w:rPr>
                <w:rFonts w:ascii="Times New Roman" w:hAnsi="Times New Roman"/>
                <w:sz w:val="20"/>
                <w:szCs w:val="20"/>
                <w:shd w:val="nil" w:color="auto" w:fill="auto"/>
                <w:rtl w:val="0"/>
                <w:lang w:val="en-US"/>
              </w:rPr>
              <w:t>Unprotected</w:t>
            </w:r>
          </w:p>
        </w:tc>
      </w:tr>
    </w:tbl>
    <w:p>
      <w:pPr>
        <w:pStyle w:val="Body"/>
        <w:widowControl w:val="0"/>
        <w:spacing w:line="240" w:lineRule="auto"/>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p>
    <w:p>
      <w:pPr>
        <w:pStyle w:val="Body"/>
        <w:spacing w:line="360" w:lineRule="auto"/>
        <w:jc w:val="both"/>
        <w:rPr>
          <w:rFonts w:ascii="Times New Roman" w:cs="Times New Roman" w:hAnsi="Times New Roman" w:eastAsia="Times New Roman"/>
          <w:sz w:val="24"/>
          <w:szCs w:val="24"/>
        </w:rPr>
      </w:pPr>
    </w:p>
    <w:p>
      <w:pPr>
        <w:pStyle w:val="Body"/>
        <w:spacing w:line="360" w:lineRule="auto"/>
        <w:jc w:val="both"/>
        <w:rPr>
          <w:rFonts w:ascii="Times New Roman" w:cs="Times New Roman" w:hAnsi="Times New Roman" w:eastAsia="Times New Roman"/>
          <w:sz w:val="24"/>
          <w:szCs w:val="24"/>
        </w:rPr>
      </w:pPr>
    </w:p>
    <w:p>
      <w:pPr>
        <w:pStyle w:val="Body"/>
        <w:spacing w:line="360" w:lineRule="auto"/>
        <w:jc w:val="both"/>
        <w:rPr>
          <w:rFonts w:ascii="Times New Roman" w:cs="Times New Roman" w:hAnsi="Times New Roman" w:eastAsia="Times New Roman"/>
          <w:sz w:val="24"/>
          <w:szCs w:val="24"/>
        </w:rPr>
      </w:pPr>
    </w:p>
    <w:p>
      <w:pPr>
        <w:pStyle w:val="Body"/>
      </w:pPr>
      <w:r>
        <w:rPr>
          <w:rFonts w:ascii="Arial Unicode MS" w:cs="Arial Unicode MS" w:hAnsi="Arial Unicode MS" w:eastAsia="Arial Unicode MS"/>
          <w:b w:val="0"/>
          <w:bCs w:val="0"/>
          <w:i w:val="0"/>
          <w:iCs w:val="0"/>
        </w:rPr>
        <w:br w:type="page"/>
      </w:r>
    </w:p>
    <w:p>
      <w:pPr>
        <w:pStyle w:val="Body"/>
        <w:rPr>
          <w:rFonts w:ascii="Times New Roman" w:cs="Times New Roman" w:hAnsi="Times New Roman" w:eastAsia="Times New Roman"/>
        </w:rPr>
      </w:pPr>
      <w:r>
        <w:rPr>
          <w:rFonts w:ascii="Times New Roman" w:hAnsi="Times New Roman"/>
          <w:b w:val="1"/>
          <w:bCs w:val="1"/>
          <w:sz w:val="24"/>
          <w:szCs w:val="24"/>
          <w:rtl w:val="0"/>
          <w:lang w:val="en-US"/>
        </w:rPr>
        <w:t>SM - Land Cover Classification Details</w:t>
      </w:r>
    </w:p>
    <w:p>
      <w:pPr>
        <w:pStyle w:val="Body"/>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The land cover classification was created using Sentinel-1 and Sentinel-2 satellite data with a Random Forest model on the Google Earth Engine platform.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i w:val="1"/>
          <w:iCs w:val="1"/>
          <w:sz w:val="24"/>
          <w:szCs w:val="24"/>
          <w:rtl w:val="0"/>
          <w:lang w:val="fr-FR"/>
        </w:rPr>
        <w:t xml:space="preserve">Data collection </w:t>
      </w:r>
    </w:p>
    <w:p>
      <w:pPr>
        <w:pStyle w:val="Body"/>
        <w:spacing w:before="240"/>
        <w:jc w:val="both"/>
        <w:rPr>
          <w:rFonts w:ascii="Times New Roman" w:cs="Times New Roman" w:hAnsi="Times New Roman" w:eastAsia="Times New Roman"/>
          <w:sz w:val="24"/>
          <w:szCs w:val="24"/>
        </w:rPr>
      </w:pPr>
      <w:r>
        <w:rPr>
          <w:rFonts w:ascii="Times New Roman" w:hAnsi="Times New Roman"/>
          <w:sz w:val="24"/>
          <w:szCs w:val="24"/>
          <w:rtl w:val="0"/>
          <w:lang w:val="en-US"/>
        </w:rPr>
        <w:t>We collected</w:t>
      </w:r>
      <w:r>
        <w:rPr>
          <w:rFonts w:ascii="Times New Roman" w:hAnsi="Times New Roman"/>
          <w:b w:val="1"/>
          <w:bCs w:val="1"/>
          <w:sz w:val="24"/>
          <w:szCs w:val="24"/>
          <w:rtl w:val="0"/>
        </w:rPr>
        <w:t xml:space="preserve"> </w:t>
      </w:r>
      <w:r>
        <w:rPr>
          <w:rFonts w:ascii="Times New Roman" w:hAnsi="Times New Roman"/>
          <w:sz w:val="24"/>
          <w:szCs w:val="24"/>
          <w:rtl w:val="0"/>
        </w:rPr>
        <w:t>2,574</w:t>
      </w:r>
      <w:r>
        <w:rPr>
          <w:rFonts w:ascii="Times New Roman" w:hAnsi="Times New Roman"/>
          <w:b w:val="1"/>
          <w:bCs w:val="1"/>
          <w:sz w:val="24"/>
          <w:szCs w:val="24"/>
          <w:rtl w:val="0"/>
        </w:rPr>
        <w:t xml:space="preserve"> </w:t>
      </w:r>
      <w:r>
        <w:rPr>
          <w:rFonts w:ascii="Times New Roman" w:hAnsi="Times New Roman"/>
          <w:sz w:val="24"/>
          <w:szCs w:val="24"/>
          <w:rtl w:val="0"/>
          <w:lang w:val="en-US"/>
        </w:rPr>
        <w:t xml:space="preserve">ground truth land cover data points and 122 remotely collected data points from 2019-2021, using the following classifications: (1) rock/bare/built, (2) agriculture, (3) greater than 70% cover (forest, thicket), (4) 20-70% cover (shrubland, open thicket, woodland), (5) less than 20% cover (wooded grassland and grassland). To provide spatial coverage in areas that were difficult to access we scored Sentinel-2 imagery in Google Earth Engine from 2020 and 2021.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Satellite imagery</w:t>
      </w:r>
    </w:p>
    <w:p>
      <w:pPr>
        <w:pStyle w:val="Body"/>
        <w:spacing w:before="240"/>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We created a multi-year composite using Sentinel-1 and Sentinel-2 surface reflectance (SR) imagery for 2019-2021. Collectively, the European Space Agency (ESA) twin satellites, Sentinel-2A and Sentinel-2B, referred to as Sentinel-2, have a five day revisit period and 13 spectral bands from visible to shortwave infrared at 10-20 m resolution. Sentinel-2 SR has been processed with an atmospheric correction applied to Top-Of-Atmosphere (TOA) Level-1C orthoimage products. We used a cloud score of less than 30% per pixel to create a cloud mask. We then used the following bands from Sentinel-2: blue, green, red, red edge 1, red edge 2, red edge 3, red edge 4, near-infrared, short wave infrared 1, and shortwave infrared 2. We used VV and VH from Sentinel-1 ascending orbit. </w:t>
      </w:r>
    </w:p>
    <w:p>
      <w:pPr>
        <w:pStyle w:val="Body"/>
        <w:spacing w:before="240"/>
        <w:jc w:val="both"/>
        <w:rPr>
          <w:rFonts w:ascii="Times New Roman" w:cs="Times New Roman" w:hAnsi="Times New Roman" w:eastAsia="Times New Roman"/>
          <w:sz w:val="24"/>
          <w:szCs w:val="24"/>
        </w:rPr>
      </w:pPr>
      <w:r>
        <w:rPr>
          <w:rFonts w:ascii="Times New Roman" w:hAnsi="Times New Roman"/>
          <w:sz w:val="24"/>
          <w:szCs w:val="24"/>
          <w:rtl w:val="0"/>
          <w:lang w:val="en-US"/>
        </w:rPr>
        <w:t>Using these bands, we created the following indices: Enhanced Vegetation Index (EVI), green brown vegetation index (GBVI), Green chlorophyll vegetation index (GCVI), Green red vegetation index (GRVI), Normalized Difference Vegetation Index (NDVI), and Normalized Difference Moisture Index (NDMI). For each band and index we used the 10th percentile, 25th percentile, 50th percentile, 75th percentile, 90th percentile, the difference between the 90th and 10th percentiles, and the difference between the 75th and 25th percentiles for the study period. We also included slope, elevation, and aspect, from the Shuttle Radar Topography Mission (Farr et al. 2007) at a resolution of 1 arc-second (approximately 30m).</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Results</w:t>
      </w:r>
    </w:p>
    <w:p>
      <w:pPr>
        <w:pStyle w:val="Body"/>
        <w:rPr>
          <w:rFonts w:ascii="Times New Roman" w:cs="Times New Roman" w:hAnsi="Times New Roman" w:eastAsia="Times New Roman"/>
          <w:sz w:val="24"/>
          <w:szCs w:val="24"/>
        </w:rPr>
      </w:pPr>
      <w:r>
        <w:rPr>
          <w:rFonts w:ascii="Times New Roman" w:hAnsi="Times New Roman"/>
          <w:i w:val="1"/>
          <w:iCs w:val="1"/>
          <w:sz w:val="24"/>
          <w:szCs w:val="24"/>
          <w:rtl w:val="0"/>
        </w:rPr>
        <w:t xml:space="preserve"> </w:t>
      </w: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fr-FR"/>
        </w:rPr>
        <w:t>SM Table 2</w:t>
      </w:r>
      <w:r>
        <w:rPr>
          <w:rFonts w:ascii="Times New Roman" w:hAnsi="Times New Roman"/>
          <w:sz w:val="24"/>
          <w:szCs w:val="24"/>
          <w:rtl w:val="0"/>
          <w:lang w:val="en-US"/>
        </w:rPr>
        <w:t xml:space="preserve">. Accuracy metrics from 5-fold cross validation of the land cover classification. After excluding the degraded class which performed poorly, the mean accuracy across all classes was 81%. </w:t>
      </w:r>
    </w:p>
    <w:p>
      <w:pPr>
        <w:pStyle w:val="Body"/>
        <w:rPr>
          <w:rFonts w:ascii="Times New Roman" w:cs="Times New Roman" w:hAnsi="Times New Roman" w:eastAsia="Times New Roman"/>
          <w:sz w:val="24"/>
          <w:szCs w:val="24"/>
        </w:rPr>
      </w:pPr>
    </w:p>
    <w:tbl>
      <w:tblPr>
        <w:tblW w:w="846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916"/>
        <w:gridCol w:w="1018"/>
        <w:gridCol w:w="645"/>
        <w:gridCol w:w="1235"/>
        <w:gridCol w:w="1458"/>
        <w:gridCol w:w="1235"/>
        <w:gridCol w:w="957"/>
      </w:tblGrid>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Metric</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Bare/Built</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Crop</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&lt;20% Cover</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 xml:space="preserve"> 20-70% Cover</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&gt;70% Cover</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b w:val="1"/>
                <w:bCs w:val="1"/>
                <w:shd w:val="nil" w:color="auto" w:fill="auto"/>
                <w:rtl w:val="0"/>
                <w:lang w:val="en-US"/>
              </w:rPr>
              <w:t>Degraded</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Sensitivity</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0.75322</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0.7198</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0.7986</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0.8366</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0.79284</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0.37124</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Specificity</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0.99097</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0.9662</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0.9512</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0.8002</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0.97626</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0.98431</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Pos Pred Value</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0.92368</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0.8384</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0.7545</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0.6748</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0.79897</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0.67683</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Neg Pred Value</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0.96511</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0.9339</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0.9618</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0.9081</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0.97536</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0.94647</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Prevalence</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0.12677</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0.1961</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0.1581</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0.3313</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0.10637</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0.08134</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Detection Rate</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0.09548</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0.1412</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0.1262</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0.2772</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0.08433</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0.0302</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Detection Prevalence</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0.10337</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0.1684</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0.1673</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0.4108</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0.10555</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0.04461</w:t>
            </w:r>
          </w:p>
        </w:tc>
      </w:tr>
      <w:tr>
        <w:tblPrEx>
          <w:shd w:val="clear" w:color="auto" w:fill="d0ddef"/>
        </w:tblPrEx>
        <w:trPr>
          <w:trHeight w:val="481" w:hRule="atLeast"/>
        </w:trPr>
        <w:tc>
          <w:tcPr>
            <w:tcW w:type="dxa" w:w="1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Balanced Accuracy</w:t>
            </w:r>
          </w:p>
        </w:tc>
        <w:tc>
          <w:tcPr>
            <w:tcW w:type="dxa" w:w="10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0.87209</w:t>
            </w:r>
          </w:p>
        </w:tc>
        <w:tc>
          <w:tcPr>
            <w:tcW w:type="dxa" w:w="6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0.843</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0.8749</w:t>
            </w:r>
          </w:p>
        </w:tc>
        <w:tc>
          <w:tcPr>
            <w:tcW w:type="dxa" w:w="14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0.8184</w:t>
            </w:r>
          </w:p>
        </w:tc>
        <w:tc>
          <w:tcPr>
            <w:tcW w:type="dxa" w:w="1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0.88455</w:t>
            </w:r>
          </w:p>
        </w:tc>
        <w:tc>
          <w:tcPr>
            <w:tcW w:type="dxa" w:w="9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line="240" w:lineRule="auto"/>
            </w:pPr>
            <w:r>
              <w:rPr>
                <w:rFonts w:ascii="Times New Roman" w:hAnsi="Times New Roman"/>
                <w:shd w:val="nil" w:color="auto" w:fill="auto"/>
                <w:rtl w:val="0"/>
                <w:lang w:val="en-US"/>
              </w:rPr>
              <w:t>0.67777</w:t>
            </w:r>
          </w:p>
        </w:tc>
      </w:tr>
    </w:tbl>
    <w:p>
      <w:pPr>
        <w:pStyle w:val="Body"/>
        <w:widowControl w:val="0"/>
        <w:spacing w:line="240" w:lineRule="auto"/>
      </w:pPr>
      <w:r>
        <w:rPr>
          <w:rFonts w:ascii="Times New Roman" w:cs="Times New Roman" w:hAnsi="Times New Roman" w:eastAsia="Times New Roman"/>
          <w:sz w:val="24"/>
          <w:szCs w:val="24"/>
        </w:rPr>
      </w:r>
    </w:p>
    <w:sectPr>
      <w:headerReference w:type="default" r:id="rId10"/>
      <w:footerReference w:type="default" r:id="rId11"/>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400" w:after="120" w:line="276"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0" w:after="0" w:line="276" w:lineRule="auto"/>
      <w:ind w:left="0" w:right="0" w:firstLine="0"/>
      <w:jc w:val="left"/>
      <w:outlineLvl w:val="1"/>
    </w:pP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