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6F84" w14:textId="02E84DB4" w:rsidR="007764DE" w:rsidRPr="003B1CD1" w:rsidRDefault="000806BF">
      <w:pPr>
        <w:pStyle w:val="Heading1"/>
        <w:ind w:right="0"/>
        <w:jc w:val="center"/>
        <w:rPr>
          <w:sz w:val="32"/>
        </w:rPr>
      </w:pPr>
      <w:r w:rsidRPr="003B1CD1">
        <w:rPr>
          <w:sz w:val="32"/>
        </w:rPr>
        <w:t xml:space="preserve">Additional file </w:t>
      </w:r>
      <w:r w:rsidR="00185224" w:rsidRPr="003B1CD1">
        <w:rPr>
          <w:sz w:val="32"/>
        </w:rPr>
        <w:t>3</w:t>
      </w:r>
    </w:p>
    <w:p w14:paraId="2E742DBA" w14:textId="550F3E0C" w:rsidR="000806BF" w:rsidRPr="003B1CD1" w:rsidRDefault="000806BF" w:rsidP="000806BF">
      <w:pPr>
        <w:ind w:left="-90" w:right="0" w:firstLine="0"/>
        <w:rPr>
          <w:b/>
          <w:sz w:val="28"/>
        </w:rPr>
      </w:pPr>
      <w:r w:rsidRPr="003B1CD1">
        <w:rPr>
          <w:b/>
          <w:sz w:val="28"/>
        </w:rPr>
        <w:t>Effects of vasectomy on breeding-related movement and activity in free-ranging white-tailed deer</w:t>
      </w:r>
    </w:p>
    <w:p w14:paraId="161AA436" w14:textId="77777777" w:rsidR="007764DE" w:rsidRPr="003B1CD1" w:rsidRDefault="00185224">
      <w:pPr>
        <w:ind w:left="-90" w:right="0" w:firstLine="0"/>
      </w:pPr>
      <w:r w:rsidRPr="003B1CD1">
        <w:t>Vickie DeNicola, Stefano Mezzini, Petar Bursać, Pranav Minasandra, and Francesca Cagnacci</w:t>
      </w:r>
    </w:p>
    <w:p w14:paraId="78B86283" w14:textId="77777777" w:rsidR="007764DE" w:rsidRPr="003B1CD1" w:rsidRDefault="007764DE">
      <w:pPr>
        <w:pStyle w:val="Heading3"/>
        <w:ind w:right="0" w:firstLine="0"/>
      </w:pPr>
    </w:p>
    <w:p w14:paraId="54A822B1" w14:textId="5E6C29E6" w:rsidR="007764DE" w:rsidRPr="003B1CD1" w:rsidRDefault="00185224">
      <w:pPr>
        <w:pStyle w:val="Heading3"/>
        <w:ind w:right="0" w:firstLine="0"/>
        <w:rPr>
          <w:b w:val="0"/>
        </w:rPr>
      </w:pPr>
      <w:r w:rsidRPr="003B1CD1">
        <w:t>Table S</w:t>
      </w:r>
      <w:r w:rsidR="00987B23">
        <w:t>1</w:t>
      </w:r>
      <w:r w:rsidRPr="003B1CD1">
        <w:t xml:space="preserve">. </w:t>
      </w:r>
      <w:r w:rsidRPr="003B1CD1">
        <w:rPr>
          <w:b w:val="0"/>
        </w:rPr>
        <w:t>Mortality data and cause for individuals included in the movement study at the treatment site in Staten Island and at the control site at Rockefeller State Park Preserve in both study years (2021–2022; 2022–2023).</w:t>
      </w:r>
    </w:p>
    <w:tbl>
      <w:tblPr>
        <w:tblStyle w:val="OldDefaultTableStyle"/>
        <w:tblW w:w="96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885"/>
        <w:gridCol w:w="1620"/>
        <w:gridCol w:w="3150"/>
        <w:gridCol w:w="2340"/>
        <w:gridCol w:w="1630"/>
      </w:tblGrid>
      <w:tr w:rsidR="007764DE" w:rsidRPr="003B1CD1" w14:paraId="2821F7D1" w14:textId="77777777">
        <w:trPr>
          <w:trHeight w:val="315"/>
        </w:trPr>
        <w:tc>
          <w:tcPr>
            <w:tcW w:w="885" w:type="dxa"/>
            <w:tcBorders>
              <w:top w:val="single" w:sz="4" w:space="0" w:color="000000"/>
              <w:left w:val="single" w:sz="4" w:space="0" w:color="000000"/>
              <w:bottom w:val="single" w:sz="4" w:space="0" w:color="000000"/>
              <w:right w:val="single" w:sz="4" w:space="0" w:color="000000"/>
            </w:tcBorders>
          </w:tcPr>
          <w:p w14:paraId="5147B7BE" w14:textId="77777777" w:rsidR="007764DE" w:rsidRPr="003B1CD1" w:rsidRDefault="007764DE">
            <w:pPr>
              <w:widowControl w:val="0"/>
              <w:spacing w:line="240" w:lineRule="auto"/>
              <w:ind w:right="0"/>
              <w:rPr>
                <w:sz w:val="20"/>
              </w:rPr>
            </w:pPr>
          </w:p>
        </w:tc>
        <w:tc>
          <w:tcPr>
            <w:tcW w:w="4770" w:type="dxa"/>
            <w:gridSpan w:val="2"/>
            <w:tcBorders>
              <w:top w:val="single" w:sz="4" w:space="0" w:color="000000"/>
              <w:left w:val="single" w:sz="4" w:space="0" w:color="CCCCCC"/>
              <w:bottom w:val="single" w:sz="4" w:space="0" w:color="000000"/>
              <w:right w:val="single" w:sz="4" w:space="0" w:color="000000"/>
            </w:tcBorders>
            <w:vAlign w:val="bottom"/>
          </w:tcPr>
          <w:p w14:paraId="4760CCE3" w14:textId="77777777" w:rsidR="007764DE" w:rsidRPr="003B1CD1" w:rsidRDefault="00185224">
            <w:pPr>
              <w:widowControl w:val="0"/>
              <w:spacing w:line="240" w:lineRule="auto"/>
              <w:ind w:right="0" w:firstLine="0"/>
              <w:rPr>
                <w:sz w:val="20"/>
              </w:rPr>
            </w:pPr>
            <w:r w:rsidRPr="003B1CD1">
              <w:rPr>
                <w:sz w:val="20"/>
              </w:rPr>
              <w:t>Year 1</w:t>
            </w:r>
          </w:p>
        </w:tc>
        <w:tc>
          <w:tcPr>
            <w:tcW w:w="3970" w:type="dxa"/>
            <w:gridSpan w:val="2"/>
            <w:tcBorders>
              <w:top w:val="single" w:sz="4" w:space="0" w:color="000000"/>
              <w:left w:val="single" w:sz="4" w:space="0" w:color="CCCCCC"/>
              <w:bottom w:val="single" w:sz="4" w:space="0" w:color="000000"/>
              <w:right w:val="single" w:sz="4" w:space="0" w:color="000000"/>
            </w:tcBorders>
            <w:shd w:val="clear" w:color="auto" w:fill="auto"/>
            <w:vAlign w:val="bottom"/>
          </w:tcPr>
          <w:p w14:paraId="67A10AA3" w14:textId="77777777" w:rsidR="007764DE" w:rsidRPr="003B1CD1" w:rsidRDefault="00185224">
            <w:pPr>
              <w:widowControl w:val="0"/>
              <w:spacing w:line="240" w:lineRule="auto"/>
              <w:ind w:right="0" w:firstLine="0"/>
              <w:rPr>
                <w:sz w:val="20"/>
              </w:rPr>
            </w:pPr>
            <w:r w:rsidRPr="003B1CD1">
              <w:rPr>
                <w:sz w:val="20"/>
              </w:rPr>
              <w:t>Year 2</w:t>
            </w:r>
          </w:p>
        </w:tc>
      </w:tr>
      <w:tr w:rsidR="007764DE" w:rsidRPr="003B1CD1" w14:paraId="17BC090B" w14:textId="77777777">
        <w:trPr>
          <w:trHeight w:val="315"/>
        </w:trPr>
        <w:tc>
          <w:tcPr>
            <w:tcW w:w="885" w:type="dxa"/>
            <w:tcBorders>
              <w:top w:val="single" w:sz="4" w:space="0" w:color="CCCCCC"/>
              <w:left w:val="single" w:sz="4" w:space="0" w:color="000000"/>
              <w:bottom w:val="single" w:sz="4" w:space="0" w:color="000000"/>
              <w:right w:val="single" w:sz="4" w:space="0" w:color="000000"/>
            </w:tcBorders>
            <w:shd w:val="clear" w:color="auto" w:fill="auto"/>
          </w:tcPr>
          <w:p w14:paraId="3A2CD648" w14:textId="77777777" w:rsidR="007764DE" w:rsidRPr="003B1CD1" w:rsidRDefault="007764DE">
            <w:pPr>
              <w:widowControl w:val="0"/>
              <w:spacing w:line="240" w:lineRule="auto"/>
              <w:ind w:right="0"/>
              <w:rPr>
                <w:sz w:val="20"/>
              </w:rPr>
            </w:pPr>
          </w:p>
        </w:tc>
        <w:tc>
          <w:tcPr>
            <w:tcW w:w="162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65255B53" w14:textId="77777777" w:rsidR="007764DE" w:rsidRPr="003B1CD1" w:rsidRDefault="00185224">
            <w:pPr>
              <w:widowControl w:val="0"/>
              <w:spacing w:line="240" w:lineRule="auto"/>
              <w:ind w:right="0" w:firstLine="0"/>
              <w:rPr>
                <w:sz w:val="20"/>
              </w:rPr>
            </w:pPr>
            <w:r w:rsidRPr="003B1CD1">
              <w:rPr>
                <w:sz w:val="20"/>
              </w:rPr>
              <w:t>SI</w:t>
            </w:r>
          </w:p>
        </w:tc>
        <w:tc>
          <w:tcPr>
            <w:tcW w:w="315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652D70D1" w14:textId="77777777" w:rsidR="007764DE" w:rsidRPr="003B1CD1" w:rsidRDefault="00185224">
            <w:pPr>
              <w:widowControl w:val="0"/>
              <w:spacing w:line="240" w:lineRule="auto"/>
              <w:ind w:right="0" w:firstLine="0"/>
              <w:rPr>
                <w:sz w:val="20"/>
              </w:rPr>
            </w:pPr>
            <w:r w:rsidRPr="003B1CD1">
              <w:rPr>
                <w:sz w:val="20"/>
              </w:rPr>
              <w:t>RSPP</w:t>
            </w:r>
          </w:p>
        </w:tc>
        <w:tc>
          <w:tcPr>
            <w:tcW w:w="234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1B4DF0D2" w14:textId="77777777" w:rsidR="007764DE" w:rsidRPr="003B1CD1" w:rsidRDefault="00185224">
            <w:pPr>
              <w:widowControl w:val="0"/>
              <w:spacing w:line="240" w:lineRule="auto"/>
              <w:ind w:right="0" w:firstLine="0"/>
              <w:rPr>
                <w:sz w:val="20"/>
              </w:rPr>
            </w:pPr>
            <w:r w:rsidRPr="003B1CD1">
              <w:rPr>
                <w:sz w:val="20"/>
              </w:rPr>
              <w:t>SI</w:t>
            </w:r>
          </w:p>
        </w:tc>
        <w:tc>
          <w:tcPr>
            <w:tcW w:w="163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181C7B8A" w14:textId="77777777" w:rsidR="007764DE" w:rsidRPr="003B1CD1" w:rsidRDefault="00185224">
            <w:pPr>
              <w:widowControl w:val="0"/>
              <w:spacing w:line="240" w:lineRule="auto"/>
              <w:ind w:right="0" w:firstLine="0"/>
              <w:rPr>
                <w:sz w:val="20"/>
              </w:rPr>
            </w:pPr>
            <w:r w:rsidRPr="003B1CD1">
              <w:rPr>
                <w:sz w:val="20"/>
              </w:rPr>
              <w:t>RSPP</w:t>
            </w:r>
          </w:p>
        </w:tc>
      </w:tr>
      <w:tr w:rsidR="007764DE" w:rsidRPr="003B1CD1" w14:paraId="5EDB48C0" w14:textId="77777777">
        <w:trPr>
          <w:trHeight w:val="600"/>
        </w:trPr>
        <w:tc>
          <w:tcPr>
            <w:tcW w:w="885" w:type="dxa"/>
            <w:tcBorders>
              <w:top w:val="single" w:sz="4" w:space="0" w:color="CCCCCC"/>
              <w:left w:val="single" w:sz="4" w:space="0" w:color="000000"/>
              <w:bottom w:val="single" w:sz="4" w:space="0" w:color="000000"/>
              <w:right w:val="single" w:sz="4" w:space="0" w:color="000000"/>
            </w:tcBorders>
            <w:shd w:val="clear" w:color="auto" w:fill="auto"/>
            <w:vAlign w:val="bottom"/>
          </w:tcPr>
          <w:p w14:paraId="23B3AF68" w14:textId="77777777" w:rsidR="007764DE" w:rsidRPr="003B1CD1" w:rsidRDefault="00185224">
            <w:pPr>
              <w:widowControl w:val="0"/>
              <w:spacing w:line="240" w:lineRule="auto"/>
              <w:ind w:right="0" w:firstLine="0"/>
              <w:rPr>
                <w:sz w:val="20"/>
              </w:rPr>
            </w:pPr>
            <w:r w:rsidRPr="003B1CD1">
              <w:rPr>
                <w:sz w:val="20"/>
              </w:rPr>
              <w:t>Females</w:t>
            </w:r>
          </w:p>
        </w:tc>
        <w:tc>
          <w:tcPr>
            <w:tcW w:w="162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3F5CFC67" w14:textId="77777777" w:rsidR="007764DE" w:rsidRPr="003B1CD1" w:rsidRDefault="00185224">
            <w:pPr>
              <w:widowControl w:val="0"/>
              <w:spacing w:line="240" w:lineRule="auto"/>
              <w:ind w:right="0" w:firstLine="0"/>
              <w:rPr>
                <w:sz w:val="20"/>
              </w:rPr>
            </w:pPr>
            <w:r w:rsidRPr="003B1CD1">
              <w:rPr>
                <w:sz w:val="20"/>
              </w:rPr>
              <w:t>1 DVC (11/20/2021)</w:t>
            </w:r>
          </w:p>
        </w:tc>
        <w:tc>
          <w:tcPr>
            <w:tcW w:w="315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6D4BCA2A" w14:textId="77777777" w:rsidR="007764DE" w:rsidRPr="003B1CD1" w:rsidRDefault="00185224">
            <w:pPr>
              <w:widowControl w:val="0"/>
              <w:spacing w:line="240" w:lineRule="auto"/>
              <w:ind w:right="0" w:firstLine="0"/>
              <w:rPr>
                <w:sz w:val="20"/>
              </w:rPr>
            </w:pPr>
            <w:r w:rsidRPr="003B1CD1">
              <w:rPr>
                <w:sz w:val="20"/>
              </w:rPr>
              <w:t>3 Unknown (1/8/2022, 1/30/2022, 3/1/2022)</w:t>
            </w:r>
          </w:p>
          <w:p w14:paraId="0F97A9CB" w14:textId="77777777" w:rsidR="007764DE" w:rsidRPr="003B1CD1" w:rsidRDefault="00185224">
            <w:pPr>
              <w:widowControl w:val="0"/>
              <w:spacing w:line="240" w:lineRule="auto"/>
              <w:ind w:right="0" w:firstLine="0"/>
              <w:rPr>
                <w:sz w:val="20"/>
              </w:rPr>
            </w:pPr>
            <w:r w:rsidRPr="003B1CD1">
              <w:rPr>
                <w:sz w:val="20"/>
              </w:rPr>
              <w:t>2 DVC (11/14/2021, 5/29/2021)</w:t>
            </w:r>
          </w:p>
        </w:tc>
        <w:tc>
          <w:tcPr>
            <w:tcW w:w="234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48598007" w14:textId="77777777" w:rsidR="007764DE" w:rsidRPr="003B1CD1" w:rsidRDefault="00185224">
            <w:pPr>
              <w:widowControl w:val="0"/>
              <w:spacing w:line="240" w:lineRule="auto"/>
              <w:ind w:right="0" w:firstLine="0"/>
              <w:rPr>
                <w:sz w:val="20"/>
              </w:rPr>
            </w:pPr>
            <w:r w:rsidRPr="003B1CD1">
              <w:rPr>
                <w:sz w:val="20"/>
              </w:rPr>
              <w:t>1 Unknown (11/14/2022)</w:t>
            </w:r>
          </w:p>
        </w:tc>
        <w:tc>
          <w:tcPr>
            <w:tcW w:w="163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2C91579F" w14:textId="77777777" w:rsidR="007764DE" w:rsidRPr="003B1CD1" w:rsidRDefault="00185224">
            <w:pPr>
              <w:widowControl w:val="0"/>
              <w:spacing w:line="240" w:lineRule="auto"/>
              <w:ind w:right="0" w:firstLine="0"/>
              <w:rPr>
                <w:sz w:val="20"/>
              </w:rPr>
            </w:pPr>
            <w:r w:rsidRPr="003B1CD1">
              <w:rPr>
                <w:sz w:val="20"/>
              </w:rPr>
              <w:t>1 Poaching (12/30/2022)</w:t>
            </w:r>
          </w:p>
        </w:tc>
      </w:tr>
      <w:tr w:rsidR="007764DE" w:rsidRPr="003B1CD1" w14:paraId="0065BF99" w14:textId="77777777">
        <w:trPr>
          <w:trHeight w:val="540"/>
        </w:trPr>
        <w:tc>
          <w:tcPr>
            <w:tcW w:w="885" w:type="dxa"/>
            <w:tcBorders>
              <w:top w:val="single" w:sz="4" w:space="0" w:color="CCCCCC"/>
              <w:left w:val="single" w:sz="4" w:space="0" w:color="000000"/>
              <w:bottom w:val="single" w:sz="4" w:space="0" w:color="000000"/>
              <w:right w:val="single" w:sz="4" w:space="0" w:color="000000"/>
            </w:tcBorders>
            <w:shd w:val="clear" w:color="auto" w:fill="auto"/>
            <w:vAlign w:val="bottom"/>
          </w:tcPr>
          <w:p w14:paraId="1D82CD5C" w14:textId="77777777" w:rsidR="007764DE" w:rsidRPr="003B1CD1" w:rsidRDefault="00185224">
            <w:pPr>
              <w:widowControl w:val="0"/>
              <w:spacing w:line="240" w:lineRule="auto"/>
              <w:ind w:right="0" w:firstLine="0"/>
              <w:rPr>
                <w:sz w:val="20"/>
              </w:rPr>
            </w:pPr>
            <w:r w:rsidRPr="003B1CD1">
              <w:rPr>
                <w:sz w:val="20"/>
              </w:rPr>
              <w:t>Males</w:t>
            </w:r>
          </w:p>
        </w:tc>
        <w:tc>
          <w:tcPr>
            <w:tcW w:w="162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3E0D1392" w14:textId="77777777" w:rsidR="007764DE" w:rsidRPr="003B1CD1" w:rsidRDefault="00185224">
            <w:pPr>
              <w:widowControl w:val="0"/>
              <w:spacing w:line="240" w:lineRule="auto"/>
              <w:ind w:right="0" w:firstLine="0"/>
              <w:rPr>
                <w:sz w:val="20"/>
              </w:rPr>
            </w:pPr>
            <w:r w:rsidRPr="003B1CD1">
              <w:rPr>
                <w:sz w:val="20"/>
              </w:rPr>
              <w:t>1 DVC (4/22/2022)</w:t>
            </w:r>
          </w:p>
        </w:tc>
        <w:tc>
          <w:tcPr>
            <w:tcW w:w="315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16B49704" w14:textId="77777777" w:rsidR="007764DE" w:rsidRPr="003B1CD1" w:rsidRDefault="00185224">
            <w:pPr>
              <w:widowControl w:val="0"/>
              <w:spacing w:line="240" w:lineRule="auto"/>
              <w:ind w:right="0" w:firstLine="0"/>
              <w:rPr>
                <w:sz w:val="20"/>
              </w:rPr>
            </w:pPr>
            <w:r w:rsidRPr="003B1CD1">
              <w:rPr>
                <w:sz w:val="20"/>
              </w:rPr>
              <w:t>1 DVC (11/9/2021)</w:t>
            </w:r>
          </w:p>
        </w:tc>
        <w:tc>
          <w:tcPr>
            <w:tcW w:w="234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2912392A" w14:textId="77777777" w:rsidR="007764DE" w:rsidRPr="003B1CD1" w:rsidRDefault="00185224">
            <w:pPr>
              <w:widowControl w:val="0"/>
              <w:spacing w:line="240" w:lineRule="auto"/>
              <w:ind w:right="0" w:firstLine="0"/>
              <w:rPr>
                <w:sz w:val="20"/>
              </w:rPr>
            </w:pPr>
            <w:r w:rsidRPr="003B1CD1">
              <w:rPr>
                <w:sz w:val="20"/>
              </w:rPr>
              <w:t>2 DVC (2/7/23, 3/16/2023)</w:t>
            </w:r>
          </w:p>
        </w:tc>
        <w:tc>
          <w:tcPr>
            <w:tcW w:w="1630" w:type="dxa"/>
            <w:tcBorders>
              <w:top w:val="single" w:sz="4" w:space="0" w:color="CCCCCC"/>
              <w:left w:val="single" w:sz="4" w:space="0" w:color="CCCCCC"/>
              <w:bottom w:val="single" w:sz="4" w:space="0" w:color="000000"/>
              <w:right w:val="single" w:sz="4" w:space="0" w:color="000000"/>
            </w:tcBorders>
            <w:shd w:val="clear" w:color="auto" w:fill="auto"/>
            <w:vAlign w:val="bottom"/>
          </w:tcPr>
          <w:p w14:paraId="3B27C963" w14:textId="77777777" w:rsidR="007764DE" w:rsidRPr="003B1CD1" w:rsidRDefault="00185224">
            <w:pPr>
              <w:widowControl w:val="0"/>
              <w:spacing w:line="240" w:lineRule="auto"/>
              <w:ind w:right="0" w:firstLine="0"/>
              <w:rPr>
                <w:sz w:val="20"/>
              </w:rPr>
            </w:pPr>
            <w:r w:rsidRPr="003B1CD1">
              <w:rPr>
                <w:sz w:val="20"/>
              </w:rPr>
              <w:t>1 Poaching (10/29/2022)</w:t>
            </w:r>
          </w:p>
        </w:tc>
      </w:tr>
    </w:tbl>
    <w:p w14:paraId="5A7401E2" w14:textId="77777777" w:rsidR="007764DE" w:rsidRPr="003B1CD1" w:rsidRDefault="007764DE">
      <w:pPr>
        <w:pStyle w:val="Heading3"/>
        <w:ind w:right="0" w:firstLine="0"/>
      </w:pPr>
    </w:p>
    <w:p w14:paraId="5ACE52F8" w14:textId="77777777" w:rsidR="007745BB" w:rsidRDefault="007745BB">
      <w:pPr>
        <w:rPr>
          <w:b/>
        </w:rPr>
      </w:pPr>
      <w:r>
        <w:rPr>
          <w:b/>
        </w:rPr>
        <w:br w:type="page"/>
      </w:r>
    </w:p>
    <w:p w14:paraId="2F7928E0" w14:textId="769045FA" w:rsidR="007764DE" w:rsidRPr="003B1CD1" w:rsidRDefault="00185224">
      <w:pPr>
        <w:ind w:right="0" w:firstLine="0"/>
      </w:pPr>
      <w:r w:rsidRPr="003B1CD1">
        <w:rPr>
          <w:b/>
        </w:rPr>
        <w:lastRenderedPageBreak/>
        <w:t>Table S</w:t>
      </w:r>
      <w:r w:rsidR="00987B23">
        <w:rPr>
          <w:b/>
        </w:rPr>
        <w:t>2</w:t>
      </w:r>
      <w:r w:rsidRPr="003B1CD1">
        <w:rPr>
          <w:b/>
        </w:rPr>
        <w:t>.</w:t>
      </w:r>
      <w:r w:rsidRPr="003B1CD1">
        <w:t xml:space="preserve"> Individual deer carcasses (monthly percentage of total) that were reported to the New York Department of Sanitation for pick-up on both public and private lands in Staten Island, NY, USA, between July 2016 and June 2024</w:t>
      </w:r>
      <w:r w:rsidR="00780F6A">
        <w:t xml:space="preserve"> [1]</w:t>
      </w:r>
      <w:r w:rsidRPr="003B1CD1">
        <w:t>.</w:t>
      </w:r>
    </w:p>
    <w:tbl>
      <w:tblPr>
        <w:tblStyle w:val="OldDefaultTableStyle"/>
        <w:tblW w:w="935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065"/>
        <w:gridCol w:w="1000"/>
        <w:gridCol w:w="875"/>
        <w:gridCol w:w="915"/>
        <w:gridCol w:w="945"/>
        <w:gridCol w:w="975"/>
        <w:gridCol w:w="1110"/>
        <w:gridCol w:w="1230"/>
        <w:gridCol w:w="1240"/>
      </w:tblGrid>
      <w:tr w:rsidR="007764DE" w:rsidRPr="003B1CD1" w14:paraId="10A312E9" w14:textId="77777777" w:rsidTr="00163D4C">
        <w:trPr>
          <w:trHeight w:val="315"/>
        </w:trPr>
        <w:tc>
          <w:tcPr>
            <w:tcW w:w="1065" w:type="dxa"/>
            <w:tcBorders>
              <w:top w:val="single" w:sz="4" w:space="0" w:color="000000"/>
              <w:left w:val="single" w:sz="4" w:space="0" w:color="000000"/>
              <w:bottom w:val="single" w:sz="4" w:space="0" w:color="000000"/>
              <w:right w:val="single" w:sz="4" w:space="0" w:color="000000"/>
            </w:tcBorders>
            <w:vAlign w:val="bottom"/>
          </w:tcPr>
          <w:p w14:paraId="5621DF35" w14:textId="77777777" w:rsidR="007764DE" w:rsidRPr="003B1CD1" w:rsidRDefault="007764DE" w:rsidP="007745BB">
            <w:pPr>
              <w:widowControl w:val="0"/>
              <w:spacing w:line="276" w:lineRule="auto"/>
              <w:ind w:right="0" w:firstLine="0"/>
              <w:rPr>
                <w:rFonts w:ascii="Arial" w:eastAsia="Arial" w:hAnsi="Arial" w:cs="Arial"/>
                <w:sz w:val="20"/>
              </w:rPr>
            </w:pPr>
          </w:p>
        </w:tc>
        <w:tc>
          <w:tcPr>
            <w:tcW w:w="1000" w:type="dxa"/>
            <w:tcBorders>
              <w:top w:val="single" w:sz="4" w:space="0" w:color="000000"/>
              <w:left w:val="single" w:sz="4" w:space="0" w:color="CCCCCC"/>
              <w:bottom w:val="single" w:sz="4" w:space="0" w:color="000000"/>
              <w:right w:val="single" w:sz="4" w:space="0" w:color="000000"/>
            </w:tcBorders>
            <w:vAlign w:val="bottom"/>
          </w:tcPr>
          <w:p w14:paraId="6C7CD92E" w14:textId="77777777" w:rsidR="007764DE" w:rsidRPr="005069AA" w:rsidRDefault="00185224" w:rsidP="007745BB">
            <w:pPr>
              <w:widowControl w:val="0"/>
              <w:spacing w:line="276" w:lineRule="auto"/>
              <w:ind w:right="0" w:firstLine="0"/>
              <w:jc w:val="right"/>
              <w:rPr>
                <w:rFonts w:ascii="Arial" w:eastAsia="Arial" w:hAnsi="Arial" w:cs="Arial"/>
              </w:rPr>
            </w:pPr>
            <w:r w:rsidRPr="005069AA">
              <w:t>2016–17</w:t>
            </w:r>
          </w:p>
        </w:tc>
        <w:tc>
          <w:tcPr>
            <w:tcW w:w="875" w:type="dxa"/>
            <w:tcBorders>
              <w:top w:val="single" w:sz="4" w:space="0" w:color="000000"/>
              <w:left w:val="single" w:sz="4" w:space="0" w:color="CCCCCC"/>
              <w:bottom w:val="single" w:sz="4" w:space="0" w:color="000000"/>
              <w:right w:val="single" w:sz="4" w:space="0" w:color="000000"/>
            </w:tcBorders>
            <w:vAlign w:val="bottom"/>
          </w:tcPr>
          <w:p w14:paraId="0CA4AD4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2017–18</w:t>
            </w:r>
          </w:p>
        </w:tc>
        <w:tc>
          <w:tcPr>
            <w:tcW w:w="915" w:type="dxa"/>
            <w:tcBorders>
              <w:top w:val="single" w:sz="4" w:space="0" w:color="000000"/>
              <w:left w:val="single" w:sz="4" w:space="0" w:color="CCCCCC"/>
              <w:bottom w:val="single" w:sz="4" w:space="0" w:color="000000"/>
              <w:right w:val="single" w:sz="4" w:space="0" w:color="000000"/>
            </w:tcBorders>
            <w:vAlign w:val="bottom"/>
          </w:tcPr>
          <w:p w14:paraId="24974DB0"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2018–19</w:t>
            </w:r>
          </w:p>
        </w:tc>
        <w:tc>
          <w:tcPr>
            <w:tcW w:w="945" w:type="dxa"/>
            <w:tcBorders>
              <w:top w:val="single" w:sz="4" w:space="0" w:color="000000"/>
              <w:left w:val="single" w:sz="4" w:space="0" w:color="CCCCCC"/>
              <w:bottom w:val="single" w:sz="4" w:space="0" w:color="000000"/>
              <w:right w:val="single" w:sz="4" w:space="0" w:color="000000"/>
            </w:tcBorders>
            <w:vAlign w:val="bottom"/>
          </w:tcPr>
          <w:p w14:paraId="5B8C1FD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2019–20</w:t>
            </w:r>
          </w:p>
        </w:tc>
        <w:tc>
          <w:tcPr>
            <w:tcW w:w="975" w:type="dxa"/>
            <w:tcBorders>
              <w:top w:val="single" w:sz="4" w:space="0" w:color="000000"/>
              <w:left w:val="single" w:sz="4" w:space="0" w:color="CCCCCC"/>
              <w:bottom w:val="single" w:sz="4" w:space="0" w:color="000000"/>
              <w:right w:val="single" w:sz="4" w:space="0" w:color="000000"/>
            </w:tcBorders>
            <w:vAlign w:val="bottom"/>
          </w:tcPr>
          <w:p w14:paraId="29AD8EB0"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2020–21</w:t>
            </w:r>
          </w:p>
        </w:tc>
        <w:tc>
          <w:tcPr>
            <w:tcW w:w="1110" w:type="dxa"/>
            <w:tcBorders>
              <w:top w:val="single" w:sz="4" w:space="0" w:color="000000"/>
              <w:left w:val="single" w:sz="4" w:space="0" w:color="CCCCCC"/>
              <w:bottom w:val="single" w:sz="4" w:space="0" w:color="000000"/>
              <w:right w:val="single" w:sz="4" w:space="0" w:color="000000"/>
            </w:tcBorders>
            <w:vAlign w:val="bottom"/>
          </w:tcPr>
          <w:p w14:paraId="0247AFC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2021–22</w:t>
            </w:r>
            <w:r w:rsidRPr="003B1CD1">
              <w:rPr>
                <w:sz w:val="20"/>
              </w:rPr>
              <w:t>*</w:t>
            </w:r>
          </w:p>
        </w:tc>
        <w:tc>
          <w:tcPr>
            <w:tcW w:w="1230" w:type="dxa"/>
            <w:tcBorders>
              <w:top w:val="single" w:sz="4" w:space="0" w:color="000000"/>
              <w:left w:val="single" w:sz="4" w:space="0" w:color="CCCCCC"/>
              <w:bottom w:val="single" w:sz="4" w:space="0" w:color="000000"/>
              <w:right w:val="single" w:sz="4" w:space="0" w:color="000000"/>
            </w:tcBorders>
            <w:vAlign w:val="bottom"/>
          </w:tcPr>
          <w:p w14:paraId="132F6E3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2022–23</w:t>
            </w:r>
            <w:r w:rsidRPr="003B1CD1">
              <w:rPr>
                <w:sz w:val="20"/>
              </w:rPr>
              <w:t>**</w:t>
            </w:r>
          </w:p>
        </w:tc>
        <w:tc>
          <w:tcPr>
            <w:tcW w:w="1240" w:type="dxa"/>
            <w:tcBorders>
              <w:top w:val="single" w:sz="4" w:space="0" w:color="000000"/>
              <w:left w:val="single" w:sz="4" w:space="0" w:color="CCCCCC"/>
              <w:bottom w:val="single" w:sz="4" w:space="0" w:color="000000"/>
              <w:right w:val="single" w:sz="4" w:space="0" w:color="000000"/>
            </w:tcBorders>
            <w:vAlign w:val="bottom"/>
          </w:tcPr>
          <w:p w14:paraId="1DA2FBD0"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t>2023–24</w:t>
            </w:r>
          </w:p>
        </w:tc>
      </w:tr>
      <w:tr w:rsidR="007764DE" w:rsidRPr="003B1CD1" w14:paraId="294C2766"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5B193EE6"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July</w:t>
            </w:r>
          </w:p>
        </w:tc>
        <w:tc>
          <w:tcPr>
            <w:tcW w:w="1000" w:type="dxa"/>
            <w:tcBorders>
              <w:top w:val="single" w:sz="4" w:space="0" w:color="CCCCCC"/>
              <w:left w:val="single" w:sz="4" w:space="0" w:color="CCCCCC"/>
              <w:bottom w:val="single" w:sz="4" w:space="0" w:color="000000"/>
              <w:right w:val="single" w:sz="4" w:space="0" w:color="000000"/>
            </w:tcBorders>
            <w:vAlign w:val="bottom"/>
          </w:tcPr>
          <w:p w14:paraId="728ED79E"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(5%)</w:t>
            </w:r>
          </w:p>
        </w:tc>
        <w:tc>
          <w:tcPr>
            <w:tcW w:w="875" w:type="dxa"/>
            <w:tcBorders>
              <w:top w:val="single" w:sz="4" w:space="0" w:color="CCCCCC"/>
              <w:left w:val="single" w:sz="4" w:space="0" w:color="CCCCCC"/>
              <w:bottom w:val="single" w:sz="4" w:space="0" w:color="000000"/>
              <w:right w:val="single" w:sz="4" w:space="0" w:color="000000"/>
            </w:tcBorders>
            <w:vAlign w:val="bottom"/>
          </w:tcPr>
          <w:p w14:paraId="6CF2AEF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7 (3%)</w:t>
            </w:r>
          </w:p>
        </w:tc>
        <w:tc>
          <w:tcPr>
            <w:tcW w:w="915" w:type="dxa"/>
            <w:tcBorders>
              <w:top w:val="single" w:sz="4" w:space="0" w:color="CCCCCC"/>
              <w:left w:val="single" w:sz="4" w:space="0" w:color="CCCCCC"/>
              <w:bottom w:val="single" w:sz="4" w:space="0" w:color="000000"/>
              <w:right w:val="single" w:sz="4" w:space="0" w:color="000000"/>
            </w:tcBorders>
            <w:vAlign w:val="bottom"/>
          </w:tcPr>
          <w:p w14:paraId="352F79E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(1%)</w:t>
            </w:r>
          </w:p>
        </w:tc>
        <w:tc>
          <w:tcPr>
            <w:tcW w:w="945" w:type="dxa"/>
            <w:tcBorders>
              <w:top w:val="single" w:sz="4" w:space="0" w:color="CCCCCC"/>
              <w:left w:val="single" w:sz="4" w:space="0" w:color="CCCCCC"/>
              <w:bottom w:val="single" w:sz="4" w:space="0" w:color="000000"/>
              <w:right w:val="single" w:sz="4" w:space="0" w:color="000000"/>
            </w:tcBorders>
            <w:vAlign w:val="bottom"/>
          </w:tcPr>
          <w:p w14:paraId="79652920"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(6%)</w:t>
            </w:r>
          </w:p>
        </w:tc>
        <w:tc>
          <w:tcPr>
            <w:tcW w:w="975" w:type="dxa"/>
            <w:tcBorders>
              <w:top w:val="single" w:sz="4" w:space="0" w:color="CCCCCC"/>
              <w:left w:val="single" w:sz="4" w:space="0" w:color="CCCCCC"/>
              <w:bottom w:val="single" w:sz="4" w:space="0" w:color="000000"/>
              <w:right w:val="single" w:sz="4" w:space="0" w:color="000000"/>
            </w:tcBorders>
            <w:vAlign w:val="bottom"/>
          </w:tcPr>
          <w:p w14:paraId="38E79B0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 (2%)</w:t>
            </w:r>
          </w:p>
        </w:tc>
        <w:tc>
          <w:tcPr>
            <w:tcW w:w="1110" w:type="dxa"/>
            <w:tcBorders>
              <w:top w:val="single" w:sz="4" w:space="0" w:color="CCCCCC"/>
              <w:left w:val="single" w:sz="4" w:space="0" w:color="CCCCCC"/>
              <w:bottom w:val="single" w:sz="4" w:space="0" w:color="000000"/>
              <w:right w:val="single" w:sz="4" w:space="0" w:color="000000"/>
            </w:tcBorders>
            <w:vAlign w:val="bottom"/>
          </w:tcPr>
          <w:p w14:paraId="28330C53"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 (2%)</w:t>
            </w:r>
          </w:p>
        </w:tc>
        <w:tc>
          <w:tcPr>
            <w:tcW w:w="1230" w:type="dxa"/>
            <w:tcBorders>
              <w:top w:val="single" w:sz="4" w:space="0" w:color="CCCCCC"/>
              <w:left w:val="single" w:sz="4" w:space="0" w:color="CCCCCC"/>
              <w:bottom w:val="single" w:sz="4" w:space="0" w:color="000000"/>
              <w:right w:val="single" w:sz="4" w:space="0" w:color="000000"/>
            </w:tcBorders>
            <w:vAlign w:val="bottom"/>
          </w:tcPr>
          <w:p w14:paraId="496C892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 (5%)</w:t>
            </w:r>
          </w:p>
        </w:tc>
        <w:tc>
          <w:tcPr>
            <w:tcW w:w="1240" w:type="dxa"/>
            <w:tcBorders>
              <w:top w:val="single" w:sz="4" w:space="0" w:color="CCCCCC"/>
              <w:left w:val="single" w:sz="4" w:space="0" w:color="CCCCCC"/>
              <w:bottom w:val="single" w:sz="4" w:space="0" w:color="000000"/>
              <w:right w:val="single" w:sz="4" w:space="0" w:color="000000"/>
            </w:tcBorders>
            <w:vAlign w:val="bottom"/>
          </w:tcPr>
          <w:p w14:paraId="63D624B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 (2%)</w:t>
            </w:r>
          </w:p>
        </w:tc>
      </w:tr>
      <w:tr w:rsidR="007764DE" w:rsidRPr="003B1CD1" w14:paraId="2DF1C648"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69904B7E"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August</w:t>
            </w:r>
          </w:p>
        </w:tc>
        <w:tc>
          <w:tcPr>
            <w:tcW w:w="1000" w:type="dxa"/>
            <w:tcBorders>
              <w:top w:val="single" w:sz="4" w:space="0" w:color="CCCCCC"/>
              <w:left w:val="single" w:sz="4" w:space="0" w:color="CCCCCC"/>
              <w:bottom w:val="single" w:sz="4" w:space="0" w:color="000000"/>
              <w:right w:val="single" w:sz="4" w:space="0" w:color="000000"/>
            </w:tcBorders>
            <w:vAlign w:val="bottom"/>
          </w:tcPr>
          <w:p w14:paraId="5FAD2000"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10 (6%)</w:t>
            </w:r>
          </w:p>
        </w:tc>
        <w:tc>
          <w:tcPr>
            <w:tcW w:w="875" w:type="dxa"/>
            <w:tcBorders>
              <w:top w:val="single" w:sz="4" w:space="0" w:color="CCCCCC"/>
              <w:left w:val="single" w:sz="4" w:space="0" w:color="CCCCCC"/>
              <w:bottom w:val="single" w:sz="4" w:space="0" w:color="000000"/>
              <w:right w:val="single" w:sz="4" w:space="0" w:color="000000"/>
            </w:tcBorders>
            <w:vAlign w:val="bottom"/>
          </w:tcPr>
          <w:p w14:paraId="0FB18A2D"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9 (3%)</w:t>
            </w:r>
          </w:p>
        </w:tc>
        <w:tc>
          <w:tcPr>
            <w:tcW w:w="915" w:type="dxa"/>
            <w:tcBorders>
              <w:top w:val="single" w:sz="4" w:space="0" w:color="CCCCCC"/>
              <w:left w:val="single" w:sz="4" w:space="0" w:color="CCCCCC"/>
              <w:bottom w:val="single" w:sz="4" w:space="0" w:color="000000"/>
              <w:right w:val="single" w:sz="4" w:space="0" w:color="000000"/>
            </w:tcBorders>
            <w:vAlign w:val="bottom"/>
          </w:tcPr>
          <w:p w14:paraId="290EA29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(3%)</w:t>
            </w:r>
          </w:p>
        </w:tc>
        <w:tc>
          <w:tcPr>
            <w:tcW w:w="945" w:type="dxa"/>
            <w:tcBorders>
              <w:top w:val="single" w:sz="4" w:space="0" w:color="CCCCCC"/>
              <w:left w:val="single" w:sz="4" w:space="0" w:color="CCCCCC"/>
              <w:bottom w:val="single" w:sz="4" w:space="0" w:color="000000"/>
              <w:right w:val="single" w:sz="4" w:space="0" w:color="000000"/>
            </w:tcBorders>
            <w:vAlign w:val="bottom"/>
          </w:tcPr>
          <w:p w14:paraId="31801DD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(4%)</w:t>
            </w:r>
          </w:p>
        </w:tc>
        <w:tc>
          <w:tcPr>
            <w:tcW w:w="975" w:type="dxa"/>
            <w:tcBorders>
              <w:top w:val="single" w:sz="4" w:space="0" w:color="CCCCCC"/>
              <w:left w:val="single" w:sz="4" w:space="0" w:color="CCCCCC"/>
              <w:bottom w:val="single" w:sz="4" w:space="0" w:color="000000"/>
              <w:right w:val="single" w:sz="4" w:space="0" w:color="000000"/>
            </w:tcBorders>
            <w:vAlign w:val="bottom"/>
          </w:tcPr>
          <w:p w14:paraId="1B05E10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(3%)</w:t>
            </w:r>
          </w:p>
        </w:tc>
        <w:tc>
          <w:tcPr>
            <w:tcW w:w="1110" w:type="dxa"/>
            <w:tcBorders>
              <w:top w:val="single" w:sz="4" w:space="0" w:color="CCCCCC"/>
              <w:left w:val="single" w:sz="4" w:space="0" w:color="CCCCCC"/>
              <w:bottom w:val="single" w:sz="4" w:space="0" w:color="000000"/>
              <w:right w:val="single" w:sz="4" w:space="0" w:color="000000"/>
            </w:tcBorders>
            <w:vAlign w:val="bottom"/>
          </w:tcPr>
          <w:p w14:paraId="4B95AEAA"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(9%)</w:t>
            </w:r>
          </w:p>
        </w:tc>
        <w:tc>
          <w:tcPr>
            <w:tcW w:w="1230" w:type="dxa"/>
            <w:tcBorders>
              <w:top w:val="single" w:sz="4" w:space="0" w:color="CCCCCC"/>
              <w:left w:val="single" w:sz="4" w:space="0" w:color="CCCCCC"/>
              <w:bottom w:val="single" w:sz="4" w:space="0" w:color="000000"/>
              <w:right w:val="single" w:sz="4" w:space="0" w:color="000000"/>
            </w:tcBorders>
            <w:vAlign w:val="bottom"/>
          </w:tcPr>
          <w:p w14:paraId="485A9EA7"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 (3%)</w:t>
            </w:r>
          </w:p>
        </w:tc>
        <w:tc>
          <w:tcPr>
            <w:tcW w:w="1240" w:type="dxa"/>
            <w:tcBorders>
              <w:top w:val="single" w:sz="4" w:space="0" w:color="CCCCCC"/>
              <w:left w:val="single" w:sz="4" w:space="0" w:color="CCCCCC"/>
              <w:bottom w:val="single" w:sz="4" w:space="0" w:color="000000"/>
              <w:right w:val="single" w:sz="4" w:space="0" w:color="000000"/>
            </w:tcBorders>
            <w:vAlign w:val="bottom"/>
          </w:tcPr>
          <w:p w14:paraId="57853FEA"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0 (0%)</w:t>
            </w:r>
          </w:p>
        </w:tc>
      </w:tr>
      <w:tr w:rsidR="007764DE" w:rsidRPr="003B1CD1" w14:paraId="0A12001D"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2F507C91"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September</w:t>
            </w:r>
          </w:p>
        </w:tc>
        <w:tc>
          <w:tcPr>
            <w:tcW w:w="1000" w:type="dxa"/>
            <w:tcBorders>
              <w:top w:val="single" w:sz="4" w:space="0" w:color="CCCCCC"/>
              <w:left w:val="single" w:sz="4" w:space="0" w:color="CCCCCC"/>
              <w:bottom w:val="single" w:sz="4" w:space="0" w:color="000000"/>
              <w:right w:val="single" w:sz="4" w:space="0" w:color="000000"/>
            </w:tcBorders>
            <w:vAlign w:val="bottom"/>
          </w:tcPr>
          <w:p w14:paraId="3DC79A4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10 (6%)</w:t>
            </w:r>
          </w:p>
        </w:tc>
        <w:tc>
          <w:tcPr>
            <w:tcW w:w="875" w:type="dxa"/>
            <w:tcBorders>
              <w:top w:val="single" w:sz="4" w:space="0" w:color="CCCCCC"/>
              <w:left w:val="single" w:sz="4" w:space="0" w:color="CCCCCC"/>
              <w:bottom w:val="single" w:sz="4" w:space="0" w:color="000000"/>
              <w:right w:val="single" w:sz="4" w:space="0" w:color="000000"/>
            </w:tcBorders>
            <w:vAlign w:val="bottom"/>
          </w:tcPr>
          <w:p w14:paraId="2D77245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14 (5%)</w:t>
            </w:r>
          </w:p>
        </w:tc>
        <w:tc>
          <w:tcPr>
            <w:tcW w:w="915" w:type="dxa"/>
            <w:tcBorders>
              <w:top w:val="single" w:sz="4" w:space="0" w:color="CCCCCC"/>
              <w:left w:val="single" w:sz="4" w:space="0" w:color="CCCCCC"/>
              <w:bottom w:val="single" w:sz="4" w:space="0" w:color="000000"/>
              <w:right w:val="single" w:sz="4" w:space="0" w:color="000000"/>
            </w:tcBorders>
            <w:vAlign w:val="bottom"/>
          </w:tcPr>
          <w:p w14:paraId="4EBAB397"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11 (4%)</w:t>
            </w:r>
          </w:p>
        </w:tc>
        <w:tc>
          <w:tcPr>
            <w:tcW w:w="945" w:type="dxa"/>
            <w:tcBorders>
              <w:top w:val="single" w:sz="4" w:space="0" w:color="CCCCCC"/>
              <w:left w:val="single" w:sz="4" w:space="0" w:color="CCCCCC"/>
              <w:bottom w:val="single" w:sz="4" w:space="0" w:color="000000"/>
              <w:right w:val="single" w:sz="4" w:space="0" w:color="000000"/>
            </w:tcBorders>
            <w:vAlign w:val="bottom"/>
          </w:tcPr>
          <w:p w14:paraId="6B887D5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10 (7%)</w:t>
            </w:r>
          </w:p>
        </w:tc>
        <w:tc>
          <w:tcPr>
            <w:tcW w:w="975" w:type="dxa"/>
            <w:tcBorders>
              <w:top w:val="single" w:sz="4" w:space="0" w:color="CCCCCC"/>
              <w:left w:val="single" w:sz="4" w:space="0" w:color="CCCCCC"/>
              <w:bottom w:val="single" w:sz="4" w:space="0" w:color="000000"/>
              <w:right w:val="single" w:sz="4" w:space="0" w:color="000000"/>
            </w:tcBorders>
            <w:vAlign w:val="bottom"/>
          </w:tcPr>
          <w:p w14:paraId="6E3DA2D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7 (5%)</w:t>
            </w:r>
          </w:p>
        </w:tc>
        <w:tc>
          <w:tcPr>
            <w:tcW w:w="1110" w:type="dxa"/>
            <w:tcBorders>
              <w:top w:val="single" w:sz="4" w:space="0" w:color="CCCCCC"/>
              <w:left w:val="single" w:sz="4" w:space="0" w:color="CCCCCC"/>
              <w:bottom w:val="single" w:sz="4" w:space="0" w:color="000000"/>
              <w:right w:val="single" w:sz="4" w:space="0" w:color="000000"/>
            </w:tcBorders>
            <w:vAlign w:val="bottom"/>
          </w:tcPr>
          <w:p w14:paraId="4D9CCDF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15 (16%)</w:t>
            </w:r>
          </w:p>
        </w:tc>
        <w:tc>
          <w:tcPr>
            <w:tcW w:w="1230" w:type="dxa"/>
            <w:tcBorders>
              <w:top w:val="single" w:sz="4" w:space="0" w:color="CCCCCC"/>
              <w:left w:val="single" w:sz="4" w:space="0" w:color="CCCCCC"/>
              <w:bottom w:val="single" w:sz="4" w:space="0" w:color="000000"/>
              <w:right w:val="single" w:sz="4" w:space="0" w:color="000000"/>
            </w:tcBorders>
            <w:vAlign w:val="bottom"/>
          </w:tcPr>
          <w:p w14:paraId="1396A86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(6%)</w:t>
            </w:r>
          </w:p>
        </w:tc>
        <w:tc>
          <w:tcPr>
            <w:tcW w:w="1240" w:type="dxa"/>
            <w:tcBorders>
              <w:top w:val="single" w:sz="4" w:space="0" w:color="CCCCCC"/>
              <w:left w:val="single" w:sz="4" w:space="0" w:color="CCCCCC"/>
              <w:bottom w:val="single" w:sz="4" w:space="0" w:color="000000"/>
              <w:right w:val="single" w:sz="4" w:space="0" w:color="000000"/>
            </w:tcBorders>
            <w:vAlign w:val="bottom"/>
          </w:tcPr>
          <w:p w14:paraId="15C6E37D"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 (4%)</w:t>
            </w:r>
          </w:p>
        </w:tc>
      </w:tr>
      <w:tr w:rsidR="007764DE" w:rsidRPr="003B1CD1" w14:paraId="223C6B04"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6F9B19DF"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October</w:t>
            </w:r>
          </w:p>
        </w:tc>
        <w:tc>
          <w:tcPr>
            <w:tcW w:w="1000" w:type="dxa"/>
            <w:tcBorders>
              <w:top w:val="single" w:sz="4" w:space="0" w:color="CCCCCC"/>
              <w:left w:val="single" w:sz="4" w:space="0" w:color="CCCCCC"/>
              <w:bottom w:val="single" w:sz="4" w:space="0" w:color="000000"/>
              <w:right w:val="single" w:sz="4" w:space="0" w:color="000000"/>
            </w:tcBorders>
            <w:vAlign w:val="bottom"/>
          </w:tcPr>
          <w:p w14:paraId="2C3C68D7"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22 (13%)</w:t>
            </w:r>
          </w:p>
        </w:tc>
        <w:tc>
          <w:tcPr>
            <w:tcW w:w="875" w:type="dxa"/>
            <w:tcBorders>
              <w:top w:val="single" w:sz="4" w:space="0" w:color="CCCCCC"/>
              <w:left w:val="single" w:sz="4" w:space="0" w:color="CCCCCC"/>
              <w:bottom w:val="single" w:sz="4" w:space="0" w:color="000000"/>
              <w:right w:val="single" w:sz="4" w:space="0" w:color="000000"/>
            </w:tcBorders>
            <w:vAlign w:val="bottom"/>
          </w:tcPr>
          <w:p w14:paraId="248EB814"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36 (13%)</w:t>
            </w:r>
          </w:p>
        </w:tc>
        <w:tc>
          <w:tcPr>
            <w:tcW w:w="915" w:type="dxa"/>
            <w:tcBorders>
              <w:top w:val="single" w:sz="4" w:space="0" w:color="CCCCCC"/>
              <w:left w:val="single" w:sz="4" w:space="0" w:color="CCCCCC"/>
              <w:bottom w:val="single" w:sz="4" w:space="0" w:color="000000"/>
              <w:right w:val="single" w:sz="4" w:space="0" w:color="000000"/>
            </w:tcBorders>
            <w:vAlign w:val="bottom"/>
          </w:tcPr>
          <w:p w14:paraId="1238A50B"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37 (14%)</w:t>
            </w:r>
          </w:p>
        </w:tc>
        <w:tc>
          <w:tcPr>
            <w:tcW w:w="945" w:type="dxa"/>
            <w:tcBorders>
              <w:top w:val="single" w:sz="4" w:space="0" w:color="CCCCCC"/>
              <w:left w:val="single" w:sz="4" w:space="0" w:color="CCCCCC"/>
              <w:bottom w:val="single" w:sz="4" w:space="0" w:color="000000"/>
              <w:right w:val="single" w:sz="4" w:space="0" w:color="000000"/>
            </w:tcBorders>
            <w:vAlign w:val="bottom"/>
          </w:tcPr>
          <w:p w14:paraId="22205F4E"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19 (13%)</w:t>
            </w:r>
          </w:p>
        </w:tc>
        <w:tc>
          <w:tcPr>
            <w:tcW w:w="975" w:type="dxa"/>
            <w:tcBorders>
              <w:top w:val="single" w:sz="4" w:space="0" w:color="CCCCCC"/>
              <w:left w:val="single" w:sz="4" w:space="0" w:color="CCCCCC"/>
              <w:bottom w:val="single" w:sz="4" w:space="0" w:color="000000"/>
              <w:right w:val="single" w:sz="4" w:space="0" w:color="000000"/>
            </w:tcBorders>
            <w:vAlign w:val="bottom"/>
          </w:tcPr>
          <w:p w14:paraId="4EF4F1AD"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12 (8%)</w:t>
            </w:r>
          </w:p>
        </w:tc>
        <w:tc>
          <w:tcPr>
            <w:tcW w:w="1110" w:type="dxa"/>
            <w:tcBorders>
              <w:top w:val="single" w:sz="4" w:space="0" w:color="CCCCCC"/>
              <w:left w:val="single" w:sz="4" w:space="0" w:color="CCCCCC"/>
              <w:bottom w:val="single" w:sz="4" w:space="0" w:color="000000"/>
              <w:right w:val="single" w:sz="4" w:space="0" w:color="000000"/>
            </w:tcBorders>
            <w:vAlign w:val="bottom"/>
          </w:tcPr>
          <w:p w14:paraId="25E8587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(9%)</w:t>
            </w:r>
          </w:p>
        </w:tc>
        <w:tc>
          <w:tcPr>
            <w:tcW w:w="1230" w:type="dxa"/>
            <w:tcBorders>
              <w:top w:val="single" w:sz="4" w:space="0" w:color="CCCCCC"/>
              <w:left w:val="single" w:sz="4" w:space="0" w:color="CCCCCC"/>
              <w:bottom w:val="single" w:sz="4" w:space="0" w:color="000000"/>
              <w:right w:val="single" w:sz="4" w:space="0" w:color="000000"/>
            </w:tcBorders>
            <w:vAlign w:val="bottom"/>
          </w:tcPr>
          <w:p w14:paraId="5D97505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13 (20%)</w:t>
            </w:r>
          </w:p>
        </w:tc>
        <w:tc>
          <w:tcPr>
            <w:tcW w:w="1240" w:type="dxa"/>
            <w:tcBorders>
              <w:top w:val="single" w:sz="4" w:space="0" w:color="CCCCCC"/>
              <w:left w:val="single" w:sz="4" w:space="0" w:color="CCCCCC"/>
              <w:bottom w:val="single" w:sz="4" w:space="0" w:color="000000"/>
              <w:right w:val="single" w:sz="4" w:space="0" w:color="000000"/>
            </w:tcBorders>
            <w:vAlign w:val="bottom"/>
          </w:tcPr>
          <w:p w14:paraId="10F1AB1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6 (12%)</w:t>
            </w:r>
          </w:p>
        </w:tc>
      </w:tr>
      <w:tr w:rsidR="007764DE" w:rsidRPr="003B1CD1" w14:paraId="34A31E81" w14:textId="77777777" w:rsidTr="00163D4C">
        <w:trPr>
          <w:trHeight w:val="324"/>
        </w:trPr>
        <w:tc>
          <w:tcPr>
            <w:tcW w:w="1065" w:type="dxa"/>
            <w:tcBorders>
              <w:top w:val="single" w:sz="4" w:space="0" w:color="CCCCCC"/>
              <w:left w:val="single" w:sz="4" w:space="0" w:color="000000"/>
              <w:bottom w:val="single" w:sz="4" w:space="0" w:color="000000"/>
              <w:right w:val="single" w:sz="4" w:space="0" w:color="000000"/>
            </w:tcBorders>
            <w:vAlign w:val="bottom"/>
          </w:tcPr>
          <w:p w14:paraId="02E24901"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November</w:t>
            </w:r>
          </w:p>
        </w:tc>
        <w:tc>
          <w:tcPr>
            <w:tcW w:w="1000" w:type="dxa"/>
            <w:tcBorders>
              <w:top w:val="single" w:sz="4" w:space="0" w:color="CCCCCC"/>
              <w:left w:val="single" w:sz="4" w:space="0" w:color="CCCCCC"/>
              <w:bottom w:val="single" w:sz="4" w:space="0" w:color="000000"/>
              <w:right w:val="single" w:sz="4" w:space="0" w:color="000000"/>
            </w:tcBorders>
            <w:vAlign w:val="bottom"/>
          </w:tcPr>
          <w:p w14:paraId="3E1768F4"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41 (24%)</w:t>
            </w:r>
          </w:p>
        </w:tc>
        <w:tc>
          <w:tcPr>
            <w:tcW w:w="875" w:type="dxa"/>
            <w:tcBorders>
              <w:top w:val="single" w:sz="4" w:space="0" w:color="CCCCCC"/>
              <w:left w:val="single" w:sz="4" w:space="0" w:color="CCCCCC"/>
              <w:bottom w:val="single" w:sz="4" w:space="0" w:color="000000"/>
              <w:right w:val="single" w:sz="4" w:space="0" w:color="000000"/>
            </w:tcBorders>
            <w:vAlign w:val="bottom"/>
          </w:tcPr>
          <w:p w14:paraId="23223E53"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44 (16%)</w:t>
            </w:r>
          </w:p>
        </w:tc>
        <w:tc>
          <w:tcPr>
            <w:tcW w:w="915" w:type="dxa"/>
            <w:tcBorders>
              <w:top w:val="single" w:sz="4" w:space="0" w:color="CCCCCC"/>
              <w:left w:val="single" w:sz="4" w:space="0" w:color="CCCCCC"/>
              <w:bottom w:val="single" w:sz="4" w:space="0" w:color="000000"/>
              <w:right w:val="single" w:sz="4" w:space="0" w:color="000000"/>
            </w:tcBorders>
            <w:vAlign w:val="bottom"/>
          </w:tcPr>
          <w:p w14:paraId="73BDACE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52 (19%)</w:t>
            </w:r>
          </w:p>
        </w:tc>
        <w:tc>
          <w:tcPr>
            <w:tcW w:w="945" w:type="dxa"/>
            <w:tcBorders>
              <w:top w:val="single" w:sz="4" w:space="0" w:color="CCCCCC"/>
              <w:left w:val="single" w:sz="4" w:space="0" w:color="CCCCCC"/>
              <w:bottom w:val="single" w:sz="4" w:space="0" w:color="000000"/>
              <w:right w:val="single" w:sz="4" w:space="0" w:color="000000"/>
            </w:tcBorders>
            <w:vAlign w:val="bottom"/>
          </w:tcPr>
          <w:p w14:paraId="4E9FD178"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31 (22%)</w:t>
            </w:r>
          </w:p>
        </w:tc>
        <w:tc>
          <w:tcPr>
            <w:tcW w:w="975" w:type="dxa"/>
            <w:tcBorders>
              <w:top w:val="single" w:sz="4" w:space="0" w:color="CCCCCC"/>
              <w:left w:val="single" w:sz="4" w:space="0" w:color="CCCCCC"/>
              <w:bottom w:val="single" w:sz="4" w:space="0" w:color="000000"/>
              <w:right w:val="single" w:sz="4" w:space="0" w:color="000000"/>
            </w:tcBorders>
            <w:vAlign w:val="bottom"/>
          </w:tcPr>
          <w:p w14:paraId="6433CC9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23 (15%)</w:t>
            </w:r>
          </w:p>
        </w:tc>
        <w:tc>
          <w:tcPr>
            <w:tcW w:w="1110" w:type="dxa"/>
            <w:tcBorders>
              <w:top w:val="single" w:sz="4" w:space="0" w:color="CCCCCC"/>
              <w:left w:val="single" w:sz="4" w:space="0" w:color="CCCCCC"/>
              <w:bottom w:val="single" w:sz="4" w:space="0" w:color="000000"/>
              <w:right w:val="single" w:sz="4" w:space="0" w:color="000000"/>
            </w:tcBorders>
            <w:vAlign w:val="bottom"/>
          </w:tcPr>
          <w:p w14:paraId="323DDC6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6 (7%)</w:t>
            </w:r>
          </w:p>
        </w:tc>
        <w:tc>
          <w:tcPr>
            <w:tcW w:w="1230" w:type="dxa"/>
            <w:tcBorders>
              <w:top w:val="single" w:sz="4" w:space="0" w:color="CCCCCC"/>
              <w:left w:val="single" w:sz="4" w:space="0" w:color="CCCCCC"/>
              <w:bottom w:val="single" w:sz="4" w:space="0" w:color="000000"/>
              <w:right w:val="single" w:sz="4" w:space="0" w:color="000000"/>
            </w:tcBorders>
            <w:vAlign w:val="bottom"/>
          </w:tcPr>
          <w:p w14:paraId="0A3D6A2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9 (14%)</w:t>
            </w:r>
          </w:p>
        </w:tc>
        <w:tc>
          <w:tcPr>
            <w:tcW w:w="1240" w:type="dxa"/>
            <w:tcBorders>
              <w:top w:val="single" w:sz="4" w:space="0" w:color="CCCCCC"/>
              <w:left w:val="single" w:sz="4" w:space="0" w:color="CCCCCC"/>
              <w:bottom w:val="single" w:sz="4" w:space="0" w:color="000000"/>
              <w:right w:val="single" w:sz="4" w:space="0" w:color="000000"/>
            </w:tcBorders>
            <w:vAlign w:val="bottom"/>
          </w:tcPr>
          <w:p w14:paraId="711E5B57"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17 (34%)</w:t>
            </w:r>
          </w:p>
        </w:tc>
      </w:tr>
      <w:tr w:rsidR="007764DE" w:rsidRPr="003B1CD1" w14:paraId="5536879A"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70D6051D"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December</w:t>
            </w:r>
          </w:p>
        </w:tc>
        <w:tc>
          <w:tcPr>
            <w:tcW w:w="1000" w:type="dxa"/>
            <w:tcBorders>
              <w:top w:val="single" w:sz="4" w:space="0" w:color="CCCCCC"/>
              <w:left w:val="single" w:sz="4" w:space="0" w:color="CCCCCC"/>
              <w:bottom w:val="single" w:sz="4" w:space="0" w:color="000000"/>
              <w:right w:val="single" w:sz="4" w:space="0" w:color="000000"/>
            </w:tcBorders>
            <w:vAlign w:val="bottom"/>
          </w:tcPr>
          <w:p w14:paraId="5D8F29F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9 (5%)</w:t>
            </w:r>
          </w:p>
        </w:tc>
        <w:tc>
          <w:tcPr>
            <w:tcW w:w="875" w:type="dxa"/>
            <w:tcBorders>
              <w:top w:val="single" w:sz="4" w:space="0" w:color="CCCCCC"/>
              <w:left w:val="single" w:sz="4" w:space="0" w:color="CCCCCC"/>
              <w:bottom w:val="single" w:sz="4" w:space="0" w:color="000000"/>
              <w:right w:val="single" w:sz="4" w:space="0" w:color="000000"/>
            </w:tcBorders>
            <w:vAlign w:val="bottom"/>
          </w:tcPr>
          <w:p w14:paraId="5849A918"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21 (8%)</w:t>
            </w:r>
          </w:p>
        </w:tc>
        <w:tc>
          <w:tcPr>
            <w:tcW w:w="915" w:type="dxa"/>
            <w:tcBorders>
              <w:top w:val="single" w:sz="4" w:space="0" w:color="CCCCCC"/>
              <w:left w:val="single" w:sz="4" w:space="0" w:color="CCCCCC"/>
              <w:bottom w:val="single" w:sz="4" w:space="0" w:color="000000"/>
              <w:right w:val="single" w:sz="4" w:space="0" w:color="000000"/>
            </w:tcBorders>
            <w:vAlign w:val="bottom"/>
          </w:tcPr>
          <w:p w14:paraId="1CE8D8A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38 (14%)</w:t>
            </w:r>
          </w:p>
        </w:tc>
        <w:tc>
          <w:tcPr>
            <w:tcW w:w="945" w:type="dxa"/>
            <w:tcBorders>
              <w:top w:val="single" w:sz="4" w:space="0" w:color="CCCCCC"/>
              <w:left w:val="single" w:sz="4" w:space="0" w:color="CCCCCC"/>
              <w:bottom w:val="single" w:sz="4" w:space="0" w:color="000000"/>
              <w:right w:val="single" w:sz="4" w:space="0" w:color="000000"/>
            </w:tcBorders>
            <w:vAlign w:val="bottom"/>
          </w:tcPr>
          <w:p w14:paraId="2BCD78A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10 (7%)</w:t>
            </w:r>
          </w:p>
        </w:tc>
        <w:tc>
          <w:tcPr>
            <w:tcW w:w="975" w:type="dxa"/>
            <w:tcBorders>
              <w:top w:val="single" w:sz="4" w:space="0" w:color="CCCCCC"/>
              <w:left w:val="single" w:sz="4" w:space="0" w:color="CCCCCC"/>
              <w:bottom w:val="single" w:sz="4" w:space="0" w:color="000000"/>
              <w:right w:val="single" w:sz="4" w:space="0" w:color="000000"/>
            </w:tcBorders>
            <w:vAlign w:val="bottom"/>
          </w:tcPr>
          <w:p w14:paraId="049B9384"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30 (20%)</w:t>
            </w:r>
          </w:p>
        </w:tc>
        <w:tc>
          <w:tcPr>
            <w:tcW w:w="1110" w:type="dxa"/>
            <w:tcBorders>
              <w:top w:val="single" w:sz="4" w:space="0" w:color="CCCCCC"/>
              <w:left w:val="single" w:sz="4" w:space="0" w:color="CCCCCC"/>
              <w:bottom w:val="single" w:sz="4" w:space="0" w:color="000000"/>
              <w:right w:val="single" w:sz="4" w:space="0" w:color="000000"/>
            </w:tcBorders>
            <w:vAlign w:val="bottom"/>
          </w:tcPr>
          <w:p w14:paraId="5F76DC6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(9%)</w:t>
            </w:r>
          </w:p>
        </w:tc>
        <w:tc>
          <w:tcPr>
            <w:tcW w:w="1230" w:type="dxa"/>
            <w:tcBorders>
              <w:top w:val="single" w:sz="4" w:space="0" w:color="CCCCCC"/>
              <w:left w:val="single" w:sz="4" w:space="0" w:color="CCCCCC"/>
              <w:bottom w:val="single" w:sz="4" w:space="0" w:color="000000"/>
              <w:right w:val="single" w:sz="4" w:space="0" w:color="000000"/>
            </w:tcBorders>
            <w:vAlign w:val="bottom"/>
          </w:tcPr>
          <w:p w14:paraId="6DF371FA"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9 (14%)</w:t>
            </w:r>
          </w:p>
        </w:tc>
        <w:tc>
          <w:tcPr>
            <w:tcW w:w="1240" w:type="dxa"/>
            <w:tcBorders>
              <w:top w:val="single" w:sz="4" w:space="0" w:color="CCCCCC"/>
              <w:left w:val="single" w:sz="4" w:space="0" w:color="CCCCCC"/>
              <w:bottom w:val="single" w:sz="4" w:space="0" w:color="000000"/>
              <w:right w:val="single" w:sz="4" w:space="0" w:color="000000"/>
            </w:tcBorders>
            <w:vAlign w:val="bottom"/>
          </w:tcPr>
          <w:p w14:paraId="2F6873FD"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(10%)</w:t>
            </w:r>
          </w:p>
        </w:tc>
      </w:tr>
      <w:tr w:rsidR="007764DE" w:rsidRPr="003B1CD1" w14:paraId="11B01C3D"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27FCFEDB"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January</w:t>
            </w:r>
          </w:p>
        </w:tc>
        <w:tc>
          <w:tcPr>
            <w:tcW w:w="1000" w:type="dxa"/>
            <w:tcBorders>
              <w:top w:val="single" w:sz="4" w:space="0" w:color="CCCCCC"/>
              <w:left w:val="single" w:sz="4" w:space="0" w:color="CCCCCC"/>
              <w:bottom w:val="single" w:sz="4" w:space="0" w:color="000000"/>
              <w:right w:val="single" w:sz="4" w:space="0" w:color="000000"/>
            </w:tcBorders>
            <w:vAlign w:val="bottom"/>
          </w:tcPr>
          <w:p w14:paraId="2FC9DE38"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13 (8%)</w:t>
            </w:r>
          </w:p>
        </w:tc>
        <w:tc>
          <w:tcPr>
            <w:tcW w:w="875" w:type="dxa"/>
            <w:tcBorders>
              <w:top w:val="single" w:sz="4" w:space="0" w:color="CCCCCC"/>
              <w:left w:val="single" w:sz="4" w:space="0" w:color="CCCCCC"/>
              <w:bottom w:val="single" w:sz="4" w:space="0" w:color="000000"/>
              <w:right w:val="single" w:sz="4" w:space="0" w:color="000000"/>
            </w:tcBorders>
            <w:vAlign w:val="bottom"/>
          </w:tcPr>
          <w:p w14:paraId="6E5EC8D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38 (14%)</w:t>
            </w:r>
          </w:p>
        </w:tc>
        <w:tc>
          <w:tcPr>
            <w:tcW w:w="915" w:type="dxa"/>
            <w:tcBorders>
              <w:top w:val="single" w:sz="4" w:space="0" w:color="CCCCCC"/>
              <w:left w:val="single" w:sz="4" w:space="0" w:color="CCCCCC"/>
              <w:bottom w:val="single" w:sz="4" w:space="0" w:color="000000"/>
              <w:right w:val="single" w:sz="4" w:space="0" w:color="000000"/>
            </w:tcBorders>
            <w:vAlign w:val="bottom"/>
          </w:tcPr>
          <w:p w14:paraId="454B7FF3"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27 (10%)</w:t>
            </w:r>
          </w:p>
        </w:tc>
        <w:tc>
          <w:tcPr>
            <w:tcW w:w="945" w:type="dxa"/>
            <w:tcBorders>
              <w:top w:val="single" w:sz="4" w:space="0" w:color="CCCCCC"/>
              <w:left w:val="single" w:sz="4" w:space="0" w:color="CCCCCC"/>
              <w:bottom w:val="single" w:sz="4" w:space="0" w:color="000000"/>
              <w:right w:val="single" w:sz="4" w:space="0" w:color="000000"/>
            </w:tcBorders>
            <w:vAlign w:val="bottom"/>
          </w:tcPr>
          <w:p w14:paraId="7C786EC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17 (12%)</w:t>
            </w:r>
          </w:p>
        </w:tc>
        <w:tc>
          <w:tcPr>
            <w:tcW w:w="975" w:type="dxa"/>
            <w:tcBorders>
              <w:top w:val="single" w:sz="4" w:space="0" w:color="CCCCCC"/>
              <w:left w:val="single" w:sz="4" w:space="0" w:color="CCCCCC"/>
              <w:bottom w:val="single" w:sz="4" w:space="0" w:color="000000"/>
              <w:right w:val="single" w:sz="4" w:space="0" w:color="000000"/>
            </w:tcBorders>
            <w:vAlign w:val="bottom"/>
          </w:tcPr>
          <w:p w14:paraId="333DEE61"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20 (13%)</w:t>
            </w:r>
          </w:p>
        </w:tc>
        <w:tc>
          <w:tcPr>
            <w:tcW w:w="1110" w:type="dxa"/>
            <w:tcBorders>
              <w:top w:val="single" w:sz="4" w:space="0" w:color="CCCCCC"/>
              <w:left w:val="single" w:sz="4" w:space="0" w:color="CCCCCC"/>
              <w:bottom w:val="single" w:sz="4" w:space="0" w:color="000000"/>
              <w:right w:val="single" w:sz="4" w:space="0" w:color="000000"/>
            </w:tcBorders>
            <w:vAlign w:val="bottom"/>
          </w:tcPr>
          <w:p w14:paraId="69EEDA4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6 (7%)</w:t>
            </w:r>
          </w:p>
        </w:tc>
        <w:tc>
          <w:tcPr>
            <w:tcW w:w="1230" w:type="dxa"/>
            <w:tcBorders>
              <w:top w:val="single" w:sz="4" w:space="0" w:color="CCCCCC"/>
              <w:left w:val="single" w:sz="4" w:space="0" w:color="CCCCCC"/>
              <w:bottom w:val="single" w:sz="4" w:space="0" w:color="000000"/>
              <w:right w:val="single" w:sz="4" w:space="0" w:color="000000"/>
            </w:tcBorders>
            <w:vAlign w:val="bottom"/>
          </w:tcPr>
          <w:p w14:paraId="0B38A3D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(8%)</w:t>
            </w:r>
          </w:p>
        </w:tc>
        <w:tc>
          <w:tcPr>
            <w:tcW w:w="1240" w:type="dxa"/>
            <w:tcBorders>
              <w:top w:val="single" w:sz="4" w:space="0" w:color="CCCCCC"/>
              <w:left w:val="single" w:sz="4" w:space="0" w:color="CCCCCC"/>
              <w:bottom w:val="single" w:sz="4" w:space="0" w:color="000000"/>
              <w:right w:val="single" w:sz="4" w:space="0" w:color="000000"/>
            </w:tcBorders>
            <w:vAlign w:val="bottom"/>
          </w:tcPr>
          <w:p w14:paraId="16F35FD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 6%)</w:t>
            </w:r>
          </w:p>
        </w:tc>
      </w:tr>
      <w:tr w:rsidR="007764DE" w:rsidRPr="003B1CD1" w14:paraId="2AC26827"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2C3809EE"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February</w:t>
            </w:r>
          </w:p>
        </w:tc>
        <w:tc>
          <w:tcPr>
            <w:tcW w:w="1000" w:type="dxa"/>
            <w:tcBorders>
              <w:top w:val="single" w:sz="4" w:space="0" w:color="CCCCCC"/>
              <w:left w:val="single" w:sz="4" w:space="0" w:color="CCCCCC"/>
              <w:bottom w:val="single" w:sz="4" w:space="0" w:color="000000"/>
              <w:right w:val="single" w:sz="4" w:space="0" w:color="000000"/>
            </w:tcBorders>
            <w:vAlign w:val="bottom"/>
          </w:tcPr>
          <w:p w14:paraId="7CE1CB0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15 (9%)</w:t>
            </w:r>
          </w:p>
        </w:tc>
        <w:tc>
          <w:tcPr>
            <w:tcW w:w="875" w:type="dxa"/>
            <w:tcBorders>
              <w:top w:val="single" w:sz="4" w:space="0" w:color="CCCCCC"/>
              <w:left w:val="single" w:sz="4" w:space="0" w:color="CCCCCC"/>
              <w:bottom w:val="single" w:sz="4" w:space="0" w:color="000000"/>
              <w:right w:val="single" w:sz="4" w:space="0" w:color="000000"/>
            </w:tcBorders>
            <w:vAlign w:val="bottom"/>
          </w:tcPr>
          <w:p w14:paraId="7D367DAB"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30 (11%)</w:t>
            </w:r>
          </w:p>
        </w:tc>
        <w:tc>
          <w:tcPr>
            <w:tcW w:w="915" w:type="dxa"/>
            <w:tcBorders>
              <w:top w:val="single" w:sz="4" w:space="0" w:color="CCCCCC"/>
              <w:left w:val="single" w:sz="4" w:space="0" w:color="CCCCCC"/>
              <w:bottom w:val="single" w:sz="4" w:space="0" w:color="000000"/>
              <w:right w:val="single" w:sz="4" w:space="0" w:color="000000"/>
            </w:tcBorders>
            <w:vAlign w:val="bottom"/>
          </w:tcPr>
          <w:p w14:paraId="2E7FF6E4"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23 (9%)</w:t>
            </w:r>
          </w:p>
        </w:tc>
        <w:tc>
          <w:tcPr>
            <w:tcW w:w="945" w:type="dxa"/>
            <w:tcBorders>
              <w:top w:val="single" w:sz="4" w:space="0" w:color="CCCCCC"/>
              <w:left w:val="single" w:sz="4" w:space="0" w:color="CCCCCC"/>
              <w:bottom w:val="single" w:sz="4" w:space="0" w:color="000000"/>
              <w:right w:val="single" w:sz="4" w:space="0" w:color="000000"/>
            </w:tcBorders>
            <w:vAlign w:val="bottom"/>
          </w:tcPr>
          <w:p w14:paraId="7E2F66B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9 (6%)</w:t>
            </w:r>
          </w:p>
        </w:tc>
        <w:tc>
          <w:tcPr>
            <w:tcW w:w="975" w:type="dxa"/>
            <w:tcBorders>
              <w:top w:val="single" w:sz="4" w:space="0" w:color="CCCCCC"/>
              <w:left w:val="single" w:sz="4" w:space="0" w:color="CCCCCC"/>
              <w:bottom w:val="single" w:sz="4" w:space="0" w:color="000000"/>
              <w:right w:val="single" w:sz="4" w:space="0" w:color="000000"/>
            </w:tcBorders>
            <w:vAlign w:val="bottom"/>
          </w:tcPr>
          <w:p w14:paraId="7B8444CE"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12 (8%)</w:t>
            </w:r>
          </w:p>
        </w:tc>
        <w:tc>
          <w:tcPr>
            <w:tcW w:w="1110" w:type="dxa"/>
            <w:tcBorders>
              <w:top w:val="single" w:sz="4" w:space="0" w:color="CCCCCC"/>
              <w:left w:val="single" w:sz="4" w:space="0" w:color="CCCCCC"/>
              <w:bottom w:val="single" w:sz="4" w:space="0" w:color="000000"/>
              <w:right w:val="single" w:sz="4" w:space="0" w:color="000000"/>
            </w:tcBorders>
            <w:vAlign w:val="bottom"/>
          </w:tcPr>
          <w:p w14:paraId="1C509A3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10 (11%)</w:t>
            </w:r>
          </w:p>
        </w:tc>
        <w:tc>
          <w:tcPr>
            <w:tcW w:w="1230" w:type="dxa"/>
            <w:tcBorders>
              <w:top w:val="single" w:sz="4" w:space="0" w:color="CCCCCC"/>
              <w:left w:val="single" w:sz="4" w:space="0" w:color="CCCCCC"/>
              <w:bottom w:val="single" w:sz="4" w:space="0" w:color="000000"/>
              <w:right w:val="single" w:sz="4" w:space="0" w:color="000000"/>
            </w:tcBorders>
            <w:vAlign w:val="bottom"/>
          </w:tcPr>
          <w:p w14:paraId="5B39ABF7"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(6%)</w:t>
            </w:r>
          </w:p>
        </w:tc>
        <w:tc>
          <w:tcPr>
            <w:tcW w:w="1240" w:type="dxa"/>
            <w:tcBorders>
              <w:top w:val="single" w:sz="4" w:space="0" w:color="CCCCCC"/>
              <w:left w:val="single" w:sz="4" w:space="0" w:color="CCCCCC"/>
              <w:bottom w:val="single" w:sz="4" w:space="0" w:color="000000"/>
              <w:right w:val="single" w:sz="4" w:space="0" w:color="000000"/>
            </w:tcBorders>
            <w:vAlign w:val="bottom"/>
          </w:tcPr>
          <w:p w14:paraId="4E86F71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(8%)</w:t>
            </w:r>
          </w:p>
        </w:tc>
      </w:tr>
      <w:tr w:rsidR="007764DE" w:rsidRPr="003B1CD1" w14:paraId="07584738"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7F22737C"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March</w:t>
            </w:r>
          </w:p>
        </w:tc>
        <w:tc>
          <w:tcPr>
            <w:tcW w:w="1000" w:type="dxa"/>
            <w:tcBorders>
              <w:top w:val="single" w:sz="4" w:space="0" w:color="CCCCCC"/>
              <w:left w:val="single" w:sz="4" w:space="0" w:color="CCCCCC"/>
              <w:bottom w:val="single" w:sz="4" w:space="0" w:color="000000"/>
              <w:right w:val="single" w:sz="4" w:space="0" w:color="000000"/>
            </w:tcBorders>
            <w:vAlign w:val="bottom"/>
          </w:tcPr>
          <w:p w14:paraId="67B55BA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10 (6%)</w:t>
            </w:r>
          </w:p>
        </w:tc>
        <w:tc>
          <w:tcPr>
            <w:tcW w:w="875" w:type="dxa"/>
            <w:tcBorders>
              <w:top w:val="single" w:sz="4" w:space="0" w:color="CCCCCC"/>
              <w:left w:val="single" w:sz="4" w:space="0" w:color="CCCCCC"/>
              <w:bottom w:val="single" w:sz="4" w:space="0" w:color="000000"/>
              <w:right w:val="single" w:sz="4" w:space="0" w:color="000000"/>
            </w:tcBorders>
            <w:vAlign w:val="bottom"/>
          </w:tcPr>
          <w:p w14:paraId="3389D608"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23 (8%)</w:t>
            </w:r>
          </w:p>
        </w:tc>
        <w:tc>
          <w:tcPr>
            <w:tcW w:w="915" w:type="dxa"/>
            <w:tcBorders>
              <w:top w:val="single" w:sz="4" w:space="0" w:color="CCCCCC"/>
              <w:left w:val="single" w:sz="4" w:space="0" w:color="CCCCCC"/>
              <w:bottom w:val="single" w:sz="4" w:space="0" w:color="000000"/>
              <w:right w:val="single" w:sz="4" w:space="0" w:color="000000"/>
            </w:tcBorders>
            <w:vAlign w:val="bottom"/>
          </w:tcPr>
          <w:p w14:paraId="49E4CBDE"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34 (13%)</w:t>
            </w:r>
          </w:p>
        </w:tc>
        <w:tc>
          <w:tcPr>
            <w:tcW w:w="945" w:type="dxa"/>
            <w:tcBorders>
              <w:top w:val="single" w:sz="4" w:space="0" w:color="CCCCCC"/>
              <w:left w:val="single" w:sz="4" w:space="0" w:color="CCCCCC"/>
              <w:bottom w:val="single" w:sz="4" w:space="0" w:color="000000"/>
              <w:right w:val="single" w:sz="4" w:space="0" w:color="000000"/>
            </w:tcBorders>
            <w:vAlign w:val="bottom"/>
          </w:tcPr>
          <w:p w14:paraId="696DF11E"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6 (4%)</w:t>
            </w:r>
          </w:p>
        </w:tc>
        <w:tc>
          <w:tcPr>
            <w:tcW w:w="975" w:type="dxa"/>
            <w:tcBorders>
              <w:top w:val="single" w:sz="4" w:space="0" w:color="CCCCCC"/>
              <w:left w:val="single" w:sz="4" w:space="0" w:color="CCCCCC"/>
              <w:bottom w:val="single" w:sz="4" w:space="0" w:color="000000"/>
              <w:right w:val="single" w:sz="4" w:space="0" w:color="000000"/>
            </w:tcBorders>
            <w:vAlign w:val="bottom"/>
          </w:tcPr>
          <w:p w14:paraId="39C7F433"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23 (15%)</w:t>
            </w:r>
          </w:p>
        </w:tc>
        <w:tc>
          <w:tcPr>
            <w:tcW w:w="1110" w:type="dxa"/>
            <w:tcBorders>
              <w:top w:val="single" w:sz="4" w:space="0" w:color="CCCCCC"/>
              <w:left w:val="single" w:sz="4" w:space="0" w:color="CCCCCC"/>
              <w:bottom w:val="single" w:sz="4" w:space="0" w:color="000000"/>
              <w:right w:val="single" w:sz="4" w:space="0" w:color="000000"/>
            </w:tcBorders>
            <w:vAlign w:val="bottom"/>
          </w:tcPr>
          <w:p w14:paraId="46F01C5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11 (12%)</w:t>
            </w:r>
          </w:p>
        </w:tc>
        <w:tc>
          <w:tcPr>
            <w:tcW w:w="1230" w:type="dxa"/>
            <w:tcBorders>
              <w:top w:val="single" w:sz="4" w:space="0" w:color="CCCCCC"/>
              <w:left w:val="single" w:sz="4" w:space="0" w:color="CCCCCC"/>
              <w:bottom w:val="single" w:sz="4" w:space="0" w:color="000000"/>
              <w:right w:val="single" w:sz="4" w:space="0" w:color="000000"/>
            </w:tcBorders>
            <w:vAlign w:val="bottom"/>
          </w:tcPr>
          <w:p w14:paraId="047D4C2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 (5%)</w:t>
            </w:r>
          </w:p>
        </w:tc>
        <w:tc>
          <w:tcPr>
            <w:tcW w:w="1240" w:type="dxa"/>
            <w:tcBorders>
              <w:top w:val="single" w:sz="4" w:space="0" w:color="CCCCCC"/>
              <w:left w:val="single" w:sz="4" w:space="0" w:color="CCCCCC"/>
              <w:bottom w:val="single" w:sz="4" w:space="0" w:color="000000"/>
              <w:right w:val="single" w:sz="4" w:space="0" w:color="000000"/>
            </w:tcBorders>
            <w:vAlign w:val="bottom"/>
          </w:tcPr>
          <w:p w14:paraId="55DFD76D"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(8%)</w:t>
            </w:r>
          </w:p>
        </w:tc>
      </w:tr>
      <w:tr w:rsidR="007764DE" w:rsidRPr="003B1CD1" w14:paraId="118E3AE9"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60B0E1EB"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April</w:t>
            </w:r>
          </w:p>
        </w:tc>
        <w:tc>
          <w:tcPr>
            <w:tcW w:w="1000" w:type="dxa"/>
            <w:tcBorders>
              <w:top w:val="single" w:sz="4" w:space="0" w:color="CCCCCC"/>
              <w:left w:val="single" w:sz="4" w:space="0" w:color="CCCCCC"/>
              <w:bottom w:val="single" w:sz="4" w:space="0" w:color="000000"/>
              <w:right w:val="single" w:sz="4" w:space="0" w:color="000000"/>
            </w:tcBorders>
            <w:vAlign w:val="bottom"/>
          </w:tcPr>
          <w:p w14:paraId="7CD7E582"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(5%)</w:t>
            </w:r>
          </w:p>
        </w:tc>
        <w:tc>
          <w:tcPr>
            <w:tcW w:w="875" w:type="dxa"/>
            <w:tcBorders>
              <w:top w:val="single" w:sz="4" w:space="0" w:color="CCCCCC"/>
              <w:left w:val="single" w:sz="4" w:space="0" w:color="CCCCCC"/>
              <w:bottom w:val="single" w:sz="4" w:space="0" w:color="000000"/>
              <w:right w:val="single" w:sz="4" w:space="0" w:color="000000"/>
            </w:tcBorders>
            <w:vAlign w:val="bottom"/>
          </w:tcPr>
          <w:p w14:paraId="018CB713"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23 (8%)</w:t>
            </w:r>
          </w:p>
        </w:tc>
        <w:tc>
          <w:tcPr>
            <w:tcW w:w="915" w:type="dxa"/>
            <w:tcBorders>
              <w:top w:val="single" w:sz="4" w:space="0" w:color="CCCCCC"/>
              <w:left w:val="single" w:sz="4" w:space="0" w:color="CCCCCC"/>
              <w:bottom w:val="single" w:sz="4" w:space="0" w:color="000000"/>
              <w:right w:val="single" w:sz="4" w:space="0" w:color="000000"/>
            </w:tcBorders>
            <w:vAlign w:val="bottom"/>
          </w:tcPr>
          <w:p w14:paraId="0E57F75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13 (5%)</w:t>
            </w:r>
          </w:p>
        </w:tc>
        <w:tc>
          <w:tcPr>
            <w:tcW w:w="945" w:type="dxa"/>
            <w:tcBorders>
              <w:top w:val="single" w:sz="4" w:space="0" w:color="CCCCCC"/>
              <w:left w:val="single" w:sz="4" w:space="0" w:color="CCCCCC"/>
              <w:bottom w:val="single" w:sz="4" w:space="0" w:color="000000"/>
              <w:right w:val="single" w:sz="4" w:space="0" w:color="000000"/>
            </w:tcBorders>
            <w:vAlign w:val="bottom"/>
          </w:tcPr>
          <w:p w14:paraId="5FB8C196"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(4%)</w:t>
            </w:r>
          </w:p>
        </w:tc>
        <w:tc>
          <w:tcPr>
            <w:tcW w:w="975" w:type="dxa"/>
            <w:tcBorders>
              <w:top w:val="single" w:sz="4" w:space="0" w:color="CCCCCC"/>
              <w:left w:val="single" w:sz="4" w:space="0" w:color="CCCCCC"/>
              <w:bottom w:val="single" w:sz="4" w:space="0" w:color="000000"/>
              <w:right w:val="single" w:sz="4" w:space="0" w:color="000000"/>
            </w:tcBorders>
            <w:vAlign w:val="bottom"/>
          </w:tcPr>
          <w:p w14:paraId="4DE77BEF"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7 (5%)</w:t>
            </w:r>
          </w:p>
        </w:tc>
        <w:tc>
          <w:tcPr>
            <w:tcW w:w="1110" w:type="dxa"/>
            <w:tcBorders>
              <w:top w:val="single" w:sz="4" w:space="0" w:color="CCCCCC"/>
              <w:left w:val="single" w:sz="4" w:space="0" w:color="CCCCCC"/>
              <w:bottom w:val="single" w:sz="4" w:space="0" w:color="000000"/>
              <w:right w:val="single" w:sz="4" w:space="0" w:color="000000"/>
            </w:tcBorders>
            <w:vAlign w:val="bottom"/>
          </w:tcPr>
          <w:p w14:paraId="448A594A"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(5%)</w:t>
            </w:r>
          </w:p>
        </w:tc>
        <w:tc>
          <w:tcPr>
            <w:tcW w:w="1230" w:type="dxa"/>
            <w:tcBorders>
              <w:top w:val="single" w:sz="4" w:space="0" w:color="CCCCCC"/>
              <w:left w:val="single" w:sz="4" w:space="0" w:color="CCCCCC"/>
              <w:bottom w:val="single" w:sz="4" w:space="0" w:color="000000"/>
              <w:right w:val="single" w:sz="4" w:space="0" w:color="000000"/>
            </w:tcBorders>
            <w:vAlign w:val="bottom"/>
          </w:tcPr>
          <w:p w14:paraId="0A904114"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(8%)</w:t>
            </w:r>
          </w:p>
        </w:tc>
        <w:tc>
          <w:tcPr>
            <w:tcW w:w="1240" w:type="dxa"/>
            <w:tcBorders>
              <w:top w:val="single" w:sz="4" w:space="0" w:color="CCCCCC"/>
              <w:left w:val="single" w:sz="4" w:space="0" w:color="CCCCCC"/>
              <w:bottom w:val="single" w:sz="4" w:space="0" w:color="000000"/>
              <w:right w:val="single" w:sz="4" w:space="0" w:color="000000"/>
            </w:tcBorders>
            <w:vAlign w:val="bottom"/>
          </w:tcPr>
          <w:p w14:paraId="5B1D63E5"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 (6%)</w:t>
            </w:r>
          </w:p>
        </w:tc>
      </w:tr>
      <w:tr w:rsidR="007764DE" w:rsidRPr="003B1CD1" w14:paraId="05FA8911"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1876B3A5" w14:textId="77777777" w:rsidR="007764DE" w:rsidRPr="003B1CD1" w:rsidRDefault="00185224" w:rsidP="007745BB">
            <w:pPr>
              <w:widowControl w:val="0"/>
              <w:spacing w:line="276" w:lineRule="auto"/>
              <w:ind w:right="0" w:firstLine="0"/>
              <w:rPr>
                <w:rFonts w:ascii="Arial" w:eastAsia="Arial" w:hAnsi="Arial" w:cs="Arial"/>
                <w:sz w:val="20"/>
              </w:rPr>
            </w:pPr>
            <w:r w:rsidRPr="003B1CD1">
              <w:rPr>
                <w:sz w:val="20"/>
              </w:rPr>
              <w:t>May</w:t>
            </w:r>
          </w:p>
        </w:tc>
        <w:tc>
          <w:tcPr>
            <w:tcW w:w="1000" w:type="dxa"/>
            <w:tcBorders>
              <w:top w:val="single" w:sz="4" w:space="0" w:color="CCCCCC"/>
              <w:left w:val="single" w:sz="4" w:space="0" w:color="CCCCCC"/>
              <w:bottom w:val="single" w:sz="4" w:space="0" w:color="000000"/>
              <w:right w:val="single" w:sz="4" w:space="0" w:color="000000"/>
            </w:tcBorders>
            <w:vAlign w:val="bottom"/>
          </w:tcPr>
          <w:p w14:paraId="1CD680D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12 (7%)</w:t>
            </w:r>
          </w:p>
        </w:tc>
        <w:tc>
          <w:tcPr>
            <w:tcW w:w="875" w:type="dxa"/>
            <w:tcBorders>
              <w:top w:val="single" w:sz="4" w:space="0" w:color="CCCCCC"/>
              <w:left w:val="single" w:sz="4" w:space="0" w:color="CCCCCC"/>
              <w:bottom w:val="single" w:sz="4" w:space="0" w:color="000000"/>
              <w:right w:val="single" w:sz="4" w:space="0" w:color="000000"/>
            </w:tcBorders>
            <w:vAlign w:val="bottom"/>
          </w:tcPr>
          <w:p w14:paraId="6C1A2913"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24 (9%)</w:t>
            </w:r>
          </w:p>
        </w:tc>
        <w:tc>
          <w:tcPr>
            <w:tcW w:w="915" w:type="dxa"/>
            <w:tcBorders>
              <w:top w:val="single" w:sz="4" w:space="0" w:color="CCCCCC"/>
              <w:left w:val="single" w:sz="4" w:space="0" w:color="CCCCCC"/>
              <w:bottom w:val="single" w:sz="4" w:space="0" w:color="000000"/>
              <w:right w:val="single" w:sz="4" w:space="0" w:color="000000"/>
            </w:tcBorders>
            <w:vAlign w:val="bottom"/>
          </w:tcPr>
          <w:p w14:paraId="42A69DB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14 (5%)</w:t>
            </w:r>
          </w:p>
        </w:tc>
        <w:tc>
          <w:tcPr>
            <w:tcW w:w="945" w:type="dxa"/>
            <w:tcBorders>
              <w:top w:val="single" w:sz="4" w:space="0" w:color="CCCCCC"/>
              <w:left w:val="single" w:sz="4" w:space="0" w:color="CCCCCC"/>
              <w:bottom w:val="single" w:sz="4" w:space="0" w:color="000000"/>
              <w:right w:val="single" w:sz="4" w:space="0" w:color="000000"/>
            </w:tcBorders>
            <w:vAlign w:val="bottom"/>
          </w:tcPr>
          <w:p w14:paraId="0CFE1B6D"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13 (9%)</w:t>
            </w:r>
          </w:p>
        </w:tc>
        <w:tc>
          <w:tcPr>
            <w:tcW w:w="975" w:type="dxa"/>
            <w:tcBorders>
              <w:top w:val="single" w:sz="4" w:space="0" w:color="CCCCCC"/>
              <w:left w:val="single" w:sz="4" w:space="0" w:color="CCCCCC"/>
              <w:bottom w:val="single" w:sz="4" w:space="0" w:color="000000"/>
              <w:right w:val="single" w:sz="4" w:space="0" w:color="000000"/>
            </w:tcBorders>
            <w:vAlign w:val="bottom"/>
          </w:tcPr>
          <w:p w14:paraId="0B6EEE2E"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4 (3%)</w:t>
            </w:r>
          </w:p>
        </w:tc>
        <w:tc>
          <w:tcPr>
            <w:tcW w:w="1110" w:type="dxa"/>
            <w:tcBorders>
              <w:top w:val="single" w:sz="4" w:space="0" w:color="CCCCCC"/>
              <w:left w:val="single" w:sz="4" w:space="0" w:color="CCCCCC"/>
              <w:bottom w:val="single" w:sz="4" w:space="0" w:color="000000"/>
              <w:right w:val="single" w:sz="4" w:space="0" w:color="000000"/>
            </w:tcBorders>
            <w:vAlign w:val="bottom"/>
          </w:tcPr>
          <w:p w14:paraId="39B41C6C"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8 (9%)</w:t>
            </w:r>
          </w:p>
        </w:tc>
        <w:tc>
          <w:tcPr>
            <w:tcW w:w="1230" w:type="dxa"/>
            <w:tcBorders>
              <w:top w:val="single" w:sz="4" w:space="0" w:color="CCCCCC"/>
              <w:left w:val="single" w:sz="4" w:space="0" w:color="CCCCCC"/>
              <w:bottom w:val="single" w:sz="4" w:space="0" w:color="000000"/>
              <w:right w:val="single" w:sz="4" w:space="0" w:color="000000"/>
            </w:tcBorders>
            <w:vAlign w:val="bottom"/>
          </w:tcPr>
          <w:p w14:paraId="4DB3408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5 (8%)</w:t>
            </w:r>
          </w:p>
        </w:tc>
        <w:tc>
          <w:tcPr>
            <w:tcW w:w="1240" w:type="dxa"/>
            <w:tcBorders>
              <w:top w:val="single" w:sz="4" w:space="0" w:color="CCCCCC"/>
              <w:left w:val="single" w:sz="4" w:space="0" w:color="CCCCCC"/>
              <w:bottom w:val="single" w:sz="4" w:space="0" w:color="000000"/>
              <w:right w:val="single" w:sz="4" w:space="0" w:color="000000"/>
            </w:tcBorders>
            <w:vAlign w:val="bottom"/>
          </w:tcPr>
          <w:p w14:paraId="70BFB7C9" w14:textId="77777777" w:rsidR="007764DE" w:rsidRPr="003B1CD1" w:rsidRDefault="00185224" w:rsidP="007745BB">
            <w:pPr>
              <w:widowControl w:val="0"/>
              <w:spacing w:line="276" w:lineRule="auto"/>
              <w:ind w:right="0" w:firstLine="0"/>
              <w:jc w:val="right"/>
              <w:rPr>
                <w:rFonts w:ascii="Arial" w:eastAsia="Arial" w:hAnsi="Arial" w:cs="Arial"/>
                <w:sz w:val="20"/>
              </w:rPr>
            </w:pPr>
            <w:r w:rsidRPr="003B1CD1">
              <w:rPr>
                <w:sz w:val="20"/>
              </w:rPr>
              <w:t>3 (6%)</w:t>
            </w:r>
          </w:p>
        </w:tc>
      </w:tr>
      <w:tr w:rsidR="007764DE" w:rsidRPr="003B1CD1" w14:paraId="5F5D816B"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77690C24" w14:textId="77777777" w:rsidR="007764DE" w:rsidRPr="003B1CD1" w:rsidRDefault="00185224">
            <w:pPr>
              <w:widowControl w:val="0"/>
              <w:spacing w:line="276" w:lineRule="auto"/>
              <w:ind w:right="0" w:firstLine="0"/>
              <w:rPr>
                <w:rFonts w:ascii="Arial" w:eastAsia="Arial" w:hAnsi="Arial" w:cs="Arial"/>
                <w:sz w:val="20"/>
              </w:rPr>
            </w:pPr>
            <w:r w:rsidRPr="003B1CD1">
              <w:rPr>
                <w:sz w:val="20"/>
              </w:rPr>
              <w:t>June</w:t>
            </w:r>
          </w:p>
        </w:tc>
        <w:tc>
          <w:tcPr>
            <w:tcW w:w="1000" w:type="dxa"/>
            <w:tcBorders>
              <w:top w:val="single" w:sz="4" w:space="0" w:color="CCCCCC"/>
              <w:left w:val="single" w:sz="4" w:space="0" w:color="CCCCCC"/>
              <w:bottom w:val="single" w:sz="4" w:space="0" w:color="000000"/>
              <w:right w:val="single" w:sz="4" w:space="0" w:color="000000"/>
            </w:tcBorders>
            <w:vAlign w:val="bottom"/>
          </w:tcPr>
          <w:p w14:paraId="1403BF69"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11 (7%)</w:t>
            </w:r>
          </w:p>
        </w:tc>
        <w:tc>
          <w:tcPr>
            <w:tcW w:w="875" w:type="dxa"/>
            <w:tcBorders>
              <w:top w:val="single" w:sz="4" w:space="0" w:color="CCCCCC"/>
              <w:left w:val="single" w:sz="4" w:space="0" w:color="CCCCCC"/>
              <w:bottom w:val="single" w:sz="4" w:space="0" w:color="000000"/>
              <w:right w:val="single" w:sz="4" w:space="0" w:color="000000"/>
            </w:tcBorders>
            <w:vAlign w:val="bottom"/>
          </w:tcPr>
          <w:p w14:paraId="6ED2DC35"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11 (4%)</w:t>
            </w:r>
          </w:p>
        </w:tc>
        <w:tc>
          <w:tcPr>
            <w:tcW w:w="915" w:type="dxa"/>
            <w:tcBorders>
              <w:top w:val="single" w:sz="4" w:space="0" w:color="CCCCCC"/>
              <w:left w:val="single" w:sz="4" w:space="0" w:color="CCCCCC"/>
              <w:bottom w:val="single" w:sz="4" w:space="0" w:color="000000"/>
              <w:right w:val="single" w:sz="4" w:space="0" w:color="000000"/>
            </w:tcBorders>
            <w:vAlign w:val="bottom"/>
          </w:tcPr>
          <w:p w14:paraId="2A56DEE2"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7 (3%)</w:t>
            </w:r>
          </w:p>
        </w:tc>
        <w:tc>
          <w:tcPr>
            <w:tcW w:w="945" w:type="dxa"/>
            <w:tcBorders>
              <w:top w:val="single" w:sz="4" w:space="0" w:color="CCCCCC"/>
              <w:left w:val="single" w:sz="4" w:space="0" w:color="CCCCCC"/>
              <w:bottom w:val="single" w:sz="4" w:space="0" w:color="000000"/>
              <w:right w:val="single" w:sz="4" w:space="0" w:color="000000"/>
            </w:tcBorders>
            <w:vAlign w:val="bottom"/>
          </w:tcPr>
          <w:p w14:paraId="61B140DE"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9 (6%)</w:t>
            </w:r>
          </w:p>
        </w:tc>
        <w:tc>
          <w:tcPr>
            <w:tcW w:w="975" w:type="dxa"/>
            <w:tcBorders>
              <w:top w:val="single" w:sz="4" w:space="0" w:color="CCCCCC"/>
              <w:left w:val="single" w:sz="4" w:space="0" w:color="CCCCCC"/>
              <w:bottom w:val="single" w:sz="4" w:space="0" w:color="000000"/>
              <w:right w:val="single" w:sz="4" w:space="0" w:color="000000"/>
            </w:tcBorders>
            <w:vAlign w:val="bottom"/>
          </w:tcPr>
          <w:p w14:paraId="68126A66"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7 (5%)</w:t>
            </w:r>
          </w:p>
        </w:tc>
        <w:tc>
          <w:tcPr>
            <w:tcW w:w="1110" w:type="dxa"/>
            <w:tcBorders>
              <w:top w:val="single" w:sz="4" w:space="0" w:color="CCCCCC"/>
              <w:left w:val="single" w:sz="4" w:space="0" w:color="CCCCCC"/>
              <w:bottom w:val="single" w:sz="4" w:space="0" w:color="000000"/>
              <w:right w:val="single" w:sz="4" w:space="0" w:color="000000"/>
            </w:tcBorders>
            <w:vAlign w:val="bottom"/>
          </w:tcPr>
          <w:p w14:paraId="2588BE85"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5 (5%)</w:t>
            </w:r>
          </w:p>
        </w:tc>
        <w:tc>
          <w:tcPr>
            <w:tcW w:w="1230" w:type="dxa"/>
            <w:tcBorders>
              <w:top w:val="single" w:sz="4" w:space="0" w:color="CCCCCC"/>
              <w:left w:val="single" w:sz="4" w:space="0" w:color="CCCCCC"/>
              <w:bottom w:val="single" w:sz="4" w:space="0" w:color="000000"/>
              <w:right w:val="single" w:sz="4" w:space="0" w:color="000000"/>
            </w:tcBorders>
            <w:vAlign w:val="bottom"/>
          </w:tcPr>
          <w:p w14:paraId="0A01CAA3"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3 (5%)</w:t>
            </w:r>
          </w:p>
        </w:tc>
        <w:tc>
          <w:tcPr>
            <w:tcW w:w="1240" w:type="dxa"/>
            <w:tcBorders>
              <w:top w:val="single" w:sz="4" w:space="0" w:color="CCCCCC"/>
              <w:left w:val="single" w:sz="4" w:space="0" w:color="CCCCCC"/>
              <w:bottom w:val="single" w:sz="4" w:space="0" w:color="000000"/>
              <w:right w:val="single" w:sz="4" w:space="0" w:color="000000"/>
            </w:tcBorders>
            <w:vAlign w:val="bottom"/>
          </w:tcPr>
          <w:p w14:paraId="01C78C49"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2 (4%)</w:t>
            </w:r>
          </w:p>
        </w:tc>
      </w:tr>
      <w:tr w:rsidR="007764DE" w:rsidRPr="003B1CD1" w14:paraId="6B814961" w14:textId="77777777" w:rsidTr="00163D4C">
        <w:trPr>
          <w:trHeight w:val="315"/>
        </w:trPr>
        <w:tc>
          <w:tcPr>
            <w:tcW w:w="1065" w:type="dxa"/>
            <w:tcBorders>
              <w:top w:val="single" w:sz="4" w:space="0" w:color="CCCCCC"/>
              <w:left w:val="single" w:sz="4" w:space="0" w:color="000000"/>
              <w:bottom w:val="single" w:sz="4" w:space="0" w:color="000000"/>
              <w:right w:val="single" w:sz="4" w:space="0" w:color="000000"/>
            </w:tcBorders>
            <w:vAlign w:val="bottom"/>
          </w:tcPr>
          <w:p w14:paraId="213AC8DB" w14:textId="77777777" w:rsidR="007764DE" w:rsidRPr="003B1CD1" w:rsidRDefault="00185224">
            <w:pPr>
              <w:widowControl w:val="0"/>
              <w:spacing w:line="276" w:lineRule="auto"/>
              <w:ind w:right="0" w:firstLine="0"/>
              <w:rPr>
                <w:rFonts w:ascii="Arial" w:eastAsia="Arial" w:hAnsi="Arial" w:cs="Arial"/>
                <w:sz w:val="20"/>
              </w:rPr>
            </w:pPr>
            <w:r w:rsidRPr="003B1CD1">
              <w:rPr>
                <w:sz w:val="20"/>
              </w:rPr>
              <w:t>Total</w:t>
            </w:r>
          </w:p>
        </w:tc>
        <w:tc>
          <w:tcPr>
            <w:tcW w:w="1000" w:type="dxa"/>
            <w:tcBorders>
              <w:top w:val="single" w:sz="4" w:space="0" w:color="CCCCCC"/>
              <w:left w:val="single" w:sz="4" w:space="0" w:color="CCCCCC"/>
              <w:bottom w:val="single" w:sz="4" w:space="0" w:color="000000"/>
              <w:right w:val="single" w:sz="4" w:space="0" w:color="000000"/>
            </w:tcBorders>
            <w:vAlign w:val="bottom"/>
          </w:tcPr>
          <w:p w14:paraId="67384203"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169</w:t>
            </w:r>
          </w:p>
        </w:tc>
        <w:tc>
          <w:tcPr>
            <w:tcW w:w="875" w:type="dxa"/>
            <w:tcBorders>
              <w:top w:val="single" w:sz="4" w:space="0" w:color="CCCCCC"/>
              <w:left w:val="single" w:sz="4" w:space="0" w:color="CCCCCC"/>
              <w:bottom w:val="single" w:sz="4" w:space="0" w:color="000000"/>
              <w:right w:val="single" w:sz="4" w:space="0" w:color="000000"/>
            </w:tcBorders>
            <w:vAlign w:val="bottom"/>
          </w:tcPr>
          <w:p w14:paraId="74495FBA"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280</w:t>
            </w:r>
          </w:p>
        </w:tc>
        <w:tc>
          <w:tcPr>
            <w:tcW w:w="915" w:type="dxa"/>
            <w:tcBorders>
              <w:top w:val="single" w:sz="4" w:space="0" w:color="CCCCCC"/>
              <w:left w:val="single" w:sz="4" w:space="0" w:color="CCCCCC"/>
              <w:bottom w:val="single" w:sz="4" w:space="0" w:color="000000"/>
              <w:right w:val="single" w:sz="4" w:space="0" w:color="000000"/>
            </w:tcBorders>
            <w:vAlign w:val="bottom"/>
          </w:tcPr>
          <w:p w14:paraId="3DEA5F54"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268</w:t>
            </w:r>
          </w:p>
        </w:tc>
        <w:tc>
          <w:tcPr>
            <w:tcW w:w="945" w:type="dxa"/>
            <w:tcBorders>
              <w:top w:val="single" w:sz="4" w:space="0" w:color="CCCCCC"/>
              <w:left w:val="single" w:sz="4" w:space="0" w:color="CCCCCC"/>
              <w:bottom w:val="single" w:sz="4" w:space="0" w:color="000000"/>
              <w:right w:val="single" w:sz="4" w:space="0" w:color="000000"/>
            </w:tcBorders>
            <w:vAlign w:val="bottom"/>
          </w:tcPr>
          <w:p w14:paraId="6357DDA0"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142</w:t>
            </w:r>
          </w:p>
        </w:tc>
        <w:tc>
          <w:tcPr>
            <w:tcW w:w="975" w:type="dxa"/>
            <w:tcBorders>
              <w:top w:val="single" w:sz="4" w:space="0" w:color="CCCCCC"/>
              <w:left w:val="single" w:sz="4" w:space="0" w:color="CCCCCC"/>
              <w:bottom w:val="single" w:sz="4" w:space="0" w:color="000000"/>
              <w:right w:val="single" w:sz="4" w:space="0" w:color="000000"/>
            </w:tcBorders>
            <w:vAlign w:val="bottom"/>
          </w:tcPr>
          <w:p w14:paraId="3CDE213C"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152</w:t>
            </w:r>
          </w:p>
        </w:tc>
        <w:tc>
          <w:tcPr>
            <w:tcW w:w="1110" w:type="dxa"/>
            <w:tcBorders>
              <w:top w:val="single" w:sz="4" w:space="0" w:color="CCCCCC"/>
              <w:left w:val="single" w:sz="4" w:space="0" w:color="CCCCCC"/>
              <w:bottom w:val="single" w:sz="4" w:space="0" w:color="000000"/>
              <w:right w:val="single" w:sz="4" w:space="0" w:color="000000"/>
            </w:tcBorders>
            <w:vAlign w:val="bottom"/>
          </w:tcPr>
          <w:p w14:paraId="30ADDA08"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92</w:t>
            </w:r>
          </w:p>
        </w:tc>
        <w:tc>
          <w:tcPr>
            <w:tcW w:w="1230" w:type="dxa"/>
            <w:tcBorders>
              <w:top w:val="single" w:sz="4" w:space="0" w:color="CCCCCC"/>
              <w:left w:val="single" w:sz="4" w:space="0" w:color="CCCCCC"/>
              <w:bottom w:val="single" w:sz="4" w:space="0" w:color="000000"/>
              <w:right w:val="single" w:sz="4" w:space="0" w:color="000000"/>
            </w:tcBorders>
            <w:vAlign w:val="bottom"/>
          </w:tcPr>
          <w:p w14:paraId="18923994"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65</w:t>
            </w:r>
          </w:p>
        </w:tc>
        <w:tc>
          <w:tcPr>
            <w:tcW w:w="1240" w:type="dxa"/>
            <w:tcBorders>
              <w:top w:val="single" w:sz="4" w:space="0" w:color="CCCCCC"/>
              <w:left w:val="single" w:sz="4" w:space="0" w:color="CCCCCC"/>
              <w:bottom w:val="single" w:sz="4" w:space="0" w:color="000000"/>
              <w:right w:val="single" w:sz="4" w:space="0" w:color="000000"/>
            </w:tcBorders>
            <w:vAlign w:val="bottom"/>
          </w:tcPr>
          <w:p w14:paraId="3CB79FFC" w14:textId="77777777" w:rsidR="007764DE" w:rsidRPr="003B1CD1" w:rsidRDefault="00185224">
            <w:pPr>
              <w:widowControl w:val="0"/>
              <w:spacing w:line="276" w:lineRule="auto"/>
              <w:ind w:right="0" w:firstLine="0"/>
              <w:jc w:val="right"/>
              <w:rPr>
                <w:rFonts w:ascii="Arial" w:eastAsia="Arial" w:hAnsi="Arial" w:cs="Arial"/>
                <w:sz w:val="20"/>
              </w:rPr>
            </w:pPr>
            <w:r w:rsidRPr="003B1CD1">
              <w:rPr>
                <w:sz w:val="20"/>
              </w:rPr>
              <w:t>50</w:t>
            </w:r>
          </w:p>
        </w:tc>
      </w:tr>
    </w:tbl>
    <w:p w14:paraId="59E90F57" w14:textId="726480AD" w:rsidR="007764DE" w:rsidRPr="003B1CD1" w:rsidRDefault="00185224" w:rsidP="00780F6A">
      <w:pPr>
        <w:spacing w:line="360" w:lineRule="auto"/>
        <w:ind w:right="0" w:firstLine="0"/>
      </w:pPr>
      <w:r w:rsidRPr="003B1CD1">
        <w:t>* Data represent Year 1 of the research program</w:t>
      </w:r>
      <w:r>
        <w:t>,</w:t>
      </w:r>
      <w:r w:rsidRPr="003B1CD1">
        <w:t xml:space="preserve"> </w:t>
      </w:r>
      <w:r>
        <w:t>which</w:t>
      </w:r>
      <w:r w:rsidRPr="003B1CD1">
        <w:t xml:space="preserve"> was the year an </w:t>
      </w:r>
      <w:r>
        <w:t>e</w:t>
      </w:r>
      <w:r w:rsidRPr="003B1CD1">
        <w:t xml:space="preserve">pizootic </w:t>
      </w:r>
      <w:r>
        <w:t>h</w:t>
      </w:r>
      <w:r w:rsidRPr="003B1CD1">
        <w:t xml:space="preserve">emorrhagic </w:t>
      </w:r>
      <w:r>
        <w:t>d</w:t>
      </w:r>
      <w:r w:rsidRPr="003B1CD1">
        <w:t>isease outbreak occurred.</w:t>
      </w:r>
    </w:p>
    <w:p w14:paraId="5CFE553F" w14:textId="762E29D3" w:rsidR="007764DE" w:rsidRDefault="00185224" w:rsidP="00780F6A">
      <w:pPr>
        <w:spacing w:line="360" w:lineRule="auto"/>
        <w:ind w:right="0" w:firstLine="0"/>
      </w:pPr>
      <w:r w:rsidRPr="003B1CD1">
        <w:t>**Data represent Year 2 of the research program.</w:t>
      </w:r>
    </w:p>
    <w:p w14:paraId="793DE08B" w14:textId="77777777" w:rsidR="00780F6A" w:rsidRDefault="00780F6A">
      <w:pPr>
        <w:ind w:right="0" w:firstLine="0"/>
      </w:pPr>
    </w:p>
    <w:p w14:paraId="502A584B" w14:textId="42E735F7" w:rsidR="00780F6A" w:rsidRDefault="00780F6A">
      <w:pPr>
        <w:ind w:right="0" w:firstLine="0"/>
      </w:pPr>
      <w:r>
        <w:t>References</w:t>
      </w:r>
    </w:p>
    <w:p w14:paraId="53495856" w14:textId="11624E32" w:rsidR="00780F6A" w:rsidRPr="00F720C6" w:rsidRDefault="00780F6A" w:rsidP="00780F6A">
      <w:pPr>
        <w:pStyle w:val="ListParagraph"/>
        <w:numPr>
          <w:ilvl w:val="0"/>
          <w:numId w:val="4"/>
        </w:numPr>
        <w:ind w:right="0"/>
      </w:pPr>
      <w:r w:rsidRPr="00F720C6">
        <w:t>New York City Department of Parks and Recreation (NYCDPR). Managing deer impacts on Staten Island; 2024. https://storymaps.arcgis.com/stories/e3a5f6d544594690a313693d1e88d9ef Accessed 12 Sep 2024</w:t>
      </w:r>
    </w:p>
    <w:p w14:paraId="46C97E49" w14:textId="77777777" w:rsidR="00780F6A" w:rsidRPr="003B1CD1" w:rsidRDefault="00780F6A">
      <w:pPr>
        <w:ind w:right="0" w:firstLine="0"/>
      </w:pPr>
    </w:p>
    <w:sectPr w:rsidR="00780F6A" w:rsidRPr="003B1CD1">
      <w:headerReference w:type="default" r:id="rId7"/>
      <w:footerReference w:type="default" r:id="rId8"/>
      <w:headerReference w:type="first" r:id="rId9"/>
      <w:footerReference w:type="first" r:id="rId10"/>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D561D" w14:textId="77777777" w:rsidR="00562B08" w:rsidRDefault="00562B08">
      <w:pPr>
        <w:spacing w:line="240" w:lineRule="auto"/>
      </w:pPr>
      <w:r>
        <w:separator/>
      </w:r>
    </w:p>
  </w:endnote>
  <w:endnote w:type="continuationSeparator" w:id="0">
    <w:p w14:paraId="2009CEC4" w14:textId="77777777" w:rsidR="00562B08" w:rsidRDefault="00562B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B2E1" w14:textId="77777777" w:rsidR="007764DE" w:rsidRDefault="007764DE">
    <w:pPr>
      <w:pBdr>
        <w:top w:val="nil"/>
        <w:left w:val="nil"/>
        <w:bottom w:val="nil"/>
        <w:right w:val="nil"/>
      </w:pBdr>
      <w:tabs>
        <w:tab w:val="center" w:pos="4819"/>
        <w:tab w:val="right" w:pos="9638"/>
      </w:tabs>
      <w:spacing w:line="240" w:lineRule="auto"/>
      <w:ind w:firstLine="0"/>
      <w:jc w:val="center"/>
      <w:rPr>
        <w:rFonts w:ascii="Calibri" w:eastAsia="Calibri" w:hAnsi="Calibri" w:cs="Calibri"/>
        <w:color w:val="000000"/>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D5BB" w14:textId="77777777" w:rsidR="007764DE" w:rsidRDefault="00776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A51A" w14:textId="77777777" w:rsidR="00562B08" w:rsidRDefault="00562B08">
      <w:pPr>
        <w:spacing w:line="240" w:lineRule="auto"/>
      </w:pPr>
      <w:r>
        <w:separator/>
      </w:r>
    </w:p>
  </w:footnote>
  <w:footnote w:type="continuationSeparator" w:id="0">
    <w:p w14:paraId="564B58EE" w14:textId="77777777" w:rsidR="00562B08" w:rsidRDefault="00562B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657F" w14:textId="77777777" w:rsidR="007764DE" w:rsidRDefault="007764DE">
    <w:pPr>
      <w:spacing w:line="276" w:lineRule="auto"/>
      <w:ind w:right="0" w:firstLine="0"/>
      <w:rPr>
        <w: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79DF" w14:textId="77777777" w:rsidR="007764DE" w:rsidRDefault="00776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20481"/>
    <w:multiLevelType w:val="hybridMultilevel"/>
    <w:tmpl w:val="213C5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D63628"/>
    <w:multiLevelType w:val="multilevel"/>
    <w:tmpl w:val="D08AF4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6B2716C3"/>
    <w:multiLevelType w:val="multilevel"/>
    <w:tmpl w:val="B6823A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33C2625"/>
    <w:multiLevelType w:val="multilevel"/>
    <w:tmpl w:val="30AEF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301934121">
    <w:abstractNumId w:val="1"/>
  </w:num>
  <w:num w:numId="2" w16cid:durableId="1987782857">
    <w:abstractNumId w:val="2"/>
  </w:num>
  <w:num w:numId="3" w16cid:durableId="22217331">
    <w:abstractNumId w:val="3"/>
  </w:num>
  <w:num w:numId="4" w16cid:durableId="1627421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4DE"/>
    <w:rsid w:val="000806BF"/>
    <w:rsid w:val="000A5948"/>
    <w:rsid w:val="000E7D8C"/>
    <w:rsid w:val="00143EF8"/>
    <w:rsid w:val="00163D4C"/>
    <w:rsid w:val="00185224"/>
    <w:rsid w:val="00396A20"/>
    <w:rsid w:val="003B1CD1"/>
    <w:rsid w:val="00426093"/>
    <w:rsid w:val="004C67A6"/>
    <w:rsid w:val="005069AA"/>
    <w:rsid w:val="00562B08"/>
    <w:rsid w:val="005D2B56"/>
    <w:rsid w:val="006A1726"/>
    <w:rsid w:val="007745BB"/>
    <w:rsid w:val="007764DE"/>
    <w:rsid w:val="00780F6A"/>
    <w:rsid w:val="008211AE"/>
    <w:rsid w:val="00907A7F"/>
    <w:rsid w:val="0092169D"/>
    <w:rsid w:val="00961BC5"/>
    <w:rsid w:val="00987B23"/>
    <w:rsid w:val="00A607E4"/>
    <w:rsid w:val="00AE5706"/>
    <w:rsid w:val="00C11E98"/>
    <w:rsid w:val="00DA4E01"/>
    <w:rsid w:val="00DE62DD"/>
    <w:rsid w:val="00E777FC"/>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42352"/>
  <w15:docId w15:val="{59515707-E2D3-4563-9A4F-826B8354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480" w:lineRule="auto"/>
        <w:ind w:right="-720" w:firstLine="720"/>
      </w:pPr>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paragraph" w:styleId="Heading1">
    <w:name w:val="heading 1"/>
    <w:basedOn w:val="Normal"/>
    <w:qFormat/>
    <w:pPr>
      <w:keepNext/>
      <w:keepLines/>
      <w:ind w:firstLine="0"/>
      <w:outlineLvl w:val="0"/>
    </w:pPr>
    <w:rPr>
      <w:b/>
    </w:rPr>
  </w:style>
  <w:style w:type="paragraph" w:styleId="Heading2">
    <w:name w:val="heading 2"/>
    <w:basedOn w:val="Normal"/>
    <w:qFormat/>
    <w:pPr>
      <w:keepNext/>
      <w:keepLines/>
      <w:spacing w:line="360" w:lineRule="auto"/>
      <w:outlineLvl w:val="1"/>
    </w:pPr>
    <w:rPr>
      <w:b/>
    </w:rPr>
  </w:style>
  <w:style w:type="paragraph" w:styleId="Heading3">
    <w:name w:val="heading 3"/>
    <w:basedOn w:val="Normal"/>
    <w:qFormat/>
    <w:pPr>
      <w:keepNext/>
      <w:keepLines/>
      <w:outlineLvl w:val="2"/>
    </w:pPr>
    <w:rPr>
      <w:b/>
    </w:rPr>
  </w:style>
  <w:style w:type="paragraph" w:styleId="Heading4">
    <w:name w:val="heading 4"/>
    <w:basedOn w:val="Normal"/>
    <w:pPr>
      <w:keepNext/>
      <w:keepLines/>
      <w:outlineLvl w:val="3"/>
    </w:pPr>
    <w:rPr>
      <w:b/>
    </w:rPr>
  </w:style>
  <w:style w:type="paragraph" w:styleId="Heading5">
    <w:name w:val="heading 5"/>
    <w:basedOn w:val="Normal"/>
    <w:pPr>
      <w:keepNext/>
      <w:keepLines/>
      <w:spacing w:before="220" w:after="40"/>
      <w:outlineLvl w:val="4"/>
    </w:pPr>
    <w:rPr>
      <w:b/>
      <w:sz w:val="22"/>
    </w:rPr>
  </w:style>
  <w:style w:type="paragraph" w:styleId="Heading6">
    <w:name w:val="heading 6"/>
    <w:basedOn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pPr>
      <w:spacing w:line="305" w:lineRule="auto"/>
    </w:pPr>
    <w:rPr>
      <w:rFonts w:ascii="Calibri" w:eastAsia="Calibri" w:hAnsi="Calibri" w:cs="Calibri"/>
      <w:sz w:val="26"/>
    </w:rPr>
  </w:style>
  <w:style w:type="paragraph" w:styleId="TOC2">
    <w:name w:val="toc 2"/>
    <w:basedOn w:val="Normal"/>
    <w:pPr>
      <w:spacing w:line="330" w:lineRule="auto"/>
    </w:pPr>
    <w:rPr>
      <w:rFonts w:ascii="Calibri" w:eastAsia="Calibri" w:hAnsi="Calibri" w:cs="Calibri"/>
    </w:rPr>
  </w:style>
  <w:style w:type="paragraph" w:styleId="TOC3">
    <w:name w:val="toc 3"/>
    <w:basedOn w:val="Normal"/>
    <w:pPr>
      <w:spacing w:line="360" w:lineRule="auto"/>
    </w:pPr>
    <w:rPr>
      <w:rFonts w:ascii="Calibri" w:eastAsia="Calibri" w:hAnsi="Calibri" w:cs="Calibri"/>
      <w:sz w:val="22"/>
    </w:rPr>
  </w:style>
  <w:style w:type="paragraph" w:styleId="TOC4">
    <w:name w:val="toc 4"/>
    <w:basedOn w:val="Normal"/>
    <w:pPr>
      <w:spacing w:line="330" w:lineRule="exact"/>
    </w:pPr>
    <w:rPr>
      <w:rFonts w:ascii="Calibri" w:eastAsia="Calibri" w:hAnsi="Calibri" w:cs="Calibri"/>
    </w:rPr>
  </w:style>
  <w:style w:type="paragraph" w:styleId="TOC5">
    <w:name w:val="toc 5"/>
    <w:basedOn w:val="Normal"/>
    <w:pPr>
      <w:spacing w:line="330" w:lineRule="exact"/>
    </w:pPr>
    <w:rPr>
      <w:rFonts w:ascii="Calibri" w:eastAsia="Calibri" w:hAnsi="Calibri" w:cs="Calibri"/>
    </w:rPr>
  </w:style>
  <w:style w:type="paragraph" w:styleId="TOC6">
    <w:name w:val="toc 6"/>
    <w:basedOn w:val="Normal"/>
    <w:pPr>
      <w:spacing w:line="330" w:lineRule="exact"/>
    </w:pPr>
    <w:rPr>
      <w:rFonts w:ascii="Calibri" w:eastAsia="Calibri" w:hAnsi="Calibri" w:cs="Calibri"/>
    </w:rPr>
  </w:style>
  <w:style w:type="paragraph" w:styleId="TOC7">
    <w:name w:val="toc 7"/>
    <w:basedOn w:val="Normal"/>
    <w:pPr>
      <w:spacing w:line="330" w:lineRule="exact"/>
    </w:pPr>
    <w:rPr>
      <w:rFonts w:ascii="Calibri" w:eastAsia="Calibri" w:hAnsi="Calibri" w:cs="Calibri"/>
    </w:rPr>
  </w:style>
  <w:style w:type="paragraph" w:styleId="TOC8">
    <w:name w:val="toc 8"/>
    <w:basedOn w:val="Normal"/>
    <w:pPr>
      <w:spacing w:line="330" w:lineRule="exact"/>
    </w:pPr>
    <w:rPr>
      <w:rFonts w:ascii="Calibri" w:eastAsia="Calibri" w:hAnsi="Calibri" w:cs="Calibri"/>
    </w:rPr>
  </w:style>
  <w:style w:type="paragraph" w:styleId="TOC9">
    <w:name w:val="toc 9"/>
    <w:basedOn w:val="Normal"/>
    <w:pPr>
      <w:spacing w:line="330" w:lineRule="exact"/>
    </w:pPr>
    <w:rPr>
      <w:rFonts w:ascii="Calibri" w:eastAsia="Calibri" w:hAnsi="Calibri" w:cs="Calibri"/>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styleId="CommentReference">
    <w:name w:val="annotation reference"/>
    <w:basedOn w:val="DefaultParagraphFont"/>
    <w:rPr>
      <w:sz w:val="16"/>
    </w:rPr>
  </w:style>
  <w:style w:type="character" w:styleId="EndnoteReference">
    <w:name w:val="endnote reference"/>
    <w:basedOn w:val="DefaultParagraphFont"/>
    <w:rPr>
      <w:vertAlign w:val="superscript"/>
    </w:rPr>
  </w:style>
  <w:style w:type="character" w:styleId="FootnoteReference">
    <w:name w:val="footnote reference"/>
    <w:basedOn w:val="DefaultParagraphFont"/>
    <w:rPr>
      <w:vertAlign w:val="superscript"/>
    </w:rPr>
  </w:style>
  <w:style w:type="paragraph" w:styleId="Title">
    <w:name w:val="Title"/>
    <w:basedOn w:val="Normal"/>
    <w:qFormat/>
    <w:pPr>
      <w:keepNext/>
      <w:keepLines/>
      <w:spacing w:before="480" w:after="120"/>
    </w:pPr>
    <w:rPr>
      <w:b/>
      <w:sz w:val="72"/>
    </w:rPr>
  </w:style>
  <w:style w:type="paragraph" w:styleId="Subtitle">
    <w:name w:val="Subtitle"/>
    <w:basedOn w:val="Normal"/>
    <w:qFormat/>
    <w:pPr>
      <w:keepNext/>
      <w:keepLines/>
      <w:spacing w:before="360" w:after="80"/>
    </w:pPr>
    <w:rPr>
      <w:rFonts w:ascii="Georgia" w:eastAsia="Georgia" w:hAnsi="Georgia" w:cs="Georgia"/>
      <w:i/>
      <w:color w:val="666666"/>
      <w:sz w:val="48"/>
    </w:rPr>
  </w:style>
  <w:style w:type="table" w:customStyle="1" w:styleId="a">
    <w:name w:val="a"/>
    <w:basedOn w:val="TableNormal"/>
    <w:tblPr>
      <w:tblCellMar>
        <w:top w:w="100" w:type="dxa"/>
        <w:left w:w="100" w:type="dxa"/>
        <w:bottom w:w="100" w:type="dxa"/>
        <w:right w:w="100" w:type="dxa"/>
      </w:tblCellMar>
    </w:tblPr>
  </w:style>
  <w:style w:type="table" w:customStyle="1" w:styleId="a0">
    <w:name w:val="a0"/>
    <w:basedOn w:val="TableNormal"/>
    <w:tblPr>
      <w:tblCellMar>
        <w:top w:w="100" w:type="dxa"/>
        <w:left w:w="100" w:type="dxa"/>
        <w:bottom w:w="100" w:type="dxa"/>
        <w:right w:w="100" w:type="dxa"/>
      </w:tblCellMar>
    </w:tblPr>
  </w:style>
  <w:style w:type="table" w:customStyle="1" w:styleId="a1">
    <w:name w:val="a1"/>
    <w:basedOn w:val="TableNormal"/>
    <w:tblPr>
      <w:tblCellMar>
        <w:top w:w="100" w:type="dxa"/>
        <w:left w:w="100" w:type="dxa"/>
        <w:bottom w:w="100" w:type="dxa"/>
        <w:right w:w="100" w:type="dxa"/>
      </w:tblCellMar>
    </w:tblPr>
  </w:style>
  <w:style w:type="table" w:customStyle="1" w:styleId="a2">
    <w:name w:val="a2"/>
    <w:basedOn w:val="TableNormal"/>
    <w:tblPr>
      <w:tblCellMar>
        <w:top w:w="100" w:type="dxa"/>
        <w:left w:w="100" w:type="dxa"/>
        <w:bottom w:w="100" w:type="dxa"/>
        <w:right w:w="100" w:type="dxa"/>
      </w:tblCellMar>
    </w:tblPr>
  </w:style>
  <w:style w:type="table" w:customStyle="1" w:styleId="a3">
    <w:name w:val="a3"/>
    <w:basedOn w:val="TableNormal"/>
    <w:tblPr>
      <w:tblCellMar>
        <w:top w:w="100" w:type="dxa"/>
        <w:left w:w="100" w:type="dxa"/>
        <w:bottom w:w="100" w:type="dxa"/>
        <w:right w:w="100" w:type="dxa"/>
      </w:tblCellMar>
    </w:tblPr>
  </w:style>
  <w:style w:type="table" w:customStyle="1" w:styleId="a4">
    <w:name w:val="a4"/>
    <w:basedOn w:val="TableNormal"/>
    <w:tblPr>
      <w:tblCellMar>
        <w:top w:w="100" w:type="dxa"/>
        <w:left w:w="100" w:type="dxa"/>
        <w:bottom w:w="100" w:type="dxa"/>
        <w:right w:w="100" w:type="dxa"/>
      </w:tblCellMar>
    </w:tblPr>
  </w:style>
  <w:style w:type="table" w:customStyle="1" w:styleId="a5">
    <w:name w:val="a5"/>
    <w:basedOn w:val="TableNormal"/>
    <w:tblPr>
      <w:tblCellMar>
        <w:top w:w="100" w:type="dxa"/>
        <w:left w:w="100" w:type="dxa"/>
        <w:bottom w:w="100" w:type="dxa"/>
        <w:right w:w="100" w:type="dxa"/>
      </w:tblCellMar>
    </w:tblPr>
  </w:style>
  <w:style w:type="table" w:customStyle="1" w:styleId="a6">
    <w:name w:val="a6"/>
    <w:basedOn w:val="TableNormal"/>
    <w:tblPr>
      <w:tblCellMar>
        <w:top w:w="100" w:type="dxa"/>
        <w:left w:w="100" w:type="dxa"/>
        <w:bottom w:w="100" w:type="dxa"/>
        <w:right w:w="100" w:type="dxa"/>
      </w:tblCellMar>
    </w:tblPr>
  </w:style>
  <w:style w:type="paragraph" w:styleId="CommentText">
    <w:name w:val="annotation text"/>
    <w:basedOn w:val="Normal"/>
    <w:pPr>
      <w:ind w:right="0" w:firstLine="0"/>
    </w:pPr>
    <w:rPr>
      <w:rFonts w:ascii="Calibri" w:eastAsia="Calibri" w:hAnsi="Calibri" w:cs="Calibri"/>
      <w:sz w:val="20"/>
    </w:rPr>
  </w:style>
  <w:style w:type="character" w:styleId="LineNumber">
    <w:name w:val="line number"/>
    <w:basedOn w:val="DefaultParagraphFont"/>
  </w:style>
  <w:style w:type="paragraph" w:styleId="Revision">
    <w:name w:val="Revision"/>
    <w:pPr>
      <w:spacing w:line="240" w:lineRule="auto"/>
      <w:ind w:right="0" w:firstLine="0"/>
    </w:pPr>
  </w:style>
  <w:style w:type="paragraph" w:styleId="CommentSubject">
    <w:name w:val="annotation subject"/>
    <w:basedOn w:val="CommentText"/>
    <w:rPr>
      <w:b/>
    </w:rPr>
  </w:style>
  <w:style w:type="paragraph" w:styleId="Header">
    <w:name w:val="header"/>
    <w:basedOn w:val="Normal"/>
    <w:pPr>
      <w:tabs>
        <w:tab w:val="center" w:pos="4680"/>
        <w:tab w:val="right" w:pos="9360"/>
      </w:tabs>
      <w:spacing w:line="240" w:lineRule="auto"/>
    </w:pPr>
  </w:style>
  <w:style w:type="paragraph" w:styleId="Footer">
    <w:name w:val="footer"/>
    <w:basedOn w:val="Normal"/>
    <w:pPr>
      <w:tabs>
        <w:tab w:val="center" w:pos="4680"/>
        <w:tab w:val="right" w:pos="9360"/>
      </w:tabs>
      <w:spacing w:line="240" w:lineRule="auto"/>
    </w:pPr>
  </w:style>
  <w:style w:type="paragraph" w:styleId="NormalIndent">
    <w:name w:val="Normal Indent"/>
    <w:basedOn w:val="Normal"/>
    <w:qFormat/>
    <w:pPr>
      <w:ind w:firstLine="480"/>
    </w:pPr>
    <w:rPr>
      <w:sz w:val="22"/>
    </w:rPr>
  </w:style>
  <w:style w:type="character" w:customStyle="1" w:styleId="Label">
    <w:name w:val="Label"/>
    <w:basedOn w:val="DefaultParagraphFont"/>
    <w:rPr>
      <w:shd w:val="clear" w:color="auto" w:fill="FFC391"/>
      <w:vertAlign w:val="baseline"/>
    </w:rPr>
  </w:style>
  <w:style w:type="paragraph" w:styleId="EndnoteText">
    <w:name w:val="endnote text"/>
    <w:basedOn w:val="Normal"/>
    <w:rPr>
      <w:rFonts w:ascii="Calibri" w:eastAsia="Calibri" w:hAnsi="Calibri" w:cs="Calibri"/>
    </w:rPr>
  </w:style>
  <w:style w:type="paragraph" w:customStyle="1" w:styleId="Keywords">
    <w:name w:val="Keywords"/>
    <w:basedOn w:val="Normal"/>
    <w:pPr>
      <w:spacing w:line="396" w:lineRule="auto"/>
      <w:ind w:left="1000"/>
    </w:pPr>
    <w:rPr>
      <w:rFonts w:ascii="Calibri" w:eastAsia="Calibri" w:hAnsi="Calibri" w:cs="Calibri"/>
      <w:sz w:val="20"/>
    </w:rPr>
  </w:style>
  <w:style w:type="paragraph" w:customStyle="1" w:styleId="List7">
    <w:name w:val="List 7"/>
    <w:basedOn w:val="Normal"/>
    <w:pPr>
      <w:spacing w:line="360" w:lineRule="auto"/>
      <w:ind w:left="1920" w:hanging="400"/>
    </w:pPr>
    <w:rPr>
      <w:rFonts w:ascii="Calibri" w:eastAsia="Calibri" w:hAnsi="Calibri" w:cs="Calibri"/>
      <w:sz w:val="22"/>
    </w:rPr>
  </w:style>
  <w:style w:type="paragraph" w:customStyle="1" w:styleId="Reference">
    <w:name w:val="Reference"/>
    <w:basedOn w:val="Normal"/>
    <w:pPr>
      <w:spacing w:after="320" w:line="360" w:lineRule="auto"/>
      <w:ind w:left="400" w:hanging="400"/>
      <w:jc w:val="both"/>
    </w:pPr>
    <w:rPr>
      <w:rFonts w:ascii="Calibri" w:eastAsia="Calibri" w:hAnsi="Calibri" w:cs="Calibri"/>
      <w:sz w:val="22"/>
    </w:rPr>
  </w:style>
  <w:style w:type="paragraph" w:styleId="List2">
    <w:name w:val="List 2"/>
    <w:basedOn w:val="Normal"/>
    <w:pPr>
      <w:spacing w:line="360" w:lineRule="auto"/>
      <w:ind w:left="800" w:hanging="400"/>
      <w:jc w:val="both"/>
    </w:pPr>
    <w:rPr>
      <w:rFonts w:ascii="Calibri" w:eastAsia="Calibri" w:hAnsi="Calibri" w:cs="Calibri"/>
      <w:sz w:val="22"/>
    </w:rPr>
  </w:style>
  <w:style w:type="paragraph" w:styleId="List4">
    <w:name w:val="List 4"/>
    <w:basedOn w:val="Normal"/>
    <w:pPr>
      <w:spacing w:line="360" w:lineRule="auto"/>
      <w:ind w:left="1600" w:hanging="400"/>
    </w:pPr>
    <w:rPr>
      <w:rFonts w:ascii="Calibri" w:eastAsia="Calibri" w:hAnsi="Calibri" w:cs="Calibri"/>
      <w:sz w:val="22"/>
    </w:rPr>
  </w:style>
  <w:style w:type="paragraph" w:customStyle="1" w:styleId="Formula">
    <w:name w:val="Formula"/>
    <w:basedOn w:val="Normal"/>
    <w:pPr>
      <w:shd w:val="clear" w:color="auto" w:fill="FFF5ED"/>
      <w:spacing w:before="120" w:after="120" w:line="360" w:lineRule="auto"/>
    </w:pPr>
    <w:rPr>
      <w:rFonts w:ascii="Calibri" w:eastAsia="Calibri" w:hAnsi="Calibri" w:cs="Calibri"/>
      <w:sz w:val="22"/>
      <w:shd w:val="clear" w:color="auto" w:fill="FFF5ED"/>
    </w:rPr>
  </w:style>
  <w:style w:type="character" w:customStyle="1" w:styleId="DatabaseLink">
    <w:name w:val="Database Link"/>
    <w:basedOn w:val="DefaultParagraphFont"/>
    <w:rPr>
      <w:shd w:val="clear" w:color="auto" w:fill="AFBEFF"/>
    </w:rPr>
  </w:style>
  <w:style w:type="character" w:customStyle="1" w:styleId="FamilyName">
    <w:name w:val="Family Name"/>
    <w:basedOn w:val="DefaultParagraphFont"/>
    <w:rPr>
      <w:shd w:val="clear" w:color="auto" w:fill="88F4BE"/>
    </w:rPr>
  </w:style>
  <w:style w:type="character" w:customStyle="1" w:styleId="City">
    <w:name w:val="City"/>
    <w:basedOn w:val="DefaultParagraphFont"/>
    <w:rPr>
      <w:shd w:val="clear" w:color="auto" w:fill="D7D7D7"/>
    </w:rPr>
  </w:style>
  <w:style w:type="character" w:customStyle="1" w:styleId="Region">
    <w:name w:val="Region"/>
    <w:basedOn w:val="DefaultParagraphFont"/>
    <w:rPr>
      <w:shd w:val="clear" w:color="auto" w:fill="D8E9EE"/>
    </w:rPr>
  </w:style>
  <w:style w:type="character" w:customStyle="1" w:styleId="Year">
    <w:name w:val="Year"/>
    <w:basedOn w:val="DefaultParagraphFont"/>
    <w:rPr>
      <w:shd w:val="clear" w:color="auto" w:fill="FFF9C9"/>
    </w:rPr>
  </w:style>
  <w:style w:type="paragraph" w:customStyle="1" w:styleId="Acknowledgements">
    <w:name w:val="Acknowledgements"/>
    <w:basedOn w:val="Normal"/>
    <w:pPr>
      <w:shd w:val="clear" w:color="auto" w:fill="F9EDFF"/>
      <w:spacing w:after="160" w:line="396" w:lineRule="auto"/>
      <w:jc w:val="both"/>
    </w:pPr>
    <w:rPr>
      <w:rFonts w:ascii="Calibri" w:eastAsia="Calibri" w:hAnsi="Calibri" w:cs="Calibri"/>
      <w:sz w:val="20"/>
      <w:shd w:val="clear" w:color="auto" w:fill="F9EDFF"/>
    </w:rPr>
  </w:style>
  <w:style w:type="character" w:customStyle="1" w:styleId="IssueNumber">
    <w:name w:val="Issue Number"/>
    <w:basedOn w:val="DefaultParagraphFont"/>
    <w:rPr>
      <w:shd w:val="clear" w:color="auto" w:fill="CDD5FF"/>
    </w:rPr>
  </w:style>
  <w:style w:type="paragraph" w:styleId="Caption">
    <w:name w:val="caption"/>
    <w:basedOn w:val="Normal"/>
    <w:pPr>
      <w:shd w:val="clear" w:color="auto" w:fill="FFF5ED"/>
      <w:spacing w:before="240" w:line="349" w:lineRule="auto"/>
      <w:jc w:val="both"/>
    </w:pPr>
    <w:rPr>
      <w:rFonts w:ascii="Calibri" w:eastAsia="Calibri" w:hAnsi="Calibri" w:cs="Calibri"/>
      <w:sz w:val="22"/>
      <w:shd w:val="clear" w:color="auto" w:fill="FFF5ED"/>
    </w:rPr>
  </w:style>
  <w:style w:type="character" w:customStyle="1" w:styleId="Organization">
    <w:name w:val="Organization"/>
    <w:basedOn w:val="DefaultParagraphFont"/>
    <w:rPr>
      <w:shd w:val="clear" w:color="auto" w:fill="D1FFB5"/>
    </w:rPr>
  </w:style>
  <w:style w:type="character" w:customStyle="1" w:styleId="Publisher">
    <w:name w:val="Publisher"/>
    <w:basedOn w:val="DefaultParagraphFont"/>
    <w:rPr>
      <w:shd w:val="clear" w:color="auto" w:fill="F2DDFF"/>
    </w:rPr>
  </w:style>
  <w:style w:type="paragraph" w:styleId="List3">
    <w:name w:val="List 3"/>
    <w:basedOn w:val="Normal"/>
    <w:pPr>
      <w:spacing w:line="360" w:lineRule="auto"/>
      <w:ind w:left="1200" w:hanging="400"/>
      <w:jc w:val="both"/>
    </w:pPr>
    <w:rPr>
      <w:rFonts w:ascii="Calibri" w:eastAsia="Calibri" w:hAnsi="Calibri" w:cs="Calibri"/>
      <w:sz w:val="22"/>
    </w:rPr>
  </w:style>
  <w:style w:type="paragraph" w:styleId="BalloonText">
    <w:name w:val="Balloon Text"/>
    <w:basedOn w:val="Normal"/>
    <w:rPr>
      <w:rFonts w:ascii="Calibri" w:eastAsia="Calibri" w:hAnsi="Calibri" w:cs="Calibri"/>
      <w:color w:val="000000"/>
      <w:sz w:val="16"/>
    </w:rPr>
  </w:style>
  <w:style w:type="character" w:customStyle="1" w:styleId="Cross-reference">
    <w:name w:val="Cross-reference"/>
    <w:basedOn w:val="DefaultParagraphFont"/>
    <w:rPr>
      <w:shd w:val="clear" w:color="auto" w:fill="FFE3C9"/>
    </w:rPr>
  </w:style>
  <w:style w:type="character" w:customStyle="1" w:styleId="Location">
    <w:name w:val="Location"/>
    <w:basedOn w:val="DefaultParagraphFont"/>
    <w:rPr>
      <w:shd w:val="clear" w:color="auto" w:fill="F9EDFF"/>
    </w:rPr>
  </w:style>
  <w:style w:type="paragraph" w:customStyle="1" w:styleId="Statement">
    <w:name w:val="Statement"/>
    <w:basedOn w:val="Normal"/>
    <w:pPr>
      <w:ind w:left="900"/>
    </w:pPr>
    <w:rPr>
      <w:rFonts w:ascii="Calibri" w:eastAsia="Calibri" w:hAnsi="Calibri" w:cs="Calibri"/>
      <w:sz w:val="22"/>
    </w:rPr>
  </w:style>
  <w:style w:type="character" w:customStyle="1" w:styleId="Conference">
    <w:name w:val="Conference"/>
    <w:basedOn w:val="DefaultParagraphFont"/>
    <w:rPr>
      <w:shd w:val="clear" w:color="auto" w:fill="FFAFBC"/>
    </w:rPr>
  </w:style>
  <w:style w:type="paragraph" w:customStyle="1" w:styleId="AbstractSubheading">
    <w:name w:val="Abstract Subheading"/>
    <w:basedOn w:val="Normal"/>
    <w:pPr>
      <w:numPr>
        <w:ilvl w:val="8"/>
      </w:numPr>
      <w:ind w:left="1440" w:firstLine="720"/>
      <w:outlineLvl w:val="8"/>
    </w:pPr>
    <w:rPr>
      <w:sz w:val="22"/>
    </w:rPr>
  </w:style>
  <w:style w:type="paragraph" w:customStyle="1" w:styleId="Glossary">
    <w:name w:val="Glossary"/>
    <w:basedOn w:val="Normal"/>
    <w:pPr>
      <w:shd w:val="clear" w:color="auto" w:fill="FFEDF0"/>
      <w:spacing w:before="120" w:after="120" w:line="432" w:lineRule="auto"/>
    </w:pPr>
    <w:rPr>
      <w:rFonts w:ascii="Calibri" w:eastAsia="Calibri" w:hAnsi="Calibri" w:cs="Calibri"/>
      <w:sz w:val="20"/>
      <w:shd w:val="clear" w:color="auto" w:fill="FFEDF0"/>
    </w:rPr>
  </w:style>
  <w:style w:type="paragraph" w:customStyle="1" w:styleId="Note">
    <w:name w:val="Note"/>
    <w:basedOn w:val="Normal"/>
    <w:pPr>
      <w:shd w:val="clear" w:color="auto" w:fill="EDF0FF"/>
      <w:spacing w:line="432" w:lineRule="auto"/>
    </w:pPr>
    <w:rPr>
      <w:rFonts w:ascii="Calibri" w:eastAsia="Calibri" w:hAnsi="Calibri" w:cs="Calibri"/>
      <w:sz w:val="20"/>
      <w:shd w:val="clear" w:color="auto" w:fill="EDF0FF"/>
    </w:rPr>
  </w:style>
  <w:style w:type="character" w:customStyle="1" w:styleId="PageNumbers">
    <w:name w:val="Page Numbers"/>
    <w:basedOn w:val="DefaultParagraphFont"/>
    <w:rPr>
      <w:shd w:val="clear" w:color="auto" w:fill="FFEDF0"/>
    </w:rPr>
  </w:style>
  <w:style w:type="paragraph" w:styleId="List5">
    <w:name w:val="List 5"/>
    <w:basedOn w:val="Normal"/>
    <w:pPr>
      <w:spacing w:line="360" w:lineRule="auto"/>
      <w:ind w:left="1800" w:hanging="400"/>
    </w:pPr>
    <w:rPr>
      <w:rFonts w:ascii="Calibri" w:eastAsia="Calibri" w:hAnsi="Calibri" w:cs="Calibri"/>
      <w:sz w:val="22"/>
    </w:rPr>
  </w:style>
  <w:style w:type="character" w:customStyle="1" w:styleId="ArticleTitle">
    <w:name w:val="Article Title"/>
    <w:basedOn w:val="DefaultParagraphFont"/>
    <w:qFormat/>
    <w:rPr>
      <w:shd w:val="clear" w:color="auto" w:fill="E9F9FF"/>
    </w:rPr>
  </w:style>
  <w:style w:type="paragraph" w:customStyle="1" w:styleId="Biography">
    <w:name w:val="Biography"/>
    <w:basedOn w:val="Normal"/>
    <w:pPr>
      <w:shd w:val="clear" w:color="auto" w:fill="EEFEF4"/>
      <w:spacing w:after="160" w:line="396" w:lineRule="auto"/>
    </w:pPr>
    <w:rPr>
      <w:rFonts w:ascii="Calibri" w:eastAsia="Calibri" w:hAnsi="Calibri" w:cs="Calibri"/>
      <w:sz w:val="20"/>
      <w:shd w:val="clear" w:color="auto" w:fill="EEFEF4"/>
    </w:rPr>
  </w:style>
  <w:style w:type="paragraph" w:customStyle="1" w:styleId="Authors">
    <w:name w:val="Authors"/>
    <w:basedOn w:val="Normal"/>
    <w:pPr>
      <w:spacing w:before="360" w:after="120" w:line="283" w:lineRule="auto"/>
    </w:pPr>
    <w:rPr>
      <w:rFonts w:ascii="Calibri" w:eastAsia="Calibri" w:hAnsi="Calibri" w:cs="Calibri"/>
      <w:sz w:val="28"/>
    </w:rPr>
  </w:style>
  <w:style w:type="character" w:customStyle="1" w:styleId="GrantID">
    <w:name w:val="Grant ID"/>
    <w:basedOn w:val="DefaultParagraphFont"/>
    <w:rPr>
      <w:shd w:val="clear" w:color="auto" w:fill="DDA5FF"/>
    </w:rPr>
  </w:style>
  <w:style w:type="paragraph" w:styleId="List">
    <w:name w:val="List"/>
    <w:basedOn w:val="Normal"/>
    <w:pPr>
      <w:spacing w:line="360" w:lineRule="auto"/>
      <w:ind w:left="400" w:hanging="400"/>
      <w:jc w:val="both"/>
    </w:pPr>
    <w:rPr>
      <w:rFonts w:ascii="Calibri" w:eastAsia="Calibri" w:hAnsi="Calibri" w:cs="Calibri"/>
      <w:sz w:val="22"/>
    </w:rPr>
  </w:style>
  <w:style w:type="character" w:customStyle="1" w:styleId="Country">
    <w:name w:val="Country"/>
    <w:basedOn w:val="DefaultParagraphFont"/>
    <w:rPr>
      <w:shd w:val="clear" w:color="auto" w:fill="97C5D1"/>
    </w:rPr>
  </w:style>
  <w:style w:type="paragraph" w:customStyle="1" w:styleId="TableList">
    <w:name w:val="Table List"/>
    <w:basedOn w:val="Normal"/>
    <w:pPr>
      <w:ind w:left="300" w:hanging="300"/>
    </w:pPr>
    <w:rPr>
      <w:rFonts w:ascii="Calibri" w:eastAsia="Calibri" w:hAnsi="Calibri" w:cs="Calibri"/>
      <w:sz w:val="20"/>
    </w:rPr>
  </w:style>
  <w:style w:type="character" w:customStyle="1" w:styleId="Edition">
    <w:name w:val="Edition"/>
    <w:basedOn w:val="DefaultParagraphFont"/>
    <w:rPr>
      <w:shd w:val="clear" w:color="auto" w:fill="FFF6A4"/>
    </w:rPr>
  </w:style>
  <w:style w:type="paragraph" w:customStyle="1" w:styleId="List6">
    <w:name w:val="List 6"/>
    <w:basedOn w:val="Normal"/>
    <w:pPr>
      <w:spacing w:line="360" w:lineRule="auto"/>
      <w:ind w:left="1860" w:hanging="400"/>
    </w:pPr>
    <w:rPr>
      <w:rFonts w:ascii="Calibri" w:eastAsia="Calibri" w:hAnsi="Calibri" w:cs="Calibri"/>
      <w:sz w:val="22"/>
    </w:rPr>
  </w:style>
  <w:style w:type="paragraph" w:customStyle="1" w:styleId="QuotationSource">
    <w:name w:val="Quotation Source"/>
    <w:basedOn w:val="Normal"/>
    <w:pPr>
      <w:spacing w:after="170" w:line="360" w:lineRule="auto"/>
      <w:ind w:left="1200"/>
      <w:jc w:val="right"/>
    </w:pPr>
    <w:rPr>
      <w:rFonts w:ascii="Calibri" w:eastAsia="Calibri" w:hAnsi="Calibri" w:cs="Calibri"/>
      <w:sz w:val="22"/>
    </w:rPr>
  </w:style>
  <w:style w:type="character" w:styleId="Hyperlink">
    <w:name w:val="Hyperlink"/>
    <w:basedOn w:val="DefaultParagraphFont"/>
    <w:rPr>
      <w:color w:val="0563C1"/>
    </w:rPr>
  </w:style>
  <w:style w:type="character" w:customStyle="1" w:styleId="Source">
    <w:name w:val="Source"/>
    <w:basedOn w:val="DefaultParagraphFont"/>
    <w:rPr>
      <w:shd w:val="clear" w:color="auto" w:fill="C1EDFF"/>
    </w:rPr>
  </w:style>
  <w:style w:type="character" w:customStyle="1" w:styleId="NameScientific">
    <w:name w:val="Name Scientific"/>
    <w:basedOn w:val="DefaultParagraphFont"/>
    <w:rPr>
      <w:shd w:val="clear" w:color="auto" w:fill="91E0FF"/>
    </w:rPr>
  </w:style>
  <w:style w:type="paragraph" w:customStyle="1" w:styleId="TableHeadSpan">
    <w:name w:val="Table Head Span"/>
    <w:basedOn w:val="Normal"/>
    <w:pPr>
      <w:shd w:val="clear" w:color="auto" w:fill="FFEDFA"/>
    </w:pPr>
    <w:rPr>
      <w:rFonts w:ascii="Calibri" w:eastAsia="Calibri" w:hAnsi="Calibri" w:cs="Calibri"/>
      <w:shd w:val="clear" w:color="auto" w:fill="FFEDFA"/>
    </w:rPr>
  </w:style>
  <w:style w:type="paragraph" w:customStyle="1" w:styleId="Annotation">
    <w:name w:val="Annotation"/>
    <w:basedOn w:val="Normal"/>
    <w:pPr>
      <w:spacing w:after="160" w:line="360" w:lineRule="auto"/>
      <w:ind w:left="400" w:right="0" w:firstLine="0"/>
    </w:pPr>
    <w:rPr>
      <w:rFonts w:ascii="Calibri" w:eastAsia="Calibri" w:hAnsi="Calibri" w:cs="Calibri"/>
      <w:sz w:val="22"/>
    </w:rPr>
  </w:style>
  <w:style w:type="character" w:customStyle="1" w:styleId="VolumeNumber">
    <w:name w:val="Volume Number"/>
    <w:basedOn w:val="DefaultParagraphFont"/>
    <w:rPr>
      <w:shd w:val="clear" w:color="auto" w:fill="EDF0FF"/>
    </w:rPr>
  </w:style>
  <w:style w:type="paragraph" w:customStyle="1" w:styleId="TableHead">
    <w:name w:val="Table Head"/>
    <w:basedOn w:val="Normal"/>
    <w:pPr>
      <w:shd w:val="clear" w:color="auto" w:fill="FFEDFA"/>
    </w:pPr>
    <w:rPr>
      <w:rFonts w:ascii="Calibri" w:eastAsia="Calibri" w:hAnsi="Calibri" w:cs="Calibri"/>
      <w:sz w:val="20"/>
      <w:shd w:val="clear" w:color="auto" w:fill="FFEDFA"/>
    </w:rPr>
  </w:style>
  <w:style w:type="paragraph" w:customStyle="1" w:styleId="List8">
    <w:name w:val="List 8"/>
    <w:basedOn w:val="Normal"/>
    <w:pPr>
      <w:spacing w:line="360" w:lineRule="auto"/>
      <w:ind w:left="1980" w:hanging="400"/>
    </w:pPr>
    <w:rPr>
      <w:rFonts w:ascii="Calibri" w:eastAsia="Calibri" w:hAnsi="Calibri" w:cs="Calibri"/>
      <w:sz w:val="22"/>
    </w:rPr>
  </w:style>
  <w:style w:type="character" w:customStyle="1" w:styleId="GlossaryTerm">
    <w:name w:val="Glossary Term"/>
    <w:basedOn w:val="DefaultParagraphFont"/>
    <w:rPr>
      <w:shd w:val="clear" w:color="auto" w:fill="FFCFD7"/>
    </w:rPr>
  </w:style>
  <w:style w:type="paragraph" w:customStyle="1" w:styleId="Surtitle">
    <w:name w:val="Surtitle"/>
    <w:basedOn w:val="Normal"/>
    <w:qFormat/>
    <w:pPr>
      <w:spacing w:after="160" w:line="208" w:lineRule="auto"/>
    </w:pPr>
    <w:rPr>
      <w:rFonts w:ascii="Calibri" w:eastAsia="Calibri" w:hAnsi="Calibri" w:cs="Calibri"/>
      <w:sz w:val="38"/>
    </w:rPr>
  </w:style>
  <w:style w:type="character" w:customStyle="1" w:styleId="GivenName">
    <w:name w:val="Given Name"/>
    <w:basedOn w:val="DefaultParagraphFont"/>
    <w:rPr>
      <w:shd w:val="clear" w:color="auto" w:fill="D0FCE2"/>
    </w:rPr>
  </w:style>
  <w:style w:type="paragraph" w:customStyle="1" w:styleId="Quotation">
    <w:name w:val="Quotation"/>
    <w:basedOn w:val="Normal"/>
    <w:pPr>
      <w:spacing w:after="160" w:line="360" w:lineRule="auto"/>
      <w:ind w:left="1200" w:right="1200"/>
      <w:jc w:val="both"/>
    </w:pPr>
    <w:rPr>
      <w:rFonts w:ascii="Calibri" w:eastAsia="Calibri" w:hAnsi="Calibri" w:cs="Calibri"/>
      <w:sz w:val="22"/>
    </w:rPr>
  </w:style>
  <w:style w:type="paragraph" w:customStyle="1" w:styleId="Affiliation">
    <w:name w:val="Affiliation"/>
    <w:basedOn w:val="Normal"/>
    <w:pPr>
      <w:shd w:val="clear" w:color="auto" w:fill="F4FFED"/>
      <w:spacing w:before="240" w:after="120" w:line="396" w:lineRule="auto"/>
      <w:ind w:left="400" w:hanging="400"/>
    </w:pPr>
    <w:rPr>
      <w:rFonts w:ascii="Calibri" w:eastAsia="Calibri" w:hAnsi="Calibri" w:cs="Calibri"/>
      <w:sz w:val="20"/>
      <w:shd w:val="clear" w:color="auto" w:fill="F4FFED"/>
    </w:rPr>
  </w:style>
  <w:style w:type="paragraph" w:customStyle="1" w:styleId="TableNote">
    <w:name w:val="Table Note"/>
    <w:basedOn w:val="Normal"/>
    <w:rPr>
      <w:rFonts w:ascii="Calibri" w:eastAsia="Calibri" w:hAnsi="Calibri" w:cs="Calibri"/>
      <w:sz w:val="18"/>
    </w:rPr>
  </w:style>
  <w:style w:type="character" w:customStyle="1" w:styleId="GeneSequence">
    <w:name w:val="Gene Sequence"/>
    <w:basedOn w:val="DefaultParagraphFont"/>
    <w:rPr>
      <w:shd w:val="clear" w:color="auto" w:fill="FFCDF2"/>
    </w:rPr>
  </w:style>
  <w:style w:type="paragraph" w:customStyle="1" w:styleId="Copyright">
    <w:name w:val="Copyright"/>
    <w:basedOn w:val="Normal"/>
    <w:pPr>
      <w:shd w:val="clear" w:color="auto" w:fill="E9F9FF"/>
    </w:pPr>
    <w:rPr>
      <w:rFonts w:ascii="Calibri" w:eastAsia="Calibri" w:hAnsi="Calibri" w:cs="Calibri"/>
      <w:sz w:val="18"/>
      <w:shd w:val="clear" w:color="auto" w:fill="E9F9FF"/>
    </w:rPr>
  </w:style>
  <w:style w:type="paragraph" w:styleId="FootnoteText">
    <w:name w:val="footnote text"/>
    <w:basedOn w:val="Normal"/>
    <w:rPr>
      <w:rFonts w:ascii="Calibri" w:eastAsia="Calibri" w:hAnsi="Calibri" w:cs="Calibri"/>
    </w:rPr>
  </w:style>
  <w:style w:type="paragraph" w:customStyle="1" w:styleId="ChapterNumber">
    <w:name w:val="Chapter Number"/>
    <w:basedOn w:val="Normal"/>
    <w:rPr>
      <w:rFonts w:ascii="Calibri" w:eastAsia="Calibri" w:hAnsi="Calibri" w:cs="Calibri"/>
    </w:rPr>
  </w:style>
  <w:style w:type="character" w:customStyle="1" w:styleId="Heading">
    <w:name w:val="Heading:"/>
    <w:basedOn w:val="DefaultParagraphFont"/>
    <w:rPr>
      <w:color w:val="5B89C1"/>
    </w:rPr>
  </w:style>
  <w:style w:type="paragraph" w:styleId="BlockText">
    <w:name w:val="Block Text"/>
    <w:basedOn w:val="Normal"/>
    <w:pPr>
      <w:spacing w:after="160" w:line="360" w:lineRule="auto"/>
      <w:ind w:left="1200"/>
    </w:pPr>
    <w:rPr>
      <w:rFonts w:ascii="Calibri" w:eastAsia="Calibri" w:hAnsi="Calibri" w:cs="Calibri"/>
      <w:sz w:val="22"/>
    </w:rPr>
  </w:style>
  <w:style w:type="paragraph" w:customStyle="1" w:styleId="Correspondence">
    <w:name w:val="Correspondence"/>
    <w:basedOn w:val="Normal"/>
    <w:pPr>
      <w:shd w:val="clear" w:color="auto" w:fill="F3F7F9"/>
      <w:spacing w:before="240" w:after="120" w:line="396" w:lineRule="auto"/>
      <w:ind w:left="400" w:hanging="400"/>
    </w:pPr>
    <w:rPr>
      <w:rFonts w:ascii="Calibri" w:eastAsia="Calibri" w:hAnsi="Calibri" w:cs="Calibri"/>
      <w:sz w:val="20"/>
      <w:shd w:val="clear" w:color="auto" w:fill="F3F7F9"/>
    </w:rPr>
  </w:style>
  <w:style w:type="character" w:customStyle="1" w:styleId="Postcode">
    <w:name w:val="Postcode"/>
    <w:basedOn w:val="DefaultParagraphFont"/>
    <w:rPr>
      <w:shd w:val="clear" w:color="auto" w:fill="BEBEBE"/>
    </w:rPr>
  </w:style>
  <w:style w:type="paragraph" w:customStyle="1" w:styleId="Abstract">
    <w:name w:val="Abstract"/>
    <w:basedOn w:val="Normal"/>
    <w:pPr>
      <w:spacing w:after="160" w:line="360" w:lineRule="auto"/>
      <w:ind w:left="1440" w:right="1440" w:firstLine="0"/>
      <w:jc w:val="both"/>
    </w:pPr>
    <w:rPr>
      <w:rFonts w:ascii="Calibri" w:eastAsia="Calibri" w:hAnsi="Calibri" w:cs="Calibri"/>
      <w:sz w:val="22"/>
    </w:rPr>
  </w:style>
  <w:style w:type="character" w:customStyle="1" w:styleId="Miscellaneous">
    <w:name w:val="Miscellaneous"/>
    <w:basedOn w:val="DefaultParagraphFont"/>
    <w:rPr>
      <w:shd w:val="clear" w:color="auto" w:fill="F0F0F0"/>
    </w:rPr>
  </w:style>
  <w:style w:type="paragraph" w:customStyle="1" w:styleId="TableBody">
    <w:name w:val="Table Body"/>
    <w:basedOn w:val="Normal"/>
    <w:pPr>
      <w:spacing w:after="160" w:line="396" w:lineRule="auto"/>
    </w:pPr>
    <w:rPr>
      <w:rFonts w:ascii="Calibri" w:eastAsia="Calibri" w:hAnsi="Calibri" w:cs="Calibri"/>
      <w:sz w:val="20"/>
    </w:rPr>
  </w:style>
  <w:style w:type="paragraph" w:customStyle="1" w:styleId="List1">
    <w:name w:val="List 1"/>
    <w:basedOn w:val="Normal"/>
    <w:pPr>
      <w:ind w:left="1200" w:hanging="600"/>
      <w:jc w:val="both"/>
    </w:pPr>
    <w:rPr>
      <w:sz w:val="22"/>
    </w:rPr>
  </w:style>
  <w:style w:type="paragraph" w:customStyle="1" w:styleId="List9">
    <w:name w:val="List 9"/>
    <w:basedOn w:val="Normal"/>
    <w:pPr>
      <w:ind w:left="1200" w:hanging="600"/>
      <w:jc w:val="both"/>
    </w:pPr>
    <w:rPr>
      <w:sz w:val="22"/>
    </w:rPr>
  </w:style>
  <w:style w:type="paragraph" w:styleId="ListParagraph">
    <w:name w:val="List Paragraph"/>
    <w:basedOn w:val="Normal"/>
    <w:uiPriority w:val="99"/>
    <w:rsid w:val="00780F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9869">
      <w:bodyDiv w:val="1"/>
      <w:marLeft w:val="0"/>
      <w:marRight w:val="0"/>
      <w:marTop w:val="0"/>
      <w:marBottom w:val="0"/>
      <w:divBdr>
        <w:top w:val="none" w:sz="0" w:space="0" w:color="auto"/>
        <w:left w:val="none" w:sz="0" w:space="0" w:color="auto"/>
        <w:bottom w:val="none" w:sz="0" w:space="0" w:color="auto"/>
        <w:right w:val="none" w:sz="0" w:space="0" w:color="auto"/>
      </w:divBdr>
    </w:div>
    <w:div w:id="107044969">
      <w:bodyDiv w:val="1"/>
      <w:marLeft w:val="0"/>
      <w:marRight w:val="0"/>
      <w:marTop w:val="0"/>
      <w:marBottom w:val="0"/>
      <w:divBdr>
        <w:top w:val="none" w:sz="0" w:space="0" w:color="auto"/>
        <w:left w:val="none" w:sz="0" w:space="0" w:color="auto"/>
        <w:bottom w:val="none" w:sz="0" w:space="0" w:color="auto"/>
        <w:right w:val="none" w:sz="0" w:space="0" w:color="auto"/>
      </w:divBdr>
    </w:div>
    <w:div w:id="165096167">
      <w:bodyDiv w:val="1"/>
      <w:marLeft w:val="0"/>
      <w:marRight w:val="0"/>
      <w:marTop w:val="0"/>
      <w:marBottom w:val="0"/>
      <w:divBdr>
        <w:top w:val="none" w:sz="0" w:space="0" w:color="auto"/>
        <w:left w:val="none" w:sz="0" w:space="0" w:color="auto"/>
        <w:bottom w:val="none" w:sz="0" w:space="0" w:color="auto"/>
        <w:right w:val="none" w:sz="0" w:space="0" w:color="auto"/>
      </w:divBdr>
    </w:div>
    <w:div w:id="221137115">
      <w:bodyDiv w:val="1"/>
      <w:marLeft w:val="0"/>
      <w:marRight w:val="0"/>
      <w:marTop w:val="0"/>
      <w:marBottom w:val="0"/>
      <w:divBdr>
        <w:top w:val="none" w:sz="0" w:space="0" w:color="auto"/>
        <w:left w:val="none" w:sz="0" w:space="0" w:color="auto"/>
        <w:bottom w:val="none" w:sz="0" w:space="0" w:color="auto"/>
        <w:right w:val="none" w:sz="0" w:space="0" w:color="auto"/>
      </w:divBdr>
    </w:div>
    <w:div w:id="222327038">
      <w:bodyDiv w:val="1"/>
      <w:marLeft w:val="0"/>
      <w:marRight w:val="0"/>
      <w:marTop w:val="0"/>
      <w:marBottom w:val="0"/>
      <w:divBdr>
        <w:top w:val="none" w:sz="0" w:space="0" w:color="auto"/>
        <w:left w:val="none" w:sz="0" w:space="0" w:color="auto"/>
        <w:bottom w:val="none" w:sz="0" w:space="0" w:color="auto"/>
        <w:right w:val="none" w:sz="0" w:space="0" w:color="auto"/>
      </w:divBdr>
    </w:div>
    <w:div w:id="225846760">
      <w:bodyDiv w:val="1"/>
      <w:marLeft w:val="0"/>
      <w:marRight w:val="0"/>
      <w:marTop w:val="0"/>
      <w:marBottom w:val="0"/>
      <w:divBdr>
        <w:top w:val="none" w:sz="0" w:space="0" w:color="auto"/>
        <w:left w:val="none" w:sz="0" w:space="0" w:color="auto"/>
        <w:bottom w:val="none" w:sz="0" w:space="0" w:color="auto"/>
        <w:right w:val="none" w:sz="0" w:space="0" w:color="auto"/>
      </w:divBdr>
    </w:div>
    <w:div w:id="463233266">
      <w:bodyDiv w:val="1"/>
      <w:marLeft w:val="0"/>
      <w:marRight w:val="0"/>
      <w:marTop w:val="0"/>
      <w:marBottom w:val="0"/>
      <w:divBdr>
        <w:top w:val="none" w:sz="0" w:space="0" w:color="auto"/>
        <w:left w:val="none" w:sz="0" w:space="0" w:color="auto"/>
        <w:bottom w:val="none" w:sz="0" w:space="0" w:color="auto"/>
        <w:right w:val="none" w:sz="0" w:space="0" w:color="auto"/>
      </w:divBdr>
    </w:div>
    <w:div w:id="891112179">
      <w:bodyDiv w:val="1"/>
      <w:marLeft w:val="0"/>
      <w:marRight w:val="0"/>
      <w:marTop w:val="0"/>
      <w:marBottom w:val="0"/>
      <w:divBdr>
        <w:top w:val="none" w:sz="0" w:space="0" w:color="auto"/>
        <w:left w:val="none" w:sz="0" w:space="0" w:color="auto"/>
        <w:bottom w:val="none" w:sz="0" w:space="0" w:color="auto"/>
        <w:right w:val="none" w:sz="0" w:space="0" w:color="auto"/>
      </w:divBdr>
    </w:div>
    <w:div w:id="1122386399">
      <w:bodyDiv w:val="1"/>
      <w:marLeft w:val="0"/>
      <w:marRight w:val="0"/>
      <w:marTop w:val="0"/>
      <w:marBottom w:val="0"/>
      <w:divBdr>
        <w:top w:val="none" w:sz="0" w:space="0" w:color="auto"/>
        <w:left w:val="none" w:sz="0" w:space="0" w:color="auto"/>
        <w:bottom w:val="none" w:sz="0" w:space="0" w:color="auto"/>
        <w:right w:val="none" w:sz="0" w:space="0" w:color="auto"/>
      </w:divBdr>
    </w:div>
    <w:div w:id="1310211918">
      <w:bodyDiv w:val="1"/>
      <w:marLeft w:val="0"/>
      <w:marRight w:val="0"/>
      <w:marTop w:val="0"/>
      <w:marBottom w:val="0"/>
      <w:divBdr>
        <w:top w:val="none" w:sz="0" w:space="0" w:color="auto"/>
        <w:left w:val="none" w:sz="0" w:space="0" w:color="auto"/>
        <w:bottom w:val="none" w:sz="0" w:space="0" w:color="auto"/>
        <w:right w:val="none" w:sz="0" w:space="0" w:color="auto"/>
      </w:divBdr>
    </w:div>
    <w:div w:id="1425489589">
      <w:bodyDiv w:val="1"/>
      <w:marLeft w:val="0"/>
      <w:marRight w:val="0"/>
      <w:marTop w:val="0"/>
      <w:marBottom w:val="0"/>
      <w:divBdr>
        <w:top w:val="none" w:sz="0" w:space="0" w:color="auto"/>
        <w:left w:val="none" w:sz="0" w:space="0" w:color="auto"/>
        <w:bottom w:val="none" w:sz="0" w:space="0" w:color="auto"/>
        <w:right w:val="none" w:sz="0" w:space="0" w:color="auto"/>
      </w:divBdr>
    </w:div>
    <w:div w:id="1522551734">
      <w:bodyDiv w:val="1"/>
      <w:marLeft w:val="0"/>
      <w:marRight w:val="0"/>
      <w:marTop w:val="0"/>
      <w:marBottom w:val="0"/>
      <w:divBdr>
        <w:top w:val="none" w:sz="0" w:space="0" w:color="auto"/>
        <w:left w:val="none" w:sz="0" w:space="0" w:color="auto"/>
        <w:bottom w:val="none" w:sz="0" w:space="0" w:color="auto"/>
        <w:right w:val="none" w:sz="0" w:space="0" w:color="auto"/>
      </w:divBdr>
    </w:div>
    <w:div w:id="1535390586">
      <w:bodyDiv w:val="1"/>
      <w:marLeft w:val="0"/>
      <w:marRight w:val="0"/>
      <w:marTop w:val="0"/>
      <w:marBottom w:val="0"/>
      <w:divBdr>
        <w:top w:val="none" w:sz="0" w:space="0" w:color="auto"/>
        <w:left w:val="none" w:sz="0" w:space="0" w:color="auto"/>
        <w:bottom w:val="none" w:sz="0" w:space="0" w:color="auto"/>
        <w:right w:val="none" w:sz="0" w:space="0" w:color="auto"/>
      </w:divBdr>
    </w:div>
    <w:div w:id="1677268190">
      <w:bodyDiv w:val="1"/>
      <w:marLeft w:val="0"/>
      <w:marRight w:val="0"/>
      <w:marTop w:val="0"/>
      <w:marBottom w:val="0"/>
      <w:divBdr>
        <w:top w:val="none" w:sz="0" w:space="0" w:color="auto"/>
        <w:left w:val="none" w:sz="0" w:space="0" w:color="auto"/>
        <w:bottom w:val="none" w:sz="0" w:space="0" w:color="auto"/>
        <w:right w:val="none" w:sz="0" w:space="0" w:color="auto"/>
      </w:divBdr>
    </w:div>
    <w:div w:id="1846438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Vickie DeNicola</cp:lastModifiedBy>
  <cp:revision>9</cp:revision>
  <dcterms:created xsi:type="dcterms:W3CDTF">2024-11-16T11:15:00Z</dcterms:created>
  <dcterms:modified xsi:type="dcterms:W3CDTF">2025-03-05T04:10:00Z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numerical</vt:lpwstr>
  </property>
  <property fmtid="{D5CDD505-2E9C-101B-9397-08002B2CF9AE}" pid="14" name="Subject">
    <vt:lpwstr/>
  </property>
  <property fmtid="{D5CDD505-2E9C-101B-9397-08002B2CF9AE}" pid="15" name="Merops word count">
    <vt:lpwstr>495</vt:lpwstr>
  </property>
  <property fmtid="{D5CDD505-2E9C-101B-9397-08002B2CF9AE}" pid="16" name="Merops references count">
    <vt:lpwstr>0</vt:lpwstr>
  </property>
  <property fmtid="{D5CDD505-2E9C-101B-9397-08002B2CF9AE}" pid="17" name="Merops PubMed links count">
    <vt:lpwstr>0</vt:lpwstr>
  </property>
  <property fmtid="{D5CDD505-2E9C-101B-9397-08002B2CF9AE}" pid="18" name="Merops DOI links count">
    <vt:lpwstr>0</vt:lpwstr>
  </property>
  <property fmtid="{D5CDD505-2E9C-101B-9397-08002B2CF9AE}" pid="19" name="Merops tables count">
    <vt:lpwstr>3</vt:lpwstr>
  </property>
  <property fmtid="{D5CDD505-2E9C-101B-9397-08002B2CF9AE}" pid="20" name="Merops figures count">
    <vt:lpwstr>0</vt:lpwstr>
  </property>
  <property fmtid="{D5CDD505-2E9C-101B-9397-08002B2CF9AE}" pid="21" name="Merops graphics count">
    <vt:lpwstr>0</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merops/preset-v1/springer-vancouver-brackets</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d48e2d93-0f0b-46f9-a6a8-b6822417c7dd.docx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MG-Session/On-20241113/I:cdd9f2e4-d6be-4598-938e-4be13e7788be</vt:lpwstr>
  </property>
  <property fmtid="{D5CDD505-2E9C-101B-9397-08002B2CF9AE}" pid="32" name="Merops processed date">
    <vt:lpwstr>2024/11/13 02:19:03 PM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Merops comment count">
    <vt:lpwstr>0</vt:lpwstr>
  </property>
  <property fmtid="{D5CDD505-2E9C-101B-9397-08002B2CF9AE}" pid="36" name="Merops change count">
    <vt:lpwstr>0</vt:lpwstr>
  </property>
</Properties>
</file>