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9782C" w14:textId="296808F9" w:rsidR="006755F5" w:rsidRDefault="00306841">
      <w:r>
        <w:rPr>
          <w:noProof/>
        </w:rPr>
        <w:drawing>
          <wp:inline distT="0" distB="0" distL="0" distR="0" wp14:anchorId="0F431FA5" wp14:editId="1D6616AD">
            <wp:extent cx="8288655" cy="8014216"/>
            <wp:effectExtent l="0" t="0" r="0" b="6350"/>
            <wp:docPr id="9806722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4911" cy="80299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2B6F53" w14:textId="77777777" w:rsidR="00306841" w:rsidRDefault="00306841"/>
    <w:p w14:paraId="462CF452" w14:textId="77777777" w:rsidR="00306841" w:rsidRDefault="00306841"/>
    <w:p w14:paraId="044FB882" w14:textId="77777777" w:rsidR="00306841" w:rsidRDefault="00306841"/>
    <w:p w14:paraId="42CE310B" w14:textId="77777777" w:rsidR="00306841" w:rsidRDefault="00306841"/>
    <w:p w14:paraId="553F7526" w14:textId="77777777" w:rsidR="00306841" w:rsidRDefault="00306841"/>
    <w:p w14:paraId="48F0B6FD" w14:textId="77777777" w:rsidR="00306841" w:rsidRDefault="00306841"/>
    <w:p w14:paraId="6347BAFC" w14:textId="071297A9" w:rsidR="00306841" w:rsidRDefault="00306841">
      <w:pPr>
        <w:rPr>
          <w:noProof/>
        </w:rPr>
      </w:pPr>
      <w:r>
        <w:rPr>
          <w:noProof/>
        </w:rPr>
        <w:drawing>
          <wp:inline distT="0" distB="0" distL="0" distR="0" wp14:anchorId="79A33266" wp14:editId="59919EFB">
            <wp:extent cx="8561935" cy="8371840"/>
            <wp:effectExtent l="0" t="0" r="0" b="0"/>
            <wp:docPr id="45571373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131" cy="83759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0F8181" w14:textId="77777777" w:rsidR="00F662F6" w:rsidRDefault="00F662F6" w:rsidP="00F662F6">
      <w:pPr>
        <w:rPr>
          <w:noProof/>
        </w:rPr>
      </w:pPr>
    </w:p>
    <w:p w14:paraId="5BAE0429" w14:textId="34A0193A" w:rsidR="00F662F6" w:rsidRDefault="00F662F6" w:rsidP="00F662F6">
      <w:pPr>
        <w:tabs>
          <w:tab w:val="left" w:pos="4660"/>
        </w:tabs>
      </w:pPr>
    </w:p>
    <w:p w14:paraId="4E2C1063" w14:textId="77777777" w:rsidR="00F662F6" w:rsidRDefault="00F662F6" w:rsidP="00F662F6">
      <w:pPr>
        <w:tabs>
          <w:tab w:val="left" w:pos="4660"/>
        </w:tabs>
      </w:pPr>
    </w:p>
    <w:p w14:paraId="6999C820" w14:textId="55893F8B" w:rsidR="00F662F6" w:rsidRDefault="00F662F6" w:rsidP="00F662F6">
      <w:pPr>
        <w:tabs>
          <w:tab w:val="left" w:pos="4660"/>
        </w:tabs>
        <w:rPr>
          <w:noProof/>
        </w:rPr>
      </w:pPr>
      <w:r>
        <w:rPr>
          <w:noProof/>
        </w:rPr>
        <w:drawing>
          <wp:inline distT="0" distB="0" distL="0" distR="0" wp14:anchorId="3C7F3C78" wp14:editId="3DBD92BF">
            <wp:extent cx="8845041" cy="8318500"/>
            <wp:effectExtent l="0" t="0" r="0" b="6350"/>
            <wp:docPr id="31508049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3722" cy="8326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E9BA54" w14:textId="77777777" w:rsidR="00F662F6" w:rsidRDefault="00F662F6" w:rsidP="00F662F6">
      <w:pPr>
        <w:rPr>
          <w:noProof/>
        </w:rPr>
      </w:pPr>
    </w:p>
    <w:p w14:paraId="66B43284" w14:textId="77777777" w:rsidR="00F662F6" w:rsidRDefault="00F662F6" w:rsidP="00F662F6">
      <w:pPr>
        <w:rPr>
          <w:noProof/>
        </w:rPr>
      </w:pPr>
    </w:p>
    <w:p w14:paraId="48903993" w14:textId="77777777" w:rsidR="00F662F6" w:rsidRDefault="00F662F6" w:rsidP="00F662F6">
      <w:pPr>
        <w:rPr>
          <w:noProof/>
        </w:rPr>
      </w:pPr>
    </w:p>
    <w:p w14:paraId="1C51B307" w14:textId="77777777" w:rsidR="00F662F6" w:rsidRDefault="00F662F6" w:rsidP="00F662F6">
      <w:pPr>
        <w:rPr>
          <w:noProof/>
        </w:rPr>
      </w:pPr>
    </w:p>
    <w:p w14:paraId="175F73E2" w14:textId="4FBEE0E8" w:rsidR="00F662F6" w:rsidRDefault="00F662F6" w:rsidP="00F662F6">
      <w:pPr>
        <w:rPr>
          <w:noProof/>
        </w:rPr>
      </w:pPr>
      <w:r>
        <w:rPr>
          <w:noProof/>
        </w:rPr>
        <w:drawing>
          <wp:inline distT="0" distB="0" distL="0" distR="0" wp14:anchorId="1E6B005A" wp14:editId="063BB617">
            <wp:extent cx="8185611" cy="7708532"/>
            <wp:effectExtent l="0" t="0" r="0" b="6985"/>
            <wp:docPr id="156333187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0083" cy="772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E328B7" w14:textId="28F6770A" w:rsidR="00F662F6" w:rsidRDefault="00F662F6" w:rsidP="00F662F6">
      <w:pPr>
        <w:tabs>
          <w:tab w:val="left" w:pos="6260"/>
        </w:tabs>
      </w:pPr>
    </w:p>
    <w:p w14:paraId="77A7C61C" w14:textId="77777777" w:rsidR="00F662F6" w:rsidRDefault="00F662F6" w:rsidP="00F662F6">
      <w:pPr>
        <w:tabs>
          <w:tab w:val="left" w:pos="6260"/>
        </w:tabs>
      </w:pPr>
    </w:p>
    <w:p w14:paraId="07CB9355" w14:textId="77777777" w:rsidR="00F662F6" w:rsidRDefault="00F662F6" w:rsidP="00F662F6">
      <w:pPr>
        <w:tabs>
          <w:tab w:val="left" w:pos="6260"/>
        </w:tabs>
      </w:pPr>
    </w:p>
    <w:p w14:paraId="1A8B8B42" w14:textId="77777777" w:rsidR="00F662F6" w:rsidRDefault="00F662F6" w:rsidP="00F662F6">
      <w:pPr>
        <w:tabs>
          <w:tab w:val="left" w:pos="6260"/>
        </w:tabs>
      </w:pPr>
    </w:p>
    <w:p w14:paraId="62DA448C" w14:textId="77777777" w:rsidR="00F662F6" w:rsidRDefault="00F662F6" w:rsidP="00F662F6">
      <w:pPr>
        <w:tabs>
          <w:tab w:val="left" w:pos="6260"/>
        </w:tabs>
      </w:pPr>
    </w:p>
    <w:p w14:paraId="51E54943" w14:textId="6545309E" w:rsidR="00F662F6" w:rsidRDefault="009D2FAA" w:rsidP="00F662F6">
      <w:pPr>
        <w:tabs>
          <w:tab w:val="left" w:pos="6260"/>
        </w:tabs>
      </w:pPr>
      <w:r>
        <w:rPr>
          <w:noProof/>
        </w:rPr>
        <w:drawing>
          <wp:inline distT="0" distB="0" distL="0" distR="0" wp14:anchorId="147602E4" wp14:editId="7FE480DD">
            <wp:extent cx="8846820" cy="8395568"/>
            <wp:effectExtent l="0" t="0" r="0" b="5715"/>
            <wp:docPr id="20605816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4638" cy="84029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6E8F77" w14:textId="77777777" w:rsidR="009D2FAA" w:rsidRDefault="009D2FAA" w:rsidP="00F662F6">
      <w:pPr>
        <w:tabs>
          <w:tab w:val="left" w:pos="6260"/>
        </w:tabs>
      </w:pPr>
    </w:p>
    <w:p w14:paraId="5A5F2963" w14:textId="77777777" w:rsidR="009D2FAA" w:rsidRDefault="009D2FAA" w:rsidP="00F662F6">
      <w:pPr>
        <w:tabs>
          <w:tab w:val="left" w:pos="6260"/>
        </w:tabs>
      </w:pPr>
    </w:p>
    <w:p w14:paraId="612CE698" w14:textId="77777777" w:rsidR="009D2FAA" w:rsidRDefault="009D2FAA" w:rsidP="00F662F6">
      <w:pPr>
        <w:tabs>
          <w:tab w:val="left" w:pos="6260"/>
        </w:tabs>
      </w:pPr>
    </w:p>
    <w:p w14:paraId="51DD4B9B" w14:textId="77777777" w:rsidR="009D2FAA" w:rsidRDefault="009D2FAA" w:rsidP="00F662F6">
      <w:pPr>
        <w:tabs>
          <w:tab w:val="left" w:pos="6260"/>
        </w:tabs>
      </w:pPr>
    </w:p>
    <w:p w14:paraId="6E86C780" w14:textId="753C17BD" w:rsidR="009D2FAA" w:rsidRDefault="00861978" w:rsidP="00F662F6">
      <w:pPr>
        <w:tabs>
          <w:tab w:val="left" w:pos="6260"/>
        </w:tabs>
      </w:pPr>
      <w:r>
        <w:rPr>
          <w:noProof/>
        </w:rPr>
        <w:drawing>
          <wp:inline distT="0" distB="0" distL="0" distR="0" wp14:anchorId="72A50A3F" wp14:editId="38AB9DA8">
            <wp:extent cx="8719526" cy="8140700"/>
            <wp:effectExtent l="0" t="0" r="0" b="0"/>
            <wp:docPr id="101575679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9008" cy="81495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E768CF" w14:textId="2EA04A6D" w:rsidR="00861978" w:rsidRPr="00145C4E" w:rsidRDefault="00861978" w:rsidP="00861978">
      <w:pPr>
        <w:rPr>
          <w:rFonts w:ascii="Times New Roman" w:hAnsi="Times New Roman" w:cs="Times New Roman"/>
          <w:sz w:val="24"/>
          <w:szCs w:val="24"/>
        </w:rPr>
      </w:pPr>
      <w:bookmarkStart w:id="0" w:name="_Hlk187669970"/>
      <w:r w:rsidRPr="00145C4E">
        <w:rPr>
          <w:rFonts w:ascii="Times New Roman" w:hAnsi="Times New Roman" w:cs="Times New Roman"/>
          <w:b/>
          <w:bCs/>
          <w:sz w:val="24"/>
          <w:szCs w:val="24"/>
        </w:rPr>
        <w:t>Supplemental Fi</w:t>
      </w:r>
      <w:r w:rsidR="002D126A" w:rsidRPr="00145C4E">
        <w:rPr>
          <w:rFonts w:ascii="Times New Roman" w:hAnsi="Times New Roman" w:cs="Times New Roman"/>
          <w:b/>
          <w:bCs/>
          <w:sz w:val="24"/>
          <w:szCs w:val="24"/>
        </w:rPr>
        <w:t>le</w:t>
      </w:r>
      <w:r w:rsidRPr="00145C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D181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45C4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1" w:name="_Hlk187670079"/>
      <w:r w:rsidRPr="00145C4E">
        <w:rPr>
          <w:rFonts w:ascii="Times New Roman" w:hAnsi="Times New Roman" w:cs="Times New Roman"/>
          <w:sz w:val="24"/>
          <w:szCs w:val="24"/>
        </w:rPr>
        <w:t>Habitat</w:t>
      </w:r>
      <w:r w:rsidR="002E5284">
        <w:rPr>
          <w:rFonts w:ascii="Times New Roman" w:hAnsi="Times New Roman" w:cs="Times New Roman"/>
          <w:sz w:val="24"/>
          <w:szCs w:val="24"/>
        </w:rPr>
        <w:t>-</w:t>
      </w:r>
      <w:r w:rsidRPr="00145C4E">
        <w:rPr>
          <w:rFonts w:ascii="Times New Roman" w:hAnsi="Times New Roman" w:cs="Times New Roman"/>
          <w:sz w:val="24"/>
          <w:szCs w:val="24"/>
        </w:rPr>
        <w:t>use patterns identified from agglomerative hierarchical clustering</w:t>
      </w:r>
      <w:r w:rsidR="002D126A" w:rsidRPr="00145C4E">
        <w:rPr>
          <w:rFonts w:ascii="Times New Roman" w:hAnsi="Times New Roman" w:cs="Times New Roman"/>
          <w:sz w:val="24"/>
          <w:szCs w:val="24"/>
        </w:rPr>
        <w:t xml:space="preserve"> and visual inspections</w:t>
      </w:r>
      <w:r w:rsidRPr="00145C4E">
        <w:rPr>
          <w:rFonts w:ascii="Times New Roman" w:hAnsi="Times New Roman" w:cs="Times New Roman"/>
          <w:sz w:val="24"/>
          <w:szCs w:val="24"/>
        </w:rPr>
        <w:t xml:space="preserve"> of habitat sequences for all six populations investigated.</w:t>
      </w:r>
      <w:bookmarkStart w:id="2" w:name="_Hlk184118057"/>
      <w:bookmarkStart w:id="3" w:name="_Hlk184204554"/>
      <w:r w:rsidR="003E4224" w:rsidRPr="00145C4E">
        <w:rPr>
          <w:rFonts w:ascii="Times New Roman" w:hAnsi="Times New Roman" w:cs="Times New Roman"/>
          <w:sz w:val="24"/>
          <w:szCs w:val="24"/>
        </w:rPr>
        <w:t xml:space="preserve"> “Lake dominant” individuals primarily resided in lakes but were also detected in rivers, </w:t>
      </w:r>
      <w:r w:rsidR="003E4224" w:rsidRPr="00145C4E">
        <w:rPr>
          <w:rFonts w:ascii="Times New Roman" w:hAnsi="Times New Roman" w:cs="Times New Roman"/>
          <w:kern w:val="0"/>
          <w:sz w:val="24"/>
          <w:szCs w:val="24"/>
          <w14:ligatures w14:val="none"/>
        </w:rPr>
        <w:t>whereas “river dominant” individuals occupied rivers exclusively or were occasionally detected in lakes</w:t>
      </w:r>
      <w:r w:rsidR="004E049F">
        <w:rPr>
          <w:rFonts w:ascii="Times New Roman" w:hAnsi="Times New Roman" w:cs="Times New Roman"/>
          <w:sz w:val="24"/>
          <w:szCs w:val="24"/>
        </w:rPr>
        <w:t>.</w:t>
      </w:r>
      <w:r w:rsidR="003E4224" w:rsidRPr="00145C4E">
        <w:rPr>
          <w:rFonts w:ascii="Times New Roman" w:hAnsi="Times New Roman" w:cs="Times New Roman"/>
          <w:sz w:val="24"/>
          <w:szCs w:val="24"/>
        </w:rPr>
        <w:t xml:space="preserve"> “50:50 </w:t>
      </w:r>
      <w:proofErr w:type="spellStart"/>
      <w:proofErr w:type="gramStart"/>
      <w:r w:rsidR="003E4224" w:rsidRPr="00145C4E">
        <w:rPr>
          <w:rFonts w:ascii="Times New Roman" w:hAnsi="Times New Roman" w:cs="Times New Roman"/>
          <w:sz w:val="24"/>
          <w:szCs w:val="24"/>
        </w:rPr>
        <w:t>lake:river</w:t>
      </w:r>
      <w:proofErr w:type="spellEnd"/>
      <w:proofErr w:type="gramEnd"/>
      <w:r w:rsidR="003E4224" w:rsidRPr="00145C4E">
        <w:rPr>
          <w:rFonts w:ascii="Times New Roman" w:hAnsi="Times New Roman" w:cs="Times New Roman"/>
          <w:sz w:val="24"/>
          <w:szCs w:val="24"/>
        </w:rPr>
        <w:t xml:space="preserve">” individuals alternated approximately one-year periods between lake and river habitats. </w:t>
      </w:r>
      <w:r w:rsidRPr="00145C4E">
        <w:rPr>
          <w:rFonts w:ascii="Times New Roman" w:hAnsi="Times New Roman" w:cs="Times New Roman"/>
          <w:sz w:val="24"/>
          <w:szCs w:val="24"/>
        </w:rPr>
        <w:t>Solid horizontal lines delineate habitat use groups</w:t>
      </w:r>
      <w:bookmarkEnd w:id="2"/>
      <w:r w:rsidRPr="00145C4E">
        <w:rPr>
          <w:rFonts w:ascii="Times New Roman" w:hAnsi="Times New Roman" w:cs="Times New Roman"/>
          <w:sz w:val="24"/>
          <w:szCs w:val="24"/>
        </w:rPr>
        <w:t xml:space="preserve">, and gray bars indicate the typical lake sturgeon spawning season in the Laurentian Great Lakes (April-June). </w:t>
      </w:r>
      <w:bookmarkEnd w:id="0"/>
      <w:bookmarkEnd w:id="1"/>
      <w:bookmarkEnd w:id="3"/>
    </w:p>
    <w:sectPr w:rsidR="00861978" w:rsidRPr="00145C4E" w:rsidSect="0078762F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62F"/>
    <w:rsid w:val="00145C4E"/>
    <w:rsid w:val="002D126A"/>
    <w:rsid w:val="002E5284"/>
    <w:rsid w:val="00306841"/>
    <w:rsid w:val="003870D8"/>
    <w:rsid w:val="003E4224"/>
    <w:rsid w:val="004E049F"/>
    <w:rsid w:val="006755F5"/>
    <w:rsid w:val="0078762F"/>
    <w:rsid w:val="00861978"/>
    <w:rsid w:val="009D1816"/>
    <w:rsid w:val="009D2FAA"/>
    <w:rsid w:val="00BF7735"/>
    <w:rsid w:val="00EE38D8"/>
    <w:rsid w:val="00F6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69B4B"/>
  <w15:chartTrackingRefBased/>
  <w15:docId w15:val="{9757E670-E975-4AAE-A3D2-11B1907C7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Fissette, Skye D</dc:creator>
  <cp:keywords/>
  <dc:description/>
  <cp:lastModifiedBy>Fissette, Skye D</cp:lastModifiedBy>
  <cp:revision>8</cp:revision>
  <dcterms:created xsi:type="dcterms:W3CDTF">2025-01-13T18:37:00Z</dcterms:created>
  <dcterms:modified xsi:type="dcterms:W3CDTF">2025-05-15T18:23:00Z</dcterms:modified>
</cp:coreProperties>
</file>