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C731F" w14:textId="3DFBA7DF" w:rsidR="006755F5" w:rsidRDefault="00C939F6">
      <w:r>
        <w:rPr>
          <w:noProof/>
        </w:rPr>
        <w:drawing>
          <wp:inline distT="0" distB="0" distL="0" distR="0" wp14:anchorId="6FA0F376" wp14:editId="714C603D">
            <wp:extent cx="7353767" cy="3911913"/>
            <wp:effectExtent l="0" t="0" r="0" b="0"/>
            <wp:docPr id="1313284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96610" cy="3934704"/>
                    </a:xfrm>
                    <a:prstGeom prst="rect">
                      <a:avLst/>
                    </a:prstGeom>
                    <a:noFill/>
                  </pic:spPr>
                </pic:pic>
              </a:graphicData>
            </a:graphic>
          </wp:inline>
        </w:drawing>
      </w:r>
    </w:p>
    <w:p w14:paraId="1E6B5929" w14:textId="21A5CBB3" w:rsidR="00C939F6" w:rsidRDefault="00C939F6">
      <w:r>
        <w:rPr>
          <w:noProof/>
        </w:rPr>
        <w:drawing>
          <wp:inline distT="0" distB="0" distL="0" distR="0" wp14:anchorId="4B1C07EA" wp14:editId="1B825039">
            <wp:extent cx="7328535" cy="3909559"/>
            <wp:effectExtent l="0" t="0" r="0" b="0"/>
            <wp:docPr id="94050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49347" cy="3920661"/>
                    </a:xfrm>
                    <a:prstGeom prst="rect">
                      <a:avLst/>
                    </a:prstGeom>
                    <a:noFill/>
                  </pic:spPr>
                </pic:pic>
              </a:graphicData>
            </a:graphic>
          </wp:inline>
        </w:drawing>
      </w:r>
    </w:p>
    <w:p w14:paraId="42D090DC" w14:textId="404FB3B8" w:rsidR="00C939F6" w:rsidRDefault="00C939F6">
      <w:r>
        <w:rPr>
          <w:noProof/>
        </w:rPr>
        <w:lastRenderedPageBreak/>
        <w:drawing>
          <wp:inline distT="0" distB="0" distL="0" distR="0" wp14:anchorId="2D4F0641" wp14:editId="69346E8F">
            <wp:extent cx="7334642" cy="4726277"/>
            <wp:effectExtent l="0" t="0" r="0" b="0"/>
            <wp:docPr id="11511160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80252" cy="4755667"/>
                    </a:xfrm>
                    <a:prstGeom prst="rect">
                      <a:avLst/>
                    </a:prstGeom>
                    <a:noFill/>
                  </pic:spPr>
                </pic:pic>
              </a:graphicData>
            </a:graphic>
          </wp:inline>
        </w:drawing>
      </w:r>
    </w:p>
    <w:p w14:paraId="7DD0CDA2" w14:textId="00AD6364" w:rsidR="00C939F6" w:rsidRDefault="00C939F6">
      <w:r>
        <w:rPr>
          <w:noProof/>
        </w:rPr>
        <w:drawing>
          <wp:inline distT="0" distB="0" distL="0" distR="0" wp14:anchorId="4D3658F7" wp14:editId="1825477E">
            <wp:extent cx="6714698" cy="4288244"/>
            <wp:effectExtent l="0" t="0" r="0" b="0"/>
            <wp:docPr id="631700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41932" cy="4305636"/>
                    </a:xfrm>
                    <a:prstGeom prst="rect">
                      <a:avLst/>
                    </a:prstGeom>
                    <a:noFill/>
                  </pic:spPr>
                </pic:pic>
              </a:graphicData>
            </a:graphic>
          </wp:inline>
        </w:drawing>
      </w:r>
    </w:p>
    <w:p w14:paraId="1EB291DB" w14:textId="075C0479" w:rsidR="00C939F6" w:rsidRDefault="00C939F6">
      <w:r>
        <w:rPr>
          <w:noProof/>
        </w:rPr>
        <w:drawing>
          <wp:inline distT="0" distB="0" distL="0" distR="0" wp14:anchorId="5E6D68B6" wp14:editId="351595EC">
            <wp:extent cx="7331102" cy="3916617"/>
            <wp:effectExtent l="0" t="0" r="0" b="8255"/>
            <wp:docPr id="386262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56109" cy="3929977"/>
                    </a:xfrm>
                    <a:prstGeom prst="rect">
                      <a:avLst/>
                    </a:prstGeom>
                    <a:noFill/>
                  </pic:spPr>
                </pic:pic>
              </a:graphicData>
            </a:graphic>
          </wp:inline>
        </w:drawing>
      </w:r>
    </w:p>
    <w:p w14:paraId="012DBBA5" w14:textId="1C71D031" w:rsidR="00C939F6" w:rsidRDefault="00C939F6">
      <w:r>
        <w:rPr>
          <w:noProof/>
        </w:rPr>
        <w:drawing>
          <wp:inline distT="0" distB="0" distL="0" distR="0" wp14:anchorId="37CF4998" wp14:editId="39B02203">
            <wp:extent cx="7385223" cy="4114717"/>
            <wp:effectExtent l="0" t="0" r="0" b="635"/>
            <wp:docPr id="15098371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089" cy="4139157"/>
                    </a:xfrm>
                    <a:prstGeom prst="rect">
                      <a:avLst/>
                    </a:prstGeom>
                    <a:noFill/>
                  </pic:spPr>
                </pic:pic>
              </a:graphicData>
            </a:graphic>
          </wp:inline>
        </w:drawing>
      </w:r>
    </w:p>
    <w:p w14:paraId="7CDBC822" w14:textId="59BF8192" w:rsidR="00C939F6" w:rsidRPr="004F6FA7" w:rsidRDefault="00C939F6" w:rsidP="00C939F6">
      <w:pPr>
        <w:rPr>
          <w:rFonts w:ascii="Times New Roman" w:hAnsi="Times New Roman" w:cs="Times New Roman"/>
        </w:rPr>
      </w:pPr>
      <w:r w:rsidRPr="005D2CC0">
        <w:rPr>
          <w:rFonts w:ascii="Times New Roman" w:hAnsi="Times New Roman" w:cs="Times New Roman"/>
          <w:b/>
          <w:bCs/>
        </w:rPr>
        <w:t>Supplemental Fi</w:t>
      </w:r>
      <w:r>
        <w:rPr>
          <w:rFonts w:ascii="Times New Roman" w:hAnsi="Times New Roman" w:cs="Times New Roman"/>
          <w:b/>
          <w:bCs/>
        </w:rPr>
        <w:t xml:space="preserve">le </w:t>
      </w:r>
      <w:r w:rsidR="002E424B">
        <w:rPr>
          <w:rFonts w:ascii="Times New Roman" w:hAnsi="Times New Roman" w:cs="Times New Roman"/>
          <w:b/>
          <w:bCs/>
        </w:rPr>
        <w:t>7</w:t>
      </w:r>
      <w:r w:rsidRPr="005D2CC0">
        <w:rPr>
          <w:rFonts w:ascii="Times New Roman" w:hAnsi="Times New Roman" w:cs="Times New Roman"/>
          <w:b/>
          <w:bCs/>
        </w:rPr>
        <w:t xml:space="preserve">. </w:t>
      </w:r>
      <w:r>
        <w:rPr>
          <w:rFonts w:ascii="Times New Roman" w:hAnsi="Times New Roman" w:cs="Times New Roman"/>
        </w:rPr>
        <w:t xml:space="preserve">Regional </w:t>
      </w:r>
      <w:r w:rsidRPr="005D2CC0">
        <w:rPr>
          <w:rFonts w:ascii="Times New Roman" w:hAnsi="Times New Roman" w:cs="Times New Roman"/>
        </w:rPr>
        <w:t>sequences displaying the</w:t>
      </w:r>
      <w:r>
        <w:rPr>
          <w:rFonts w:ascii="Times New Roman" w:hAnsi="Times New Roman" w:cs="Times New Roman"/>
        </w:rPr>
        <w:t xml:space="preserve"> assigned</w:t>
      </w:r>
      <w:r w:rsidRPr="005D2CC0">
        <w:rPr>
          <w:rFonts w:ascii="Times New Roman" w:hAnsi="Times New Roman" w:cs="Times New Roman"/>
        </w:rPr>
        <w:t xml:space="preserve"> migratory behavior and contingent for all classified individuals (</w:t>
      </w:r>
      <w:r w:rsidRPr="005D2CC0">
        <w:rPr>
          <w:rFonts w:ascii="Times New Roman" w:hAnsi="Times New Roman" w:cs="Times New Roman"/>
          <w:i/>
          <w:iCs/>
        </w:rPr>
        <w:t>N</w:t>
      </w:r>
      <w:r w:rsidRPr="005D2CC0">
        <w:rPr>
          <w:rFonts w:ascii="Times New Roman" w:hAnsi="Times New Roman" w:cs="Times New Roman"/>
        </w:rPr>
        <w:t>=</w:t>
      </w:r>
      <w:r>
        <w:rPr>
          <w:rFonts w:ascii="Times New Roman" w:hAnsi="Times New Roman" w:cs="Times New Roman"/>
        </w:rPr>
        <w:t>185</w:t>
      </w:r>
      <w:r w:rsidRPr="005D2CC0">
        <w:rPr>
          <w:rFonts w:ascii="Times New Roman" w:hAnsi="Times New Roman" w:cs="Times New Roman"/>
        </w:rPr>
        <w:t xml:space="preserve">) from the </w:t>
      </w:r>
      <w:r>
        <w:rPr>
          <w:rFonts w:ascii="Times New Roman" w:hAnsi="Times New Roman" w:cs="Times New Roman"/>
        </w:rPr>
        <w:t>Green Bay</w:t>
      </w:r>
      <w:r w:rsidRPr="005D2CC0">
        <w:rPr>
          <w:rFonts w:ascii="Times New Roman" w:hAnsi="Times New Roman" w:cs="Times New Roman"/>
        </w:rPr>
        <w:t xml:space="preserve"> population. </w:t>
      </w:r>
      <w:r>
        <w:rPr>
          <w:rFonts w:ascii="Times New Roman" w:hAnsi="Times New Roman" w:cs="Times New Roman"/>
        </w:rPr>
        <w:t>One group of i</w:t>
      </w:r>
      <w:r w:rsidRPr="005D2CC0">
        <w:rPr>
          <w:rFonts w:ascii="Times New Roman" w:hAnsi="Times New Roman" w:cs="Times New Roman"/>
        </w:rPr>
        <w:t>ndividuals w</w:t>
      </w:r>
      <w:r>
        <w:rPr>
          <w:rFonts w:ascii="Times New Roman" w:hAnsi="Times New Roman" w:cs="Times New Roman"/>
        </w:rPr>
        <w:t>as</w:t>
      </w:r>
      <w:r w:rsidRPr="005D2CC0">
        <w:rPr>
          <w:rFonts w:ascii="Times New Roman" w:hAnsi="Times New Roman" w:cs="Times New Roman"/>
        </w:rPr>
        <w:t xml:space="preserve"> classified using agglomerative hierarchical clustering followed by visual inspection of habitat and regional sequences</w:t>
      </w:r>
      <w:r>
        <w:rPr>
          <w:rFonts w:ascii="Times New Roman" w:hAnsi="Times New Roman" w:cs="Times New Roman"/>
        </w:rPr>
        <w:t xml:space="preserve"> (</w:t>
      </w:r>
      <w:r>
        <w:rPr>
          <w:rFonts w:ascii="Times New Roman" w:hAnsi="Times New Roman" w:cs="Times New Roman"/>
          <w:i/>
          <w:iCs/>
        </w:rPr>
        <w:t>N</w:t>
      </w:r>
      <w:r>
        <w:rPr>
          <w:rFonts w:ascii="Times New Roman" w:hAnsi="Times New Roman" w:cs="Times New Roman"/>
        </w:rPr>
        <w:t>=117) and another group was classified by visual inspection alone (</w:t>
      </w:r>
      <w:r>
        <w:rPr>
          <w:rFonts w:ascii="Times New Roman" w:hAnsi="Times New Roman" w:cs="Times New Roman"/>
          <w:i/>
          <w:iCs/>
        </w:rPr>
        <w:t>N</w:t>
      </w:r>
      <w:r>
        <w:rPr>
          <w:rFonts w:ascii="Times New Roman" w:hAnsi="Times New Roman" w:cs="Times New Roman"/>
        </w:rPr>
        <w:t>=68)</w:t>
      </w:r>
      <w:r w:rsidRPr="005D2CC0">
        <w:rPr>
          <w:rFonts w:ascii="Times New Roman" w:hAnsi="Times New Roman" w:cs="Times New Roman"/>
        </w:rPr>
        <w:t>.</w:t>
      </w:r>
      <w:r>
        <w:rPr>
          <w:rFonts w:ascii="Times New Roman" w:hAnsi="Times New Roman" w:cs="Times New Roman"/>
        </w:rPr>
        <w:t xml:space="preserve"> Horizontal dashed lines and tag IDs within black boxes delineate individuals classified by visual inspection alone. </w:t>
      </w:r>
      <w:r w:rsidRPr="005D2CC0">
        <w:rPr>
          <w:rFonts w:ascii="Times New Roman" w:hAnsi="Times New Roman" w:cs="Times New Roman"/>
        </w:rPr>
        <w:t xml:space="preserve">Contingents are displayed on the right </w:t>
      </w:r>
      <w:r>
        <w:rPr>
          <w:rFonts w:ascii="Times New Roman" w:hAnsi="Times New Roman" w:cs="Times New Roman"/>
        </w:rPr>
        <w:t xml:space="preserve">side of each migratory behavior plot, and all </w:t>
      </w:r>
      <w:r w:rsidRPr="005D2CC0">
        <w:rPr>
          <w:rFonts w:ascii="Times New Roman" w:hAnsi="Times New Roman" w:cs="Times New Roman"/>
        </w:rPr>
        <w:t>regional names</w:t>
      </w:r>
      <w:r>
        <w:rPr>
          <w:rFonts w:ascii="Times New Roman" w:hAnsi="Times New Roman" w:cs="Times New Roman"/>
        </w:rPr>
        <w:t xml:space="preserve"> used for contingents</w:t>
      </w:r>
      <w:r w:rsidRPr="005D2CC0">
        <w:rPr>
          <w:rFonts w:ascii="Times New Roman" w:hAnsi="Times New Roman" w:cs="Times New Roman"/>
        </w:rPr>
        <w:t xml:space="preserve"> are abbreviated: L</w:t>
      </w:r>
      <w:r>
        <w:rPr>
          <w:rFonts w:ascii="Times New Roman" w:hAnsi="Times New Roman" w:cs="Times New Roman"/>
        </w:rPr>
        <w:t>ake</w:t>
      </w:r>
      <w:r w:rsidRPr="005D2CC0">
        <w:rPr>
          <w:rFonts w:ascii="Times New Roman" w:hAnsi="Times New Roman" w:cs="Times New Roman"/>
        </w:rPr>
        <w:t xml:space="preserve"> </w:t>
      </w:r>
      <w:r>
        <w:rPr>
          <w:rFonts w:ascii="Times New Roman" w:hAnsi="Times New Roman" w:cs="Times New Roman"/>
        </w:rPr>
        <w:t>Michigan</w:t>
      </w:r>
      <w:r w:rsidRPr="005D2CC0">
        <w:rPr>
          <w:rFonts w:ascii="Times New Roman" w:hAnsi="Times New Roman" w:cs="Times New Roman"/>
        </w:rPr>
        <w:t xml:space="preserve"> (L</w:t>
      </w:r>
      <w:r>
        <w:rPr>
          <w:rFonts w:ascii="Times New Roman" w:hAnsi="Times New Roman" w:cs="Times New Roman"/>
        </w:rPr>
        <w:t>M</w:t>
      </w:r>
      <w:r w:rsidRPr="005D2CC0">
        <w:rPr>
          <w:rFonts w:ascii="Times New Roman" w:hAnsi="Times New Roman" w:cs="Times New Roman"/>
        </w:rPr>
        <w:t>)</w:t>
      </w:r>
      <w:r w:rsidRPr="005D2CC0">
        <w:rPr>
          <w:rFonts w:ascii="Times New Roman" w:hAnsi="Times New Roman" w:cs="Times New Roman"/>
          <w:b/>
          <w:bCs/>
        </w:rPr>
        <w:t xml:space="preserve">, </w:t>
      </w:r>
      <w:r>
        <w:rPr>
          <w:rFonts w:ascii="Times New Roman" w:hAnsi="Times New Roman" w:cs="Times New Roman"/>
        </w:rPr>
        <w:t xml:space="preserve">Fox </w:t>
      </w:r>
      <w:r w:rsidRPr="005D2CC0">
        <w:rPr>
          <w:rFonts w:ascii="Times New Roman" w:hAnsi="Times New Roman" w:cs="Times New Roman"/>
        </w:rPr>
        <w:t>R</w:t>
      </w:r>
      <w:r>
        <w:rPr>
          <w:rFonts w:ascii="Times New Roman" w:hAnsi="Times New Roman" w:cs="Times New Roman"/>
        </w:rPr>
        <w:t>iver</w:t>
      </w:r>
      <w:r w:rsidRPr="005D2CC0">
        <w:rPr>
          <w:rFonts w:ascii="Times New Roman" w:hAnsi="Times New Roman" w:cs="Times New Roman"/>
        </w:rPr>
        <w:t xml:space="preserve"> (</w:t>
      </w:r>
      <w:r>
        <w:rPr>
          <w:rFonts w:ascii="Times New Roman" w:hAnsi="Times New Roman" w:cs="Times New Roman"/>
        </w:rPr>
        <w:t>FR</w:t>
      </w:r>
      <w:r w:rsidRPr="005D2CC0">
        <w:rPr>
          <w:rFonts w:ascii="Times New Roman" w:hAnsi="Times New Roman" w:cs="Times New Roman"/>
        </w:rPr>
        <w:t xml:space="preserve">), </w:t>
      </w:r>
      <w:r>
        <w:rPr>
          <w:rFonts w:ascii="Times New Roman" w:hAnsi="Times New Roman" w:cs="Times New Roman"/>
        </w:rPr>
        <w:t>Menominee River</w:t>
      </w:r>
      <w:r w:rsidRPr="005D2CC0">
        <w:rPr>
          <w:rFonts w:ascii="Times New Roman" w:hAnsi="Times New Roman" w:cs="Times New Roman"/>
        </w:rPr>
        <w:t xml:space="preserve"> (</w:t>
      </w:r>
      <w:r>
        <w:rPr>
          <w:rFonts w:ascii="Times New Roman" w:hAnsi="Times New Roman" w:cs="Times New Roman"/>
        </w:rPr>
        <w:t>MR</w:t>
      </w:r>
      <w:r w:rsidRPr="005D2CC0">
        <w:rPr>
          <w:rFonts w:ascii="Times New Roman" w:hAnsi="Times New Roman" w:cs="Times New Roman"/>
        </w:rPr>
        <w:t>)</w:t>
      </w:r>
      <w:r>
        <w:rPr>
          <w:rFonts w:ascii="Times New Roman" w:hAnsi="Times New Roman" w:cs="Times New Roman"/>
        </w:rPr>
        <w:t>, Oconto River (OR), Peshtigo River (PR)</w:t>
      </w:r>
      <w:r w:rsidRPr="005D2CC0">
        <w:rPr>
          <w:rFonts w:ascii="Times New Roman" w:hAnsi="Times New Roman" w:cs="Times New Roman"/>
        </w:rPr>
        <w:t>.</w:t>
      </w:r>
      <w:r>
        <w:rPr>
          <w:rFonts w:ascii="Times New Roman" w:hAnsi="Times New Roman" w:cs="Times New Roman"/>
        </w:rPr>
        <w:t xml:space="preserve"> Minor tributaries include the </w:t>
      </w:r>
      <w:r w:rsidRPr="003264E1">
        <w:rPr>
          <w:rFonts w:ascii="Times New Roman" w:hAnsi="Times New Roman" w:cs="Times New Roman"/>
        </w:rPr>
        <w:t>Cedar R</w:t>
      </w:r>
      <w:r>
        <w:rPr>
          <w:rFonts w:ascii="Times New Roman" w:hAnsi="Times New Roman" w:cs="Times New Roman"/>
        </w:rPr>
        <w:t>iver</w:t>
      </w:r>
      <w:r w:rsidRPr="003264E1">
        <w:rPr>
          <w:rFonts w:ascii="Times New Roman" w:hAnsi="Times New Roman" w:cs="Times New Roman"/>
        </w:rPr>
        <w:t>, Ford R</w:t>
      </w:r>
      <w:r>
        <w:rPr>
          <w:rFonts w:ascii="Times New Roman" w:hAnsi="Times New Roman" w:cs="Times New Roman"/>
        </w:rPr>
        <w:t>iver</w:t>
      </w:r>
      <w:r w:rsidRPr="003264E1">
        <w:rPr>
          <w:rFonts w:ascii="Times New Roman" w:hAnsi="Times New Roman" w:cs="Times New Roman"/>
        </w:rPr>
        <w:t>, Duck Cr</w:t>
      </w:r>
      <w:r>
        <w:rPr>
          <w:rFonts w:ascii="Times New Roman" w:hAnsi="Times New Roman" w:cs="Times New Roman"/>
        </w:rPr>
        <w:t>eek</w:t>
      </w:r>
      <w:r w:rsidRPr="003264E1">
        <w:rPr>
          <w:rFonts w:ascii="Times New Roman" w:hAnsi="Times New Roman" w:cs="Times New Roman"/>
        </w:rPr>
        <w:t xml:space="preserve">, </w:t>
      </w:r>
      <w:proofErr w:type="spellStart"/>
      <w:r w:rsidRPr="003264E1">
        <w:rPr>
          <w:rFonts w:ascii="Times New Roman" w:hAnsi="Times New Roman" w:cs="Times New Roman"/>
        </w:rPr>
        <w:t>Pensaukee</w:t>
      </w:r>
      <w:proofErr w:type="spellEnd"/>
      <w:r w:rsidRPr="003264E1">
        <w:rPr>
          <w:rFonts w:ascii="Times New Roman" w:hAnsi="Times New Roman" w:cs="Times New Roman"/>
        </w:rPr>
        <w:t xml:space="preserve"> R</w:t>
      </w:r>
      <w:r>
        <w:rPr>
          <w:rFonts w:ascii="Times New Roman" w:hAnsi="Times New Roman" w:cs="Times New Roman"/>
        </w:rPr>
        <w:t>iver</w:t>
      </w:r>
      <w:r w:rsidRPr="003264E1">
        <w:rPr>
          <w:rFonts w:ascii="Times New Roman" w:hAnsi="Times New Roman" w:cs="Times New Roman"/>
        </w:rPr>
        <w:t xml:space="preserve">, </w:t>
      </w:r>
      <w:proofErr w:type="spellStart"/>
      <w:r w:rsidRPr="003264E1">
        <w:rPr>
          <w:rFonts w:ascii="Times New Roman" w:hAnsi="Times New Roman" w:cs="Times New Roman"/>
        </w:rPr>
        <w:t>Suamico</w:t>
      </w:r>
      <w:proofErr w:type="spellEnd"/>
      <w:r w:rsidRPr="003264E1">
        <w:rPr>
          <w:rFonts w:ascii="Times New Roman" w:hAnsi="Times New Roman" w:cs="Times New Roman"/>
        </w:rPr>
        <w:t xml:space="preserve"> R</w:t>
      </w:r>
      <w:r>
        <w:rPr>
          <w:rFonts w:ascii="Times New Roman" w:hAnsi="Times New Roman" w:cs="Times New Roman"/>
        </w:rPr>
        <w:t>iver</w:t>
      </w:r>
      <w:r w:rsidRPr="003264E1">
        <w:rPr>
          <w:rFonts w:ascii="Times New Roman" w:hAnsi="Times New Roman" w:cs="Times New Roman"/>
        </w:rPr>
        <w:t xml:space="preserve">, Little </w:t>
      </w:r>
      <w:proofErr w:type="spellStart"/>
      <w:r w:rsidRPr="003264E1">
        <w:rPr>
          <w:rFonts w:ascii="Times New Roman" w:hAnsi="Times New Roman" w:cs="Times New Roman"/>
        </w:rPr>
        <w:t>Suamico</w:t>
      </w:r>
      <w:proofErr w:type="spellEnd"/>
      <w:r w:rsidRPr="003264E1">
        <w:rPr>
          <w:rFonts w:ascii="Times New Roman" w:hAnsi="Times New Roman" w:cs="Times New Roman"/>
        </w:rPr>
        <w:t xml:space="preserve"> R</w:t>
      </w:r>
      <w:r>
        <w:rPr>
          <w:rFonts w:ascii="Times New Roman" w:hAnsi="Times New Roman" w:cs="Times New Roman"/>
        </w:rPr>
        <w:t>iver</w:t>
      </w:r>
      <w:r w:rsidRPr="003264E1">
        <w:rPr>
          <w:rFonts w:ascii="Times New Roman" w:hAnsi="Times New Roman" w:cs="Times New Roman"/>
        </w:rPr>
        <w:t xml:space="preserve">, </w:t>
      </w:r>
      <w:r>
        <w:rPr>
          <w:rFonts w:ascii="Times New Roman" w:hAnsi="Times New Roman" w:cs="Times New Roman"/>
        </w:rPr>
        <w:t xml:space="preserve">and </w:t>
      </w:r>
      <w:r w:rsidRPr="003264E1">
        <w:rPr>
          <w:rFonts w:ascii="Times New Roman" w:hAnsi="Times New Roman" w:cs="Times New Roman"/>
        </w:rPr>
        <w:t>Rapid R</w:t>
      </w:r>
      <w:r>
        <w:rPr>
          <w:rFonts w:ascii="Times New Roman" w:hAnsi="Times New Roman" w:cs="Times New Roman"/>
        </w:rPr>
        <w:t xml:space="preserve">iver. </w:t>
      </w:r>
      <w:bookmarkStart w:id="0" w:name="_Hlk184118057"/>
      <w:bookmarkStart w:id="1" w:name="_Hlk184204554"/>
      <w:r>
        <w:rPr>
          <w:rFonts w:ascii="Times New Roman" w:hAnsi="Times New Roman" w:cs="Times New Roman"/>
        </w:rPr>
        <w:t xml:space="preserve">Solid horizontal lines delineate contingents, </w:t>
      </w:r>
      <w:bookmarkEnd w:id="0"/>
      <w:r>
        <w:rPr>
          <w:rFonts w:ascii="Times New Roman" w:hAnsi="Times New Roman" w:cs="Times New Roman"/>
        </w:rPr>
        <w:t xml:space="preserve">gray </w:t>
      </w:r>
      <w:r w:rsidRPr="005D2CC0">
        <w:rPr>
          <w:rFonts w:ascii="Times New Roman" w:hAnsi="Times New Roman" w:cs="Times New Roman"/>
        </w:rPr>
        <w:t>bars indicate the typical lake sturgeon spawning season in the Laurentian Great Lakes (April-June)</w:t>
      </w:r>
      <w:r>
        <w:rPr>
          <w:rFonts w:ascii="Times New Roman" w:hAnsi="Times New Roman" w:cs="Times New Roman"/>
        </w:rPr>
        <w:t>, and the vertical dashed line denotes the daily location history time frame used for sequence analyses (6</w:t>
      </w:r>
      <w:r w:rsidRPr="003264E1">
        <w:rPr>
          <w:rFonts w:ascii="Times New Roman" w:hAnsi="Times New Roman" w:cs="Times New Roman"/>
        </w:rPr>
        <w:t>/</w:t>
      </w:r>
      <w:r>
        <w:rPr>
          <w:rFonts w:ascii="Times New Roman" w:hAnsi="Times New Roman" w:cs="Times New Roman"/>
        </w:rPr>
        <w:t>29</w:t>
      </w:r>
      <w:r w:rsidRPr="003264E1">
        <w:rPr>
          <w:rFonts w:ascii="Times New Roman" w:hAnsi="Times New Roman" w:cs="Times New Roman"/>
        </w:rPr>
        <w:t>/20</w:t>
      </w:r>
      <w:r>
        <w:rPr>
          <w:rFonts w:ascii="Times New Roman" w:hAnsi="Times New Roman" w:cs="Times New Roman"/>
        </w:rPr>
        <w:t>21</w:t>
      </w:r>
      <w:r w:rsidRPr="003264E1">
        <w:rPr>
          <w:rFonts w:ascii="Times New Roman" w:hAnsi="Times New Roman" w:cs="Times New Roman"/>
        </w:rPr>
        <w:t xml:space="preserve"> – 10/05/2023</w:t>
      </w:r>
      <w:r>
        <w:rPr>
          <w:rFonts w:ascii="Times New Roman" w:hAnsi="Times New Roman" w:cs="Times New Roman"/>
        </w:rPr>
        <w:t>). Gaps in sequences prior to the dashed line or for individuals classified via visual inspection alone did not have last observation carried forward applied and therefore display data based solely on receiver detections. Data prior to 2016 were not plotted due to the minimal number of detections present during those years (</w:t>
      </w:r>
      <w:r>
        <w:rPr>
          <w:rFonts w:ascii="Times New Roman" w:hAnsi="Times New Roman" w:cs="Times New Roman"/>
          <w:i/>
          <w:iCs/>
        </w:rPr>
        <w:t>N=</w:t>
      </w:r>
      <w:r>
        <w:rPr>
          <w:rFonts w:ascii="Times New Roman" w:hAnsi="Times New Roman" w:cs="Times New Roman"/>
        </w:rPr>
        <w:t xml:space="preserve">117). </w:t>
      </w:r>
      <w:bookmarkEnd w:id="1"/>
    </w:p>
    <w:p w14:paraId="51EC99F9" w14:textId="77777777" w:rsidR="00C939F6" w:rsidRDefault="00C939F6"/>
    <w:sectPr w:rsidR="00C939F6" w:rsidSect="00C939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9F6"/>
    <w:rsid w:val="002E424B"/>
    <w:rsid w:val="006755F5"/>
    <w:rsid w:val="00BF7735"/>
    <w:rsid w:val="00C939F6"/>
    <w:rsid w:val="00CE1024"/>
    <w:rsid w:val="00EE38D8"/>
    <w:rsid w:val="00F92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93ED6"/>
  <w15:chartTrackingRefBased/>
  <w15:docId w15:val="{591AB919-C8DE-4D80-A699-ABE2BF99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3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39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39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39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39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9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9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9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9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9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9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39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9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9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9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9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9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9F6"/>
    <w:rPr>
      <w:rFonts w:eastAsiaTheme="majorEastAsia" w:cstheme="majorBidi"/>
      <w:color w:val="272727" w:themeColor="text1" w:themeTint="D8"/>
    </w:rPr>
  </w:style>
  <w:style w:type="paragraph" w:styleId="Title">
    <w:name w:val="Title"/>
    <w:basedOn w:val="Normal"/>
    <w:next w:val="Normal"/>
    <w:link w:val="TitleChar"/>
    <w:uiPriority w:val="10"/>
    <w:qFormat/>
    <w:rsid w:val="00C93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9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9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9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9F6"/>
    <w:pPr>
      <w:spacing w:before="160"/>
      <w:jc w:val="center"/>
    </w:pPr>
    <w:rPr>
      <w:i/>
      <w:iCs/>
      <w:color w:val="404040" w:themeColor="text1" w:themeTint="BF"/>
    </w:rPr>
  </w:style>
  <w:style w:type="character" w:customStyle="1" w:styleId="QuoteChar">
    <w:name w:val="Quote Char"/>
    <w:basedOn w:val="DefaultParagraphFont"/>
    <w:link w:val="Quote"/>
    <w:uiPriority w:val="29"/>
    <w:rsid w:val="00C939F6"/>
    <w:rPr>
      <w:i/>
      <w:iCs/>
      <w:color w:val="404040" w:themeColor="text1" w:themeTint="BF"/>
    </w:rPr>
  </w:style>
  <w:style w:type="paragraph" w:styleId="ListParagraph">
    <w:name w:val="List Paragraph"/>
    <w:basedOn w:val="Normal"/>
    <w:uiPriority w:val="34"/>
    <w:qFormat/>
    <w:rsid w:val="00C939F6"/>
    <w:pPr>
      <w:ind w:left="720"/>
      <w:contextualSpacing/>
    </w:pPr>
  </w:style>
  <w:style w:type="character" w:styleId="IntenseEmphasis">
    <w:name w:val="Intense Emphasis"/>
    <w:basedOn w:val="DefaultParagraphFont"/>
    <w:uiPriority w:val="21"/>
    <w:qFormat/>
    <w:rsid w:val="00C939F6"/>
    <w:rPr>
      <w:i/>
      <w:iCs/>
      <w:color w:val="0F4761" w:themeColor="accent1" w:themeShade="BF"/>
    </w:rPr>
  </w:style>
  <w:style w:type="paragraph" w:styleId="IntenseQuote">
    <w:name w:val="Intense Quote"/>
    <w:basedOn w:val="Normal"/>
    <w:next w:val="Normal"/>
    <w:link w:val="IntenseQuoteChar"/>
    <w:uiPriority w:val="30"/>
    <w:qFormat/>
    <w:rsid w:val="00C93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9F6"/>
    <w:rPr>
      <w:i/>
      <w:iCs/>
      <w:color w:val="0F4761" w:themeColor="accent1" w:themeShade="BF"/>
    </w:rPr>
  </w:style>
  <w:style w:type="character" w:styleId="IntenseReference">
    <w:name w:val="Intense Reference"/>
    <w:basedOn w:val="DefaultParagraphFont"/>
    <w:uiPriority w:val="32"/>
    <w:qFormat/>
    <w:rsid w:val="00C939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224</Words>
  <Characters>1282</Characters>
  <Application>Microsoft Office Word</Application>
  <DocSecurity>0</DocSecurity>
  <Lines>10</Lines>
  <Paragraphs>3</Paragraphs>
  <ScaleCrop>false</ScaleCrop>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Fissette, Skye D</dc:creator>
  <cp:keywords/>
  <dc:description/>
  <cp:lastModifiedBy>Fissette, Skye D</cp:lastModifiedBy>
  <cp:revision>2</cp:revision>
  <dcterms:created xsi:type="dcterms:W3CDTF">2025-05-14T17:18:00Z</dcterms:created>
  <dcterms:modified xsi:type="dcterms:W3CDTF">2025-05-14T18:24:00Z</dcterms:modified>
</cp:coreProperties>
</file>