
<file path=[Content_Types].xml><?xml version="1.0" encoding="utf-8"?>
<Types xmlns="http://schemas.openxmlformats.org/package/2006/content-types">
  <Default Extension="bin" ContentType="application/vnd.openxmlformats-officedocument.oleObject"/>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A5BAE">
      <w:pPr>
        <w:autoSpaceDE w:val="0"/>
        <w:autoSpaceDN w:val="0"/>
        <w:spacing w:before="60"/>
        <w:ind w:left="120"/>
        <w:jc w:val="left"/>
        <w:rPr>
          <w:rFonts w:ascii="Times New Roman" w:hAnsi="Times New Roman" w:eastAsia="Times New Roman" w:cs="Times New Roman"/>
          <w:sz w:val="36"/>
          <w:szCs w:val="36"/>
          <w:lang w:eastAsia="en-US"/>
        </w:rPr>
      </w:pPr>
      <w:r>
        <w:rPr>
          <w:rFonts w:ascii="Times New Roman" w:hAnsi="Times New Roman" w:eastAsia="Times New Roman" w:cs="Times New Roman"/>
          <w:sz w:val="36"/>
          <w:szCs w:val="36"/>
          <w:lang w:eastAsia="en-US"/>
        </w:rPr>
        <w:t>Appendix for</w:t>
      </w:r>
    </w:p>
    <w:p w14:paraId="461C1394">
      <w:pPr>
        <w:pStyle w:val="2"/>
        <w:keepNext w:val="0"/>
        <w:keepLines w:val="0"/>
        <w:rPr>
          <w:rFonts w:ascii="Times New Roman" w:hAnsi="Times New Roman" w:eastAsia="Times New Roman" w:cs="Times New Roman"/>
          <w:kern w:val="0"/>
          <w:sz w:val="32"/>
          <w:szCs w:val="32"/>
          <w:highlight w:val="yellow"/>
          <w:lang w:eastAsia="en-US"/>
        </w:rPr>
      </w:pPr>
      <w:r>
        <w:rPr>
          <w:rFonts w:ascii="Times New Roman" w:hAnsi="Times New Roman" w:eastAsia="Times New Roman" w:cs="Times New Roman"/>
          <w:kern w:val="0"/>
          <w:sz w:val="32"/>
          <w:szCs w:val="32"/>
          <w:lang w:eastAsia="en-US"/>
        </w:rPr>
        <w:t>ERSF-VIPA Framework: Scalable Wildlife Movement Modelling for Conflict Mitigation</w:t>
      </w:r>
    </w:p>
    <w:p w14:paraId="3E27E7C9">
      <w:pPr>
        <w:rPr>
          <w:rFonts w:ascii="Times New Roman" w:hAnsi="Times New Roman" w:cs="Times New Roman"/>
          <w:sz w:val="24"/>
        </w:rPr>
      </w:pPr>
    </w:p>
    <w:p w14:paraId="1BF3EDC0">
      <w:pPr>
        <w:pStyle w:val="3"/>
        <w:rPr>
          <w:rFonts w:cs="Times New Roman"/>
        </w:rPr>
      </w:pPr>
      <w:r>
        <w:rPr>
          <w:rFonts w:cs="Times New Roman"/>
        </w:rPr>
        <w:t>Appendix 1: Environmental impact factor data preprocessing</w:t>
      </w:r>
    </w:p>
    <w:p w14:paraId="77F4AF85">
      <w:pPr>
        <w:spacing w:line="360" w:lineRule="auto"/>
        <w:ind w:firstLine="480" w:firstLineChars="200"/>
        <w:rPr>
          <w:rFonts w:ascii="Times New Roman" w:hAnsi="Times New Roman" w:cs="Times New Roman"/>
          <w:sz w:val="24"/>
        </w:rPr>
      </w:pPr>
      <w:r>
        <w:rPr>
          <w:rFonts w:ascii="Times New Roman" w:hAnsi="Times New Roman" w:cs="Times New Roman"/>
          <w:sz w:val="24"/>
        </w:rPr>
        <w:t>To construct a robust environmental predictor set for the ERSF-VIPA we integrated terrain, habitat use, distance, and other variables based on their ecological relevance to Asian elephant (</w:t>
      </w:r>
      <w:r>
        <w:rPr>
          <w:rFonts w:ascii="Times New Roman" w:hAnsi="Times New Roman" w:cs="Times New Roman"/>
          <w:i/>
          <w:iCs/>
          <w:sz w:val="24"/>
        </w:rPr>
        <w:t>Elephas maximus</w:t>
      </w:r>
      <w:r>
        <w:rPr>
          <w:rFonts w:ascii="Times New Roman" w:hAnsi="Times New Roman" w:cs="Times New Roman"/>
          <w:sz w:val="24"/>
        </w:rPr>
        <w:t>) movement. All spatial data layers were preprocessed using standardized geospatial procedures and resampled to a common spatial resolution to ensure consistency in covariate extraction and subsequent modeling.</w:t>
      </w:r>
    </w:p>
    <w:p w14:paraId="00FE7A2E">
      <w:pPr>
        <w:spacing w:line="360" w:lineRule="auto"/>
        <w:ind w:firstLine="480" w:firstLineChars="200"/>
        <w:rPr>
          <w:rFonts w:ascii="Times New Roman" w:hAnsi="Times New Roman" w:cs="Times New Roman"/>
          <w:sz w:val="24"/>
        </w:rPr>
      </w:pPr>
      <w:r>
        <w:rPr>
          <w:rFonts w:ascii="Times New Roman" w:hAnsi="Times New Roman" w:cs="Times New Roman"/>
          <w:sz w:val="24"/>
        </w:rPr>
        <w:t>1、Initial Processing</w:t>
      </w:r>
    </w:p>
    <w:p w14:paraId="3DA1E9BD">
      <w:pPr>
        <w:spacing w:line="360" w:lineRule="auto"/>
        <w:ind w:firstLine="480" w:firstLineChars="200"/>
        <w:rPr>
          <w:rFonts w:ascii="Times New Roman" w:hAnsi="Times New Roman" w:cs="Times New Roman"/>
          <w:sz w:val="24"/>
        </w:rPr>
      </w:pPr>
      <w:r>
        <w:rPr>
          <w:rFonts w:ascii="Times New Roman" w:hAnsi="Times New Roman" w:cs="Times New Roman"/>
          <w:sz w:val="24"/>
        </w:rPr>
        <w:t>Terrain factors were derived from Ziyuan-3 satellite imagery (2016) after geometric correction in ENVI v5.6. A 2 m resolution digital orthophoto map (DOM) was generated through stereo image processing and orthorectification. A 5 m digital elevation model (DEM) was extracted and used to compute slope and slope direction (aspect) in ArcGIS v10.8. These variables serve as proxies for energy expenditure and physical accessibility in elephant movement. Previous research has shown that elephants prefer flat to gently sloped terrain (&lt;15°) and avoid steep slopes, particularly in forested environments (Kumar et al., 2024). This makes topographic constraints important to movement modeling.</w:t>
      </w:r>
    </w:p>
    <w:p w14:paraId="0790C5E4">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Habitat use layers included arable land (China Vegetation Journal, 2022), plantations (tea and coffee), grassland, natural forest, artificial forest, and man-made surfaces. These land cover types were derived from the SinoLC-1 dataset (2023) and the national land use extent database (2020) and were selected due to their differential influence on elephant habitat preference. For instance, elephants tend to avoid intensively cultivated cropland and impervious surfaces but show positive selection for forest–farmland ecotones and forested habitats that provide cover and forage (Zhang et al., 2022). </w:t>
      </w:r>
    </w:p>
    <w:p w14:paraId="58046CAE">
      <w:pPr>
        <w:spacing w:line="360" w:lineRule="auto"/>
        <w:ind w:firstLine="480" w:firstLineChars="200"/>
        <w:rPr>
          <w:rFonts w:ascii="Times New Roman" w:hAnsi="Times New Roman" w:cs="Times New Roman"/>
          <w:sz w:val="24"/>
        </w:rPr>
      </w:pPr>
      <w:r>
        <w:rPr>
          <w:rFonts w:ascii="Times New Roman" w:hAnsi="Times New Roman" w:cs="Times New Roman"/>
          <w:sz w:val="24"/>
        </w:rPr>
        <w:t>Distance-based features were included to represent anthropogenic disturbance and resource accessibility. Euclidean distances to the nearest water sources and roads were computed using OpenStreetMap data (2016), while distances to human activity areas were derived from WorldPop datasets (100 m resolution). These metrics reflect both attraction to essential resources and avoidance of human presence, as elephants often exhibit spatial trade-offs between resource use and human disturbance (Selier et al., 20</w:t>
      </w:r>
      <w:r>
        <w:rPr>
          <w:rFonts w:hint="eastAsia" w:ascii="Times New Roman" w:hAnsi="Times New Roman" w:cs="Times New Roman"/>
          <w:sz w:val="24"/>
        </w:rPr>
        <w:t>15</w:t>
      </w:r>
      <w:r>
        <w:rPr>
          <w:rFonts w:ascii="Times New Roman" w:hAnsi="Times New Roman" w:cs="Times New Roman"/>
          <w:sz w:val="24"/>
        </w:rPr>
        <w:t xml:space="preserve">). </w:t>
      </w:r>
    </w:p>
    <w:p w14:paraId="3CCA3989">
      <w:pPr>
        <w:spacing w:line="360" w:lineRule="auto"/>
        <w:ind w:firstLine="480" w:firstLineChars="200"/>
        <w:rPr>
          <w:rFonts w:ascii="Times New Roman" w:hAnsi="Times New Roman" w:cs="Times New Roman"/>
          <w:sz w:val="24"/>
        </w:rPr>
      </w:pPr>
      <w:r>
        <w:rPr>
          <w:rFonts w:ascii="Times New Roman" w:hAnsi="Times New Roman" w:cs="Times New Roman"/>
          <w:sz w:val="24"/>
        </w:rPr>
        <w:t>Tree height, sourced from Global Forest Watch (2024), was included as an indicator of vegetation structure, which has been linked to both visibility and forage access in large herbivores (Coverdale et al., 20</w:t>
      </w:r>
      <w:r>
        <w:rPr>
          <w:rFonts w:hint="eastAsia" w:ascii="Times New Roman" w:hAnsi="Times New Roman" w:cs="Times New Roman"/>
          <w:sz w:val="24"/>
        </w:rPr>
        <w:t>24</w:t>
      </w:r>
      <w:r>
        <w:rPr>
          <w:rFonts w:ascii="Times New Roman" w:hAnsi="Times New Roman" w:cs="Times New Roman"/>
          <w:sz w:val="24"/>
        </w:rPr>
        <w:t>). Normalized Difference Vegetation Index (NDVI), calculated from Ziyuan-3 imagery, was used to reflect vegetation productivity and seasonal habitat quality. NDVI has been widely used in habitat modeling to quantify food resource abundance (White et al., 20</w:t>
      </w:r>
      <w:r>
        <w:rPr>
          <w:rFonts w:hint="eastAsia" w:ascii="Times New Roman" w:hAnsi="Times New Roman" w:cs="Times New Roman"/>
          <w:sz w:val="24"/>
        </w:rPr>
        <w:t>22</w:t>
      </w:r>
      <w:r>
        <w:rPr>
          <w:rFonts w:ascii="Times New Roman" w:hAnsi="Times New Roman" w:cs="Times New Roman"/>
          <w:sz w:val="24"/>
        </w:rPr>
        <w:t>). In addition, distance to salt sources, locally known as nitrate ponds and a key source of supplemental minerals, was included based on a dataset developed by Huang (2021), acknowledging elephants’ year round reliance on such nutrient sources (Darker et al., 20</w:t>
      </w:r>
      <w:r>
        <w:rPr>
          <w:rFonts w:hint="eastAsia" w:ascii="Times New Roman" w:hAnsi="Times New Roman" w:cs="Times New Roman"/>
          <w:sz w:val="24"/>
        </w:rPr>
        <w:t>22</w:t>
      </w:r>
      <w:r>
        <w:rPr>
          <w:rFonts w:ascii="Times New Roman" w:hAnsi="Times New Roman" w:cs="Times New Roman"/>
          <w:sz w:val="24"/>
        </w:rPr>
        <w:t>).</w:t>
      </w:r>
    </w:p>
    <w:p w14:paraId="350E0CF2">
      <w:pPr>
        <w:spacing w:line="360" w:lineRule="auto"/>
        <w:ind w:firstLine="480" w:firstLineChars="200"/>
        <w:rPr>
          <w:rFonts w:ascii="Times New Roman" w:hAnsi="Times New Roman" w:cs="Times New Roman"/>
          <w:sz w:val="24"/>
        </w:rPr>
      </w:pPr>
      <w:r>
        <w:rPr>
          <w:rFonts w:ascii="Times New Roman" w:hAnsi="Times New Roman" w:cs="Times New Roman"/>
          <w:sz w:val="24"/>
        </w:rPr>
        <w:t>2、Data Overlay</w:t>
      </w:r>
    </w:p>
    <w:p w14:paraId="77136106">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All raster  data were projected into a consistent coordinate system (WGS 1984 UTM Zone 48N) and spatially aligned. Raster layers were resampled to a uniform 2 m resolution using bilinear interpolation to match the native resolution of the DOM and NDVI products. This spatial harmonization minimized georeferencing errors, facilitated accurate overlay operations, and enhanced the precision of cell-based environmental attribute extraction on the hexagonal grid used in the ERSF-VIPA </w:t>
      </w:r>
      <w:r>
        <w:rPr>
          <w:rFonts w:hint="eastAsia" w:ascii="Times New Roman" w:hAnsi="Times New Roman" w:cs="Times New Roman"/>
          <w:sz w:val="24"/>
        </w:rPr>
        <w:t xml:space="preserve">framework </w:t>
      </w:r>
      <w:r>
        <w:rPr>
          <w:rFonts w:ascii="Times New Roman" w:hAnsi="Times New Roman" w:cs="Times New Roman"/>
          <w:sz w:val="24"/>
        </w:rPr>
        <w:t>(</w:t>
      </w:r>
      <w:r>
        <w:rPr>
          <w:rFonts w:hint="eastAsia" w:ascii="Times New Roman" w:hAnsi="Times New Roman" w:cs="Times New Roman"/>
          <w:sz w:val="24"/>
        </w:rPr>
        <w:t>Li</w:t>
      </w:r>
      <w:r>
        <w:rPr>
          <w:rFonts w:ascii="Times New Roman" w:hAnsi="Times New Roman" w:cs="Times New Roman"/>
          <w:sz w:val="24"/>
        </w:rPr>
        <w:t>, 20</w:t>
      </w:r>
      <w:r>
        <w:rPr>
          <w:rFonts w:hint="eastAsia" w:ascii="Times New Roman" w:hAnsi="Times New Roman" w:cs="Times New Roman"/>
          <w:sz w:val="24"/>
        </w:rPr>
        <w:t>23</w:t>
      </w:r>
      <w:r>
        <w:rPr>
          <w:rFonts w:ascii="Times New Roman" w:hAnsi="Times New Roman" w:cs="Times New Roman"/>
          <w:sz w:val="24"/>
        </w:rPr>
        <w:t>). The final set of covariates was clipped to the study extent and used as input for model training and simulation.</w:t>
      </w:r>
    </w:p>
    <w:p w14:paraId="3D7E1D77">
      <w:pPr>
        <w:pStyle w:val="3"/>
        <w:rPr>
          <w:rFonts w:cs="Times New Roman"/>
        </w:rPr>
      </w:pPr>
      <w:r>
        <w:rPr>
          <w:rFonts w:cs="Times New Roman"/>
        </w:rPr>
        <w:t xml:space="preserve">Appendix </w:t>
      </w:r>
      <w:r>
        <w:rPr>
          <w:rFonts w:hint="eastAsia" w:cs="Times New Roman"/>
        </w:rPr>
        <w:t>2</w:t>
      </w:r>
      <w:r>
        <w:rPr>
          <w:rFonts w:cs="Times New Roman"/>
        </w:rPr>
        <w:t>: Classical Resource Selection Function (RSF) Overview</w:t>
      </w:r>
    </w:p>
    <w:p w14:paraId="2A3D227E">
      <w:pPr>
        <w:spacing w:line="360" w:lineRule="auto"/>
        <w:ind w:firstLine="480" w:firstLineChars="200"/>
        <w:rPr>
          <w:rFonts w:ascii="Times New Roman" w:hAnsi="Times New Roman" w:cs="Times New Roman"/>
          <w:sz w:val="24"/>
        </w:rPr>
      </w:pPr>
      <w:r>
        <w:rPr>
          <w:rFonts w:ascii="Times New Roman" w:hAnsi="Times New Roman" w:cs="Times New Roman"/>
          <w:sz w:val="24"/>
        </w:rPr>
        <w:t>Traditional RSF (Boyce et al., 2002) are widely used to quantify the relationship between environmental variables and the probability of species occurrence. In their most basic form, RSFs are formulated using logistic regression to compare environmental attributes at known presence locations (used sites) against those at available but unused sites (pseudo-absences or background):</w:t>
      </w:r>
    </w:p>
    <w:p w14:paraId="06610176">
      <w:pPr>
        <w:spacing w:line="360" w:lineRule="auto"/>
        <w:jc w:val="center"/>
        <w:rPr>
          <w:rFonts w:ascii="Times New Roman" w:hAnsi="Times New Roman" w:cs="Times New Roman"/>
          <w:sz w:val="24"/>
        </w:rPr>
      </w:pPr>
      <w:r>
        <w:rPr>
          <w:rFonts w:ascii="Times New Roman" w:hAnsi="Times New Roman" w:cs="Times New Roman"/>
          <w:position w:val="-10"/>
          <w:sz w:val="24"/>
        </w:rPr>
        <w:object>
          <v:shape id="_x0000_i1025" o:spt="75" type="#_x0000_t75" style="height:18pt;width:206pt;" o:ole="t" filled="f" o:preferrelative="t" stroked="f" coordsize="21600,21600">
            <v:path/>
            <v:fill on="f" focussize="0,0"/>
            <v:stroke on="f" joinstyle="miter"/>
            <v:imagedata r:id="rId5" o:title=""/>
            <o:lock v:ext="edit" aspectratio="t"/>
            <w10:wrap type="none"/>
            <w10:anchorlock/>
          </v:shape>
          <o:OLEObject Type="Embed" ProgID="Equation.AxMath" ShapeID="_x0000_i1025" DrawAspect="Content" ObjectID="_1468075725" r:id="rId4">
            <o:LockedField>false</o:LockedField>
          </o:OLEObject>
        </w:object>
      </w:r>
    </w:p>
    <w:p w14:paraId="5281BC7F">
      <w:pPr>
        <w:spacing w:line="360" w:lineRule="auto"/>
        <w:ind w:firstLine="480" w:firstLineChars="200"/>
        <w:rPr>
          <w:rFonts w:ascii="Times New Roman" w:hAnsi="Times New Roman" w:cs="Times New Roman"/>
          <w:sz w:val="24"/>
        </w:rPr>
      </w:pPr>
      <w:r>
        <w:rPr>
          <w:rFonts w:ascii="Times New Roman" w:hAnsi="Times New Roman" w:cs="Times New Roman"/>
          <w:sz w:val="24"/>
        </w:rPr>
        <w:t>where:</w:t>
      </w:r>
    </w:p>
    <w:p w14:paraId="5629298E">
      <w:pPr>
        <w:spacing w:line="360" w:lineRule="auto"/>
        <w:ind w:firstLine="480" w:firstLineChars="200"/>
        <w:rPr>
          <w:rFonts w:ascii="Times New Roman" w:hAnsi="Times New Roman" w:cs="Times New Roman"/>
          <w:sz w:val="24"/>
        </w:rPr>
      </w:pPr>
      <w:r>
        <w:rPr>
          <w:rFonts w:ascii="Times New Roman" w:hAnsi="Times New Roman" w:cs="Times New Roman"/>
          <w:position w:val="-10"/>
          <w:sz w:val="24"/>
        </w:rPr>
        <w:object>
          <v:shape id="_x0000_i1026" o:spt="75" type="#_x0000_t75" style="height:18pt;width:31pt;" o:ole="t" filled="f" o:preferrelative="t" stroked="f" coordsize="21600,21600">
            <v:path/>
            <v:fill on="f" focussize="0,0"/>
            <v:stroke on="f" joinstyle="miter"/>
            <v:imagedata r:id="rId7" o:title=""/>
            <o:lock v:ext="edit" aspectratio="t"/>
            <w10:wrap type="none"/>
            <w10:anchorlock/>
          </v:shape>
          <o:OLEObject Type="Embed" ProgID="Equation.AxMath" ShapeID="_x0000_i1026" DrawAspect="Content" ObjectID="_1468075726" r:id="rId6">
            <o:LockedField>false</o:LockedField>
          </o:OLEObject>
        </w:object>
      </w:r>
      <w:r>
        <w:rPr>
          <w:rFonts w:ascii="Times New Roman" w:hAnsi="Times New Roman" w:cs="Times New Roman"/>
          <w:sz w:val="24"/>
        </w:rPr>
        <w:t xml:space="preserve"> is the resource selection weight for a location with covariate vector</w:t>
      </w:r>
      <w:r>
        <w:rPr>
          <w:rFonts w:hint="eastAsia" w:ascii="Times New Roman" w:hAnsi="Times New Roman" w:cs="Times New Roman"/>
          <w:sz w:val="24"/>
        </w:rPr>
        <w:t>;</w:t>
      </w:r>
    </w:p>
    <w:p w14:paraId="042C0920">
      <w:pPr>
        <w:spacing w:line="360" w:lineRule="auto"/>
        <w:ind w:firstLine="480" w:firstLineChars="200"/>
        <w:rPr>
          <w:rFonts w:ascii="Times New Roman" w:hAnsi="Times New Roman" w:cs="Times New Roman"/>
          <w:sz w:val="24"/>
        </w:rPr>
      </w:pPr>
      <w:r>
        <w:rPr>
          <w:rFonts w:ascii="Times New Roman" w:hAnsi="Times New Roman" w:cs="Times New Roman"/>
          <w:position w:val="-10"/>
          <w:sz w:val="24"/>
        </w:rPr>
        <w:object>
          <v:shape id="_x0000_i1027" o:spt="75" type="#_x0000_t75" style="height:18pt;width:53pt;" o:ole="t" filled="f" o:preferrelative="t" stroked="f" coordsize="21600,21600">
            <v:path/>
            <v:fill on="f" focussize="0,0"/>
            <v:stroke on="f" joinstyle="miter"/>
            <v:imagedata r:id="rId9" o:title=""/>
            <o:lock v:ext="edit" aspectratio="t"/>
            <w10:wrap type="none"/>
            <w10:anchorlock/>
          </v:shape>
          <o:OLEObject Type="Embed" ProgID="Equation.AxMath" ShapeID="_x0000_i1027" DrawAspect="Content" ObjectID="_1468075727" r:id="rId8">
            <o:LockedField>false</o:LockedField>
          </o:OLEObject>
        </w:object>
      </w:r>
      <w:r>
        <w:rPr>
          <w:rFonts w:hint="eastAsia" w:ascii="Times New Roman" w:hAnsi="Times New Roman" w:cs="Times New Roman"/>
          <w:sz w:val="24"/>
        </w:rPr>
        <w:t xml:space="preserve"> </w:t>
      </w:r>
      <w:r>
        <w:rPr>
          <w:rFonts w:ascii="Times New Roman" w:hAnsi="Times New Roman" w:cs="Times New Roman"/>
          <w:sz w:val="24"/>
        </w:rPr>
        <w:t>are regression coefficients estimated from data;</w:t>
      </w:r>
    </w:p>
    <w:p w14:paraId="2866D09E">
      <w:pPr>
        <w:spacing w:line="360" w:lineRule="auto"/>
        <w:ind w:firstLine="480" w:firstLineChars="200"/>
        <w:rPr>
          <w:rFonts w:ascii="Times New Roman" w:hAnsi="Times New Roman" w:cs="Times New Roman"/>
          <w:sz w:val="24"/>
        </w:rPr>
      </w:pPr>
      <w:r>
        <w:rPr>
          <w:rFonts w:ascii="Times New Roman" w:hAnsi="Times New Roman" w:cs="Times New Roman"/>
          <w:position w:val="-10"/>
          <w:sz w:val="24"/>
        </w:rPr>
        <w:object>
          <v:shape id="_x0000_i1028" o:spt="75" type="#_x0000_t75" style="height:18pt;width:48pt;" o:ole="t" filled="f" o:preferrelative="t" stroked="f" coordsize="21600,21600">
            <v:path/>
            <v:fill on="f" focussize="0,0"/>
            <v:stroke on="f" joinstyle="miter"/>
            <v:imagedata r:id="rId11" o:title=""/>
            <o:lock v:ext="edit" aspectratio="t"/>
            <w10:wrap type="none"/>
            <w10:anchorlock/>
          </v:shape>
          <o:OLEObject Type="Embed" ProgID="Equation.AxMath" ShapeID="_x0000_i1028" DrawAspect="Content" ObjectID="_1468075728" r:id="rId10">
            <o:LockedField>false</o:LockedField>
          </o:OLEObject>
        </w:object>
      </w:r>
      <w:r>
        <w:rPr>
          <w:rFonts w:ascii="Times New Roman" w:hAnsi="Times New Roman" w:cs="Times New Roman"/>
          <w:sz w:val="24"/>
        </w:rPr>
        <w:t xml:space="preserve"> are environmental predictors (e.g., distance to road, NDVI, elevation).</w:t>
      </w:r>
    </w:p>
    <w:p w14:paraId="0B5DF586">
      <w:pPr>
        <w:spacing w:line="360" w:lineRule="auto"/>
        <w:ind w:firstLine="480" w:firstLineChars="200"/>
        <w:rPr>
          <w:rFonts w:ascii="Times New Roman" w:hAnsi="Times New Roman" w:cs="Times New Roman"/>
          <w:sz w:val="24"/>
        </w:rPr>
      </w:pPr>
      <w:r>
        <w:rPr>
          <w:rFonts w:ascii="Times New Roman" w:hAnsi="Times New Roman" w:cs="Times New Roman"/>
          <w:sz w:val="24"/>
        </w:rPr>
        <w:t>This log-linear formulation assumes a monotonic and additive relationship between predictors and the response. While interpretable, this assumption often fails to capture nonlinear ecological responses or interactions. For this reason, we adopted a non-parametric alternative in our ERSF framework, replacing the log-linear model with a random forest classifier (see Section 2.3.1).</w:t>
      </w:r>
    </w:p>
    <w:p w14:paraId="2EA0CB08">
      <w:pPr>
        <w:pStyle w:val="3"/>
        <w:rPr>
          <w:rFonts w:cs="Times New Roman"/>
        </w:rPr>
      </w:pPr>
      <w:r>
        <w:rPr>
          <w:rFonts w:cs="Times New Roman"/>
        </w:rPr>
        <w:t xml:space="preserve">Appendix </w:t>
      </w:r>
      <w:r>
        <w:rPr>
          <w:rFonts w:hint="eastAsia" w:cs="Times New Roman"/>
        </w:rPr>
        <w:t>3</w:t>
      </w:r>
      <w:r>
        <w:rPr>
          <w:rFonts w:cs="Times New Roman"/>
        </w:rPr>
        <w:t>: Generation and Sensitivity Analysis of Absence Points</w:t>
      </w:r>
    </w:p>
    <w:p w14:paraId="6999B1F8">
      <w:pPr>
        <w:spacing w:line="360" w:lineRule="auto"/>
        <w:ind w:firstLine="480" w:firstLineChars="200"/>
        <w:rPr>
          <w:rFonts w:ascii="Times New Roman" w:hAnsi="Times New Roman" w:cs="Times New Roman"/>
          <w:sz w:val="24"/>
        </w:rPr>
      </w:pPr>
      <w:r>
        <w:rPr>
          <w:rFonts w:ascii="Times New Roman" w:hAnsi="Times New Roman" w:cs="Times New Roman"/>
          <w:sz w:val="24"/>
        </w:rPr>
        <w:t>Pseudo-absence points were generated to facilitate the construction of ERSF. Given the absence of confirmed true-absence data for this Asian elephant population, we adopted a presence–pseudo-absence approach, a widely accepted method in species distribution modeling</w:t>
      </w:r>
      <w:r>
        <w:rPr>
          <w:rFonts w:hint="default" w:ascii="Times New Roman" w:hAnsi="Times New Roman" w:cs="Times New Roman"/>
          <w:sz w:val="24"/>
        </w:rPr>
        <w:t xml:space="preserve"> (Senay et al., 2013)</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To ensure a representative contrast between used and unused habitats, pseudo-absence points were randomly sampled across the study region using the following protocol.</w:t>
      </w:r>
    </w:p>
    <w:p w14:paraId="484D5C8C">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For each presence point, five pseudo-absence points were generated, resulting in a 1:5 ratio of presences to absences. A minimum exclusion distance of </w:t>
      </w:r>
      <w:r>
        <w:rPr>
          <w:rFonts w:hint="eastAsia" w:ascii="Times New Roman" w:hAnsi="Times New Roman" w:cs="Times New Roman"/>
          <w:sz w:val="24"/>
        </w:rPr>
        <w:t>1</w:t>
      </w:r>
      <w:r>
        <w:rPr>
          <w:rFonts w:ascii="Times New Roman" w:hAnsi="Times New Roman" w:cs="Times New Roman"/>
          <w:sz w:val="24"/>
        </w:rPr>
        <w:t xml:space="preserve"> km was imposed around all presence points to avoid spatial overlap and minimize potential commission errors. To reduce commission errors and improve ecological validity, pseudo-absence points were only sampled from habitat types theoretically accessible but unoccupied by Asian elephants. This constraint was operationalized based on a combination of environmental variables and ecological knowledge: </w:t>
      </w:r>
    </w:p>
    <w:p w14:paraId="5AE43E73">
      <w:pPr>
        <w:spacing w:line="360" w:lineRule="auto"/>
        <w:ind w:firstLine="480" w:firstLineChars="200"/>
        <w:rPr>
          <w:rFonts w:ascii="Times New Roman" w:hAnsi="Times New Roman" w:cs="Times New Roman"/>
          <w:sz w:val="24"/>
        </w:rPr>
      </w:pPr>
      <w:r>
        <w:rPr>
          <w:rFonts w:ascii="Times New Roman" w:hAnsi="Times New Roman" w:cs="Times New Roman"/>
          <w:sz w:val="24"/>
        </w:rPr>
        <w:t>Specifically, elevation data were used to exclude high-altitude regions above 2500 m a.s.l., aligning with the species' known altitudinal constraints in Yunnan Province</w:t>
      </w:r>
      <w:r>
        <w:rPr>
          <w:rFonts w:hint="eastAsia" w:ascii="Times New Roman" w:hAnsi="Times New Roman" w:cs="Times New Roman"/>
          <w:sz w:val="24"/>
        </w:rPr>
        <w:t xml:space="preserve"> (Kumar et al., 2023)</w:t>
      </w:r>
      <w:r>
        <w:rPr>
          <w:rFonts w:ascii="Times New Roman" w:hAnsi="Times New Roman" w:cs="Times New Roman"/>
          <w:sz w:val="24"/>
        </w:rPr>
        <w:t>. Furthermore, pseudo-absences were excluded from areas with excessively high human activity (above the 95</w:t>
      </w:r>
      <w:r>
        <w:rPr>
          <w:rFonts w:ascii="Times New Roman" w:hAnsi="Times New Roman" w:cs="Times New Roman"/>
          <w:sz w:val="24"/>
          <w:vertAlign w:val="superscript"/>
        </w:rPr>
        <w:t>th</w:t>
      </w:r>
      <w:r>
        <w:rPr>
          <w:rFonts w:ascii="Times New Roman" w:hAnsi="Times New Roman" w:cs="Times New Roman"/>
          <w:sz w:val="24"/>
        </w:rPr>
        <w:t xml:space="preserve"> percentile), to minimize sampling in urbanized or heavily disturbed landscapes where elephants are seldom found</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Yang</w:t>
      </w:r>
      <w:r>
        <w:rPr>
          <w:rFonts w:hint="eastAsia" w:ascii="Times New Roman" w:hAnsi="Times New Roman" w:cs="Times New Roman"/>
          <w:sz w:val="24"/>
        </w:rPr>
        <w:t xml:space="preserve"> et al., 2022)</w:t>
      </w:r>
      <w:r>
        <w:rPr>
          <w:rFonts w:ascii="Times New Roman" w:hAnsi="Times New Roman" w:cs="Times New Roman"/>
          <w:sz w:val="24"/>
        </w:rPr>
        <w:t>. Lastly, environmental productivity thresholds were applied using NDVI data, removing locations with NDVI values below 0.1, which represent unvegetated or highly degraded surfaces unlikely to be used by elephants</w:t>
      </w:r>
      <w:r>
        <w:rPr>
          <w:rFonts w:hint="eastAsia" w:ascii="Times New Roman" w:hAnsi="Times New Roman" w:cs="Times New Roman"/>
          <w:sz w:val="24"/>
        </w:rPr>
        <w:t xml:space="preserve"> (Du et al., 2023)</w:t>
      </w:r>
      <w:r>
        <w:rPr>
          <w:rFonts w:ascii="Times New Roman" w:hAnsi="Times New Roman" w:cs="Times New Roman"/>
          <w:sz w:val="24"/>
        </w:rPr>
        <w:t>.</w:t>
      </w:r>
    </w:p>
    <w:p w14:paraId="013CA895">
      <w:pPr>
        <w:spacing w:line="360" w:lineRule="auto"/>
        <w:ind w:firstLine="480" w:firstLineChars="200"/>
        <w:rPr>
          <w:rFonts w:ascii="Times New Roman" w:hAnsi="Times New Roman" w:cs="Times New Roman"/>
          <w:sz w:val="24"/>
        </w:rPr>
      </w:pPr>
      <w:r>
        <w:rPr>
          <w:rFonts w:ascii="Times New Roman" w:hAnsi="Times New Roman" w:cs="Times New Roman"/>
          <w:sz w:val="24"/>
        </w:rPr>
        <w:t>To evaluate the effect of pseudo-absence density on model performance, we conducted a sensitivity analysis under three alternative presence–absence ratios: 1:3, 1:5, and 1:10. For each configuration, the ERSF module was trained using a random forest classifier with identical hyperparameter settings, and model performance was evaluated using the area under the receiver operating characteristic curve (AUC).</w:t>
      </w:r>
    </w:p>
    <w:p w14:paraId="0F1C17B3">
      <w:pPr>
        <w:spacing w:line="360" w:lineRule="auto"/>
        <w:ind w:firstLine="480" w:firstLineChars="200"/>
        <w:rPr>
          <w:rFonts w:ascii="Times New Roman" w:hAnsi="Times New Roman" w:cs="Times New Roman"/>
          <w:sz w:val="24"/>
        </w:rPr>
      </w:pPr>
      <w:r>
        <w:rPr>
          <w:rFonts w:ascii="Times New Roman" w:hAnsi="Times New Roman" w:cs="Times New Roman"/>
          <w:sz w:val="24"/>
        </w:rPr>
        <w:t>The results showed that the 1:5 ratio yielded the best model performance (AUC = 0.9</w:t>
      </w:r>
      <w:r>
        <w:rPr>
          <w:rFonts w:hint="eastAsia" w:ascii="Times New Roman" w:hAnsi="Times New Roman" w:cs="Times New Roman"/>
          <w:sz w:val="24"/>
        </w:rPr>
        <w:t>7</w:t>
      </w:r>
      <w:r>
        <w:rPr>
          <w:rFonts w:ascii="Times New Roman" w:hAnsi="Times New Roman" w:cs="Times New Roman"/>
          <w:sz w:val="24"/>
        </w:rPr>
        <w:t xml:space="preserve">), balancing predictive accuracy and computational efficiency. Increasing the number of absence points to a 1:10 ratio resulted in only marginal improvements in accuracy, while incurring higher computational costs. Conversely, the 1:3 setting led to reduced model performance, </w:t>
      </w:r>
      <w:r>
        <w:rPr>
          <w:rFonts w:hint="eastAsia" w:ascii="Times New Roman" w:hAnsi="Times New Roman" w:cs="Times New Roman"/>
          <w:sz w:val="24"/>
        </w:rPr>
        <w:t>with a lower AUC value of 0.93</w:t>
      </w:r>
      <w:r>
        <w:rPr>
          <w:rFonts w:ascii="Times New Roman" w:hAnsi="Times New Roman" w:cs="Times New Roman"/>
          <w:sz w:val="24"/>
        </w:rPr>
        <w:t>. Based on these findings, the 1:5 ratio was selected as the default setting for the main analysis, as it provided an optimal trade-off between accuracy, robustness, and efficiency.</w:t>
      </w:r>
    </w:p>
    <w:p w14:paraId="43C5F104">
      <w:pPr>
        <w:spacing w:line="360" w:lineRule="auto"/>
        <w:jc w:val="center"/>
        <w:rPr>
          <w:rFonts w:ascii="Times New Roman" w:hAnsi="Times New Roman" w:cs="Times New Roman"/>
          <w:sz w:val="24"/>
        </w:rPr>
      </w:pPr>
      <w:r>
        <w:rPr>
          <w:rFonts w:ascii="Times New Roman" w:hAnsi="Times New Roman" w:cs="Times New Roman"/>
          <w:sz w:val="24"/>
        </w:rPr>
        <w:drawing>
          <wp:inline distT="0" distB="0" distL="114300" distR="114300">
            <wp:extent cx="5263515" cy="2094865"/>
            <wp:effectExtent l="0" t="0" r="6985" b="635"/>
            <wp:docPr id="3" name="图片 3" descr="布局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布局863"/>
                    <pic:cNvPicPr>
                      <a:picLocks noChangeAspect="1"/>
                    </pic:cNvPicPr>
                  </pic:nvPicPr>
                  <pic:blipFill>
                    <a:blip r:embed="rId12"/>
                    <a:stretch>
                      <a:fillRect/>
                    </a:stretch>
                  </pic:blipFill>
                  <pic:spPr>
                    <a:xfrm>
                      <a:off x="0" y="0"/>
                      <a:ext cx="5263515" cy="2094865"/>
                    </a:xfrm>
                    <a:prstGeom prst="rect">
                      <a:avLst/>
                    </a:prstGeom>
                  </pic:spPr>
                </pic:pic>
              </a:graphicData>
            </a:graphic>
          </wp:inline>
        </w:drawing>
      </w:r>
    </w:p>
    <w:p w14:paraId="1BBBF445">
      <w:pPr>
        <w:widowControl/>
        <w:autoSpaceDE w:val="0"/>
        <w:autoSpaceDN w:val="0"/>
        <w:spacing w:before="90" w:line="360" w:lineRule="auto"/>
        <w:ind w:left="220" w:right="352"/>
        <w:rPr>
          <w:rFonts w:ascii="Times New Roman" w:hAnsi="Times New Roman" w:eastAsia="Times New Roman" w:cs="Times New Roman"/>
          <w:b/>
          <w:kern w:val="0"/>
          <w:szCs w:val="21"/>
        </w:rPr>
      </w:pPr>
      <w:r>
        <w:rPr>
          <w:rFonts w:ascii="Times New Roman" w:hAnsi="Times New Roman" w:eastAsia="Times New Roman" w:cs="Times New Roman"/>
          <w:b/>
          <w:kern w:val="0"/>
          <w:szCs w:val="21"/>
        </w:rPr>
        <w:t>Figure A</w:t>
      </w:r>
      <w:r>
        <w:rPr>
          <w:rFonts w:hint="eastAsia" w:ascii="Times New Roman" w:hAnsi="Times New Roman" w:eastAsia="Times New Roman" w:cs="Times New Roman"/>
          <w:b/>
          <w:kern w:val="0"/>
          <w:szCs w:val="21"/>
        </w:rPr>
        <w:t>3</w:t>
      </w:r>
      <w:r>
        <w:rPr>
          <w:rFonts w:ascii="Times New Roman" w:hAnsi="Times New Roman" w:eastAsia="Times New Roman" w:cs="Times New Roman"/>
          <w:b/>
          <w:kern w:val="0"/>
          <w:szCs w:val="21"/>
        </w:rPr>
        <w:t>-1. Distribution of Absence Points in the Study Area</w:t>
      </w:r>
      <w:r>
        <w:rPr>
          <w:rFonts w:hint="eastAsia" w:ascii="Times New Roman" w:hAnsi="Times New Roman" w:eastAsia="Times New Roman" w:cs="Times New Roman"/>
          <w:b/>
          <w:kern w:val="0"/>
          <w:szCs w:val="21"/>
        </w:rPr>
        <w:t xml:space="preserve">. </w:t>
      </w:r>
      <w:r>
        <w:rPr>
          <w:rFonts w:hint="eastAsia" w:ascii="Times New Roman" w:hAnsi="Times New Roman" w:eastAsia="Times New Roman" w:cs="Times New Roman"/>
          <w:bCs/>
          <w:kern w:val="0"/>
          <w:szCs w:val="21"/>
        </w:rPr>
        <w:t>After screening with a 1</w:t>
      </w:r>
      <w:r>
        <w:rPr>
          <w:rFonts w:ascii="Times New Roman" w:hAnsi="Times New Roman" w:eastAsia="Times New Roman" w:cs="Times New Roman"/>
          <w:bCs/>
          <w:kern w:val="0"/>
          <w:szCs w:val="21"/>
        </w:rPr>
        <w:t xml:space="preserve"> </w:t>
      </w:r>
      <w:r>
        <w:rPr>
          <w:rFonts w:hint="eastAsia" w:ascii="Times New Roman" w:hAnsi="Times New Roman" w:eastAsia="Times New Roman" w:cs="Times New Roman"/>
          <w:bCs/>
          <w:kern w:val="0"/>
          <w:szCs w:val="21"/>
        </w:rPr>
        <w:t>km buffer zone, there are 1,128 missing points.</w:t>
      </w:r>
    </w:p>
    <w:p w14:paraId="1496B3B7">
      <w:pPr>
        <w:pStyle w:val="3"/>
        <w:rPr>
          <w:rFonts w:cs="Times New Roman"/>
        </w:rPr>
      </w:pPr>
      <w:r>
        <w:rPr>
          <w:rFonts w:cs="Times New Roman"/>
        </w:rPr>
        <w:t xml:space="preserve">Appendix </w:t>
      </w:r>
      <w:r>
        <w:rPr>
          <w:rFonts w:hint="eastAsia" w:cs="Times New Roman"/>
        </w:rPr>
        <w:t>4</w:t>
      </w:r>
      <w:r>
        <w:rPr>
          <w:rFonts w:cs="Times New Roman"/>
        </w:rPr>
        <w:t>: Resource selection probability of honeycomb hexagonal grid nodes</w:t>
      </w:r>
    </w:p>
    <w:p w14:paraId="7479333E">
      <w:pPr>
        <w:spacing w:line="360" w:lineRule="auto"/>
        <w:ind w:firstLine="480" w:firstLineChars="200"/>
        <w:rPr>
          <w:rFonts w:ascii="Times New Roman" w:hAnsi="Times New Roman" w:cs="Times New Roman"/>
          <w:sz w:val="24"/>
        </w:rPr>
      </w:pPr>
      <w:r>
        <w:rPr>
          <w:rFonts w:ascii="Times New Roman" w:hAnsi="Times New Roman" w:cs="Times New Roman"/>
          <w:sz w:val="24"/>
        </w:rPr>
        <w:t>The shapefile's attribute table contains 6,774,271 hexagonal grid nodes comprehensively covering the study area. Each node is uniquely identified by the mandatory Id field. Key functional attributes include:</w:t>
      </w:r>
    </w:p>
    <w:p w14:paraId="68AFC177">
      <w:pPr>
        <w:spacing w:line="360" w:lineRule="auto"/>
        <w:ind w:firstLine="480" w:firstLineChars="200"/>
        <w:rPr>
          <w:rFonts w:ascii="Times New Roman" w:hAnsi="Times New Roman" w:cs="Times New Roman"/>
          <w:sz w:val="24"/>
        </w:rPr>
      </w:pPr>
      <w:r>
        <w:rPr>
          <w:rFonts w:ascii="Times New Roman" w:hAnsi="Times New Roman" w:cs="Times New Roman"/>
          <w:sz w:val="24"/>
        </w:rPr>
        <w:t>line: Path membership indicator (value=0 denotes non-path-associated nodes)</w:t>
      </w:r>
    </w:p>
    <w:p w14:paraId="399DDA75">
      <w:pPr>
        <w:spacing w:line="360" w:lineRule="auto"/>
        <w:ind w:firstLine="480" w:firstLineChars="200"/>
        <w:rPr>
          <w:rFonts w:ascii="Times New Roman" w:hAnsi="Times New Roman" w:cs="Times New Roman"/>
          <w:sz w:val="24"/>
        </w:rPr>
      </w:pPr>
      <w:r>
        <w:rPr>
          <w:rFonts w:ascii="Times New Roman" w:hAnsi="Times New Roman" w:cs="Times New Roman"/>
          <w:sz w:val="24"/>
        </w:rPr>
        <w:t>SE: Start/end node designation (S=startpoint, E=endpoint). Non-terminal nodes were configured with SE='A' as a placeholder value to satisfy file format requirements.</w:t>
      </w:r>
    </w:p>
    <w:p w14:paraId="77D28761">
      <w:pPr>
        <w:spacing w:line="360" w:lineRule="auto"/>
        <w:ind w:firstLine="480" w:firstLineChars="200"/>
        <w:rPr>
          <w:rFonts w:ascii="Times New Roman" w:hAnsi="Times New Roman" w:cs="Times New Roman"/>
          <w:sz w:val="24"/>
        </w:rPr>
      </w:pPr>
      <w:r>
        <w:rPr>
          <w:rFonts w:ascii="Times New Roman" w:hAnsi="Times New Roman" w:cs="Times New Roman"/>
          <w:position w:val="-10"/>
          <w:sz w:val="24"/>
        </w:rPr>
        <w:object>
          <v:shape id="_x0000_i1029" o:spt="75" type="#_x0000_t75" style="height:18pt;width:60pt;" o:ole="t" filled="f" o:preferrelative="t" stroked="f" coordsize="21600,21600">
            <v:path/>
            <v:fill on="f" focussize="0,0"/>
            <v:stroke on="f" joinstyle="miter"/>
            <v:imagedata r:id="rId14" o:title=""/>
            <o:lock v:ext="edit" aspectratio="t"/>
            <w10:wrap type="none"/>
            <w10:anchorlock/>
          </v:shape>
          <o:OLEObject Type="Embed" ProgID="Equation.AxMath" ShapeID="_x0000_i1029" DrawAspect="Content" ObjectID="_1468075729" r:id="rId13">
            <o:LockedField>false</o:LockedField>
          </o:OLEObject>
        </w:object>
      </w:r>
      <w:r>
        <w:rPr>
          <w:rFonts w:ascii="Times New Roman" w:hAnsi="Times New Roman" w:cs="Times New Roman"/>
          <w:sz w:val="24"/>
        </w:rPr>
        <w:t>: Probabilistic resource selection value derived from model outputs</w:t>
      </w:r>
    </w:p>
    <w:p w14:paraId="62A07C03">
      <w:pPr>
        <w:spacing w:line="360" w:lineRule="auto"/>
        <w:ind w:firstLine="480" w:firstLineChars="200"/>
        <w:rPr>
          <w:rFonts w:ascii="Times New Roman" w:hAnsi="Times New Roman" w:cs="Times New Roman"/>
          <w:sz w:val="24"/>
        </w:rPr>
      </w:pPr>
      <w:r>
        <w:rPr>
          <w:rFonts w:ascii="Times New Roman" w:hAnsi="Times New Roman" w:cs="Times New Roman"/>
          <w:sz w:val="24"/>
        </w:rPr>
        <w:t>The line attribute operates synergistically with SE to algorithmically reconstruct path geometries during model execution, where each unique line number corresponds to an individual movement path with explicitly defined start (SE='S') and end (SE='E') nodes.</w:t>
      </w:r>
    </w:p>
    <w:p w14:paraId="41C26EF5">
      <w:pPr>
        <w:ind w:firstLine="480" w:firstLineChars="200"/>
        <w:rPr>
          <w:rFonts w:ascii="Times New Roman" w:hAnsi="Times New Roman" w:cs="Times New Roman"/>
          <w:sz w:val="24"/>
        </w:rPr>
      </w:pPr>
    </w:p>
    <w:p w14:paraId="5B278E1C">
      <w:pPr>
        <w:autoSpaceDE w:val="0"/>
        <w:autoSpaceDN w:val="0"/>
        <w:spacing w:before="90" w:line="360" w:lineRule="auto"/>
        <w:ind w:left="220" w:right="352"/>
        <w:jc w:val="center"/>
        <w:rPr>
          <w:rFonts w:ascii="Times New Roman" w:hAnsi="Times New Roman" w:eastAsia="Times New Roman" w:cs="Times New Roman"/>
          <w:b/>
          <w:kern w:val="0"/>
          <w:szCs w:val="21"/>
        </w:rPr>
      </w:pPr>
      <w:r>
        <w:rPr>
          <w:rFonts w:ascii="Times New Roman" w:hAnsi="Times New Roman" w:eastAsia="Times New Roman" w:cs="Times New Roman"/>
          <w:b/>
          <w:kern w:val="0"/>
          <w:szCs w:val="21"/>
        </w:rPr>
        <w:t xml:space="preserve">Table </w:t>
      </w:r>
      <w:r>
        <w:rPr>
          <w:rFonts w:hint="eastAsia" w:ascii="Times New Roman" w:hAnsi="Times New Roman" w:eastAsia="Times New Roman" w:cs="Times New Roman"/>
          <w:b/>
          <w:kern w:val="0"/>
          <w:szCs w:val="21"/>
        </w:rPr>
        <w:t>4-1</w:t>
      </w:r>
      <w:r>
        <w:rPr>
          <w:rFonts w:ascii="Times New Roman" w:hAnsi="Times New Roman" w:eastAsia="Times New Roman" w:cs="Times New Roman"/>
          <w:b/>
          <w:kern w:val="0"/>
          <w:szCs w:val="21"/>
        </w:rPr>
        <w:t xml:space="preserve"> Resource selection probability of honeycomb hexagonal grid nodes</w:t>
      </w:r>
    </w:p>
    <w:tbl>
      <w:tblPr>
        <w:tblStyle w:val="10"/>
        <w:tblpPr w:leftFromText="180" w:rightFromText="180" w:vertAnchor="text" w:horzAnchor="page" w:tblpXSpec="center" w:tblpY="291"/>
        <w:tblOverlap w:val="never"/>
        <w:tblW w:w="6320" w:type="dxa"/>
        <w:jc w:val="center"/>
        <w:tblLayout w:type="autofit"/>
        <w:tblCellMar>
          <w:top w:w="0" w:type="dxa"/>
          <w:left w:w="108" w:type="dxa"/>
          <w:bottom w:w="0" w:type="dxa"/>
          <w:right w:w="108" w:type="dxa"/>
        </w:tblCellMar>
      </w:tblPr>
      <w:tblGrid>
        <w:gridCol w:w="1410"/>
        <w:gridCol w:w="1640"/>
        <w:gridCol w:w="1610"/>
        <w:gridCol w:w="1660"/>
      </w:tblGrid>
      <w:tr w14:paraId="3589C4E7">
        <w:tblPrEx>
          <w:tblCellMar>
            <w:top w:w="0" w:type="dxa"/>
            <w:left w:w="108" w:type="dxa"/>
            <w:bottom w:w="0" w:type="dxa"/>
            <w:right w:w="108" w:type="dxa"/>
          </w:tblCellMar>
        </w:tblPrEx>
        <w:trPr>
          <w:trHeight w:val="280" w:hRule="atLeast"/>
          <w:jc w:val="center"/>
        </w:trPr>
        <w:tc>
          <w:tcPr>
            <w:tcW w:w="1410" w:type="dxa"/>
            <w:tcBorders>
              <w:top w:val="single" w:color="auto" w:sz="12" w:space="0"/>
              <w:left w:val="nil"/>
              <w:bottom w:val="single" w:color="auto" w:sz="4" w:space="0"/>
              <w:right w:val="nil"/>
            </w:tcBorders>
            <w:noWrap/>
            <w:vAlign w:val="center"/>
          </w:tcPr>
          <w:p w14:paraId="1783B19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I</w:t>
            </w:r>
            <w:r>
              <w:rPr>
                <w:rFonts w:hint="eastAsia" w:ascii="Times New Roman" w:hAnsi="Times New Roman" w:eastAsia="宋体" w:cs="Times New Roman"/>
                <w:color w:val="000000"/>
                <w:kern w:val="0"/>
                <w:szCs w:val="21"/>
                <w:lang w:bidi="ar"/>
              </w:rPr>
              <w:t>D</w:t>
            </w:r>
          </w:p>
        </w:tc>
        <w:tc>
          <w:tcPr>
            <w:tcW w:w="1640" w:type="dxa"/>
            <w:tcBorders>
              <w:top w:val="single" w:color="auto" w:sz="12" w:space="0"/>
              <w:left w:val="nil"/>
              <w:bottom w:val="single" w:color="auto" w:sz="4" w:space="0"/>
              <w:right w:val="nil"/>
            </w:tcBorders>
            <w:noWrap/>
            <w:vAlign w:val="center"/>
          </w:tcPr>
          <w:p w14:paraId="324103D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line</w:t>
            </w:r>
          </w:p>
        </w:tc>
        <w:tc>
          <w:tcPr>
            <w:tcW w:w="1610" w:type="dxa"/>
            <w:tcBorders>
              <w:top w:val="single" w:color="auto" w:sz="12" w:space="0"/>
              <w:left w:val="nil"/>
              <w:bottom w:val="single" w:color="auto" w:sz="4" w:space="0"/>
              <w:right w:val="nil"/>
            </w:tcBorders>
            <w:noWrap/>
            <w:vAlign w:val="center"/>
          </w:tcPr>
          <w:p w14:paraId="033E017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SE</w:t>
            </w:r>
          </w:p>
        </w:tc>
        <w:tc>
          <w:tcPr>
            <w:tcW w:w="1660" w:type="dxa"/>
            <w:tcBorders>
              <w:top w:val="single" w:color="auto" w:sz="12" w:space="0"/>
              <w:left w:val="nil"/>
              <w:bottom w:val="single" w:color="auto" w:sz="4" w:space="0"/>
              <w:right w:val="nil"/>
            </w:tcBorders>
            <w:noWrap/>
            <w:vAlign w:val="center"/>
          </w:tcPr>
          <w:p w14:paraId="7CCBE7D5">
            <w:pPr>
              <w:widowControl/>
              <w:jc w:val="center"/>
              <w:textAlignment w:val="center"/>
              <w:rPr>
                <w:rFonts w:ascii="Times New Roman" w:hAnsi="Times New Roman" w:eastAsia="宋体" w:cs="Times New Roman"/>
                <w:color w:val="000000"/>
                <w:szCs w:val="21"/>
              </w:rPr>
            </w:pPr>
            <w:r>
              <w:rPr>
                <w:rFonts w:ascii="Times New Roman" w:hAnsi="Times New Roman" w:cs="Times New Roman"/>
                <w:position w:val="-10"/>
                <w:sz w:val="24"/>
              </w:rPr>
              <w:object>
                <v:shape id="_x0000_i1030" o:spt="75" type="#_x0000_t75" style="height:18pt;width:60pt;" o:ole="t" filled="f" o:preferrelative="t" stroked="f" coordsize="21600,21600">
                  <v:path/>
                  <v:fill on="f" focussize="0,0"/>
                  <v:stroke on="f" joinstyle="miter"/>
                  <v:imagedata r:id="rId14" o:title=""/>
                  <o:lock v:ext="edit" aspectratio="t"/>
                  <w10:wrap type="none"/>
                  <w10:anchorlock/>
                </v:shape>
                <o:OLEObject Type="Embed" ProgID="Equation.AxMath" ShapeID="_x0000_i1030" DrawAspect="Content" ObjectID="_1468075730" r:id="rId15">
                  <o:LockedField>false</o:LockedField>
                </o:OLEObject>
              </w:object>
            </w:r>
          </w:p>
        </w:tc>
      </w:tr>
      <w:tr w14:paraId="0C2D2D44">
        <w:tblPrEx>
          <w:tblCellMar>
            <w:top w:w="0" w:type="dxa"/>
            <w:left w:w="108" w:type="dxa"/>
            <w:bottom w:w="0" w:type="dxa"/>
            <w:right w:w="108" w:type="dxa"/>
          </w:tblCellMar>
        </w:tblPrEx>
        <w:trPr>
          <w:trHeight w:val="280" w:hRule="atLeast"/>
          <w:jc w:val="center"/>
        </w:trPr>
        <w:tc>
          <w:tcPr>
            <w:tcW w:w="1410" w:type="dxa"/>
            <w:tcBorders>
              <w:top w:val="single" w:color="auto" w:sz="4" w:space="0"/>
              <w:left w:val="nil"/>
              <w:bottom w:val="nil"/>
              <w:right w:val="nil"/>
            </w:tcBorders>
            <w:noWrap/>
            <w:vAlign w:val="center"/>
          </w:tcPr>
          <w:p w14:paraId="0153995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431082</w:t>
            </w:r>
          </w:p>
        </w:tc>
        <w:tc>
          <w:tcPr>
            <w:tcW w:w="1640" w:type="dxa"/>
            <w:tcBorders>
              <w:top w:val="single" w:color="auto" w:sz="4" w:space="0"/>
              <w:left w:val="nil"/>
              <w:bottom w:val="nil"/>
              <w:right w:val="nil"/>
            </w:tcBorders>
            <w:noWrap/>
            <w:vAlign w:val="center"/>
          </w:tcPr>
          <w:p w14:paraId="7F2DE2F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w:t>
            </w:r>
          </w:p>
        </w:tc>
        <w:tc>
          <w:tcPr>
            <w:tcW w:w="1610" w:type="dxa"/>
            <w:tcBorders>
              <w:top w:val="single" w:color="auto" w:sz="4" w:space="0"/>
              <w:left w:val="nil"/>
              <w:bottom w:val="nil"/>
              <w:right w:val="nil"/>
            </w:tcBorders>
            <w:noWrap/>
            <w:vAlign w:val="center"/>
          </w:tcPr>
          <w:p w14:paraId="1E68E11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single" w:color="auto" w:sz="4" w:space="0"/>
              <w:left w:val="nil"/>
              <w:bottom w:val="nil"/>
              <w:right w:val="nil"/>
            </w:tcBorders>
            <w:noWrap/>
            <w:vAlign w:val="center"/>
          </w:tcPr>
          <w:p w14:paraId="3890202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0.68</w:t>
            </w:r>
          </w:p>
        </w:tc>
      </w:tr>
      <w:tr w14:paraId="77243D64">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3C2E41A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473196</w:t>
            </w:r>
          </w:p>
        </w:tc>
        <w:tc>
          <w:tcPr>
            <w:tcW w:w="1640" w:type="dxa"/>
            <w:tcBorders>
              <w:top w:val="nil"/>
              <w:left w:val="nil"/>
              <w:bottom w:val="nil"/>
              <w:right w:val="nil"/>
            </w:tcBorders>
            <w:noWrap/>
            <w:vAlign w:val="center"/>
          </w:tcPr>
          <w:p w14:paraId="559A579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w:t>
            </w:r>
          </w:p>
        </w:tc>
        <w:tc>
          <w:tcPr>
            <w:tcW w:w="1610" w:type="dxa"/>
            <w:tcBorders>
              <w:top w:val="nil"/>
              <w:left w:val="nil"/>
              <w:bottom w:val="nil"/>
              <w:right w:val="nil"/>
            </w:tcBorders>
            <w:noWrap/>
            <w:vAlign w:val="center"/>
          </w:tcPr>
          <w:p w14:paraId="1D205D6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7DAD29A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0.74</w:t>
            </w:r>
          </w:p>
        </w:tc>
      </w:tr>
      <w:tr w14:paraId="37F0983C">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44540F0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488419</w:t>
            </w:r>
          </w:p>
        </w:tc>
        <w:tc>
          <w:tcPr>
            <w:tcW w:w="1640" w:type="dxa"/>
            <w:tcBorders>
              <w:top w:val="nil"/>
              <w:left w:val="nil"/>
              <w:bottom w:val="nil"/>
              <w:right w:val="nil"/>
            </w:tcBorders>
            <w:noWrap/>
            <w:vAlign w:val="center"/>
          </w:tcPr>
          <w:p w14:paraId="67D24AF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w:t>
            </w:r>
          </w:p>
        </w:tc>
        <w:tc>
          <w:tcPr>
            <w:tcW w:w="1610" w:type="dxa"/>
            <w:tcBorders>
              <w:top w:val="nil"/>
              <w:left w:val="nil"/>
              <w:bottom w:val="nil"/>
              <w:right w:val="nil"/>
            </w:tcBorders>
            <w:noWrap/>
            <w:vAlign w:val="center"/>
          </w:tcPr>
          <w:p w14:paraId="0992355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4914A45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0.36</w:t>
            </w:r>
          </w:p>
        </w:tc>
      </w:tr>
      <w:tr w14:paraId="1F1EAF42">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240D035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542675</w:t>
            </w:r>
          </w:p>
        </w:tc>
        <w:tc>
          <w:tcPr>
            <w:tcW w:w="1640" w:type="dxa"/>
            <w:tcBorders>
              <w:top w:val="nil"/>
              <w:left w:val="nil"/>
              <w:bottom w:val="nil"/>
              <w:right w:val="nil"/>
            </w:tcBorders>
            <w:noWrap/>
            <w:vAlign w:val="center"/>
          </w:tcPr>
          <w:p w14:paraId="2246471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2</w:t>
            </w:r>
          </w:p>
        </w:tc>
        <w:tc>
          <w:tcPr>
            <w:tcW w:w="1610" w:type="dxa"/>
            <w:tcBorders>
              <w:top w:val="nil"/>
              <w:left w:val="nil"/>
              <w:bottom w:val="nil"/>
              <w:right w:val="nil"/>
            </w:tcBorders>
            <w:noWrap/>
            <w:vAlign w:val="center"/>
          </w:tcPr>
          <w:p w14:paraId="7D2254C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291B808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0.83</w:t>
            </w:r>
          </w:p>
        </w:tc>
      </w:tr>
      <w:tr w14:paraId="30830B10">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7736463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833007</w:t>
            </w:r>
          </w:p>
        </w:tc>
        <w:tc>
          <w:tcPr>
            <w:tcW w:w="1640" w:type="dxa"/>
            <w:tcBorders>
              <w:top w:val="nil"/>
              <w:left w:val="nil"/>
              <w:bottom w:val="nil"/>
              <w:right w:val="nil"/>
            </w:tcBorders>
            <w:noWrap/>
            <w:vAlign w:val="center"/>
          </w:tcPr>
          <w:p w14:paraId="7831E5D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w:t>
            </w:r>
          </w:p>
        </w:tc>
        <w:tc>
          <w:tcPr>
            <w:tcW w:w="1610" w:type="dxa"/>
            <w:tcBorders>
              <w:top w:val="nil"/>
              <w:left w:val="nil"/>
              <w:bottom w:val="nil"/>
              <w:right w:val="nil"/>
            </w:tcBorders>
            <w:noWrap/>
            <w:vAlign w:val="center"/>
          </w:tcPr>
          <w:p w14:paraId="2D4AFB7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309DCB0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0.97</w:t>
            </w:r>
          </w:p>
        </w:tc>
      </w:tr>
      <w:tr w14:paraId="486FB0C5">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2E4C22C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863328</w:t>
            </w:r>
          </w:p>
        </w:tc>
        <w:tc>
          <w:tcPr>
            <w:tcW w:w="1640" w:type="dxa"/>
            <w:tcBorders>
              <w:top w:val="nil"/>
              <w:left w:val="nil"/>
              <w:bottom w:val="nil"/>
              <w:right w:val="nil"/>
            </w:tcBorders>
            <w:noWrap/>
            <w:vAlign w:val="center"/>
          </w:tcPr>
          <w:p w14:paraId="39DF0E7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w:t>
            </w:r>
          </w:p>
        </w:tc>
        <w:tc>
          <w:tcPr>
            <w:tcW w:w="1610" w:type="dxa"/>
            <w:tcBorders>
              <w:top w:val="nil"/>
              <w:left w:val="nil"/>
              <w:bottom w:val="nil"/>
              <w:right w:val="nil"/>
            </w:tcBorders>
            <w:noWrap/>
            <w:vAlign w:val="center"/>
          </w:tcPr>
          <w:p w14:paraId="3D3A29A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7B5D616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0.67</w:t>
            </w:r>
          </w:p>
        </w:tc>
      </w:tr>
      <w:tr w14:paraId="33C47E63">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7FDD607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1265161</w:t>
            </w:r>
          </w:p>
        </w:tc>
        <w:tc>
          <w:tcPr>
            <w:tcW w:w="1640" w:type="dxa"/>
            <w:tcBorders>
              <w:top w:val="nil"/>
              <w:left w:val="nil"/>
              <w:bottom w:val="nil"/>
              <w:right w:val="nil"/>
            </w:tcBorders>
            <w:noWrap/>
            <w:vAlign w:val="center"/>
          </w:tcPr>
          <w:p w14:paraId="6ACB7CF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5</w:t>
            </w:r>
          </w:p>
        </w:tc>
        <w:tc>
          <w:tcPr>
            <w:tcW w:w="1610" w:type="dxa"/>
            <w:tcBorders>
              <w:top w:val="nil"/>
              <w:left w:val="nil"/>
              <w:bottom w:val="nil"/>
              <w:right w:val="nil"/>
            </w:tcBorders>
            <w:noWrap/>
            <w:vAlign w:val="center"/>
          </w:tcPr>
          <w:p w14:paraId="1B85FCC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7E3E36A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0.78</w:t>
            </w:r>
          </w:p>
        </w:tc>
      </w:tr>
      <w:tr w14:paraId="3203BF97">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1431796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3041</w:t>
            </w:r>
          </w:p>
        </w:tc>
        <w:tc>
          <w:tcPr>
            <w:tcW w:w="1640" w:type="dxa"/>
            <w:tcBorders>
              <w:top w:val="nil"/>
              <w:left w:val="nil"/>
              <w:bottom w:val="nil"/>
              <w:right w:val="nil"/>
            </w:tcBorders>
            <w:noWrap/>
            <w:vAlign w:val="center"/>
          </w:tcPr>
          <w:p w14:paraId="490B2B4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w:t>
            </w:r>
          </w:p>
        </w:tc>
        <w:tc>
          <w:tcPr>
            <w:tcW w:w="1610" w:type="dxa"/>
            <w:tcBorders>
              <w:top w:val="nil"/>
              <w:left w:val="nil"/>
              <w:bottom w:val="nil"/>
              <w:right w:val="nil"/>
            </w:tcBorders>
            <w:noWrap/>
            <w:vAlign w:val="center"/>
          </w:tcPr>
          <w:p w14:paraId="4C88FC5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w:t>
            </w:r>
          </w:p>
        </w:tc>
        <w:tc>
          <w:tcPr>
            <w:tcW w:w="1660" w:type="dxa"/>
            <w:tcBorders>
              <w:top w:val="nil"/>
              <w:left w:val="nil"/>
              <w:bottom w:val="nil"/>
              <w:right w:val="nil"/>
            </w:tcBorders>
            <w:noWrap/>
            <w:vAlign w:val="center"/>
          </w:tcPr>
          <w:p w14:paraId="3E46825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0.23</w:t>
            </w:r>
          </w:p>
        </w:tc>
      </w:tr>
      <w:tr w14:paraId="69C78114">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54D9D83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3045</w:t>
            </w:r>
          </w:p>
        </w:tc>
        <w:tc>
          <w:tcPr>
            <w:tcW w:w="1640" w:type="dxa"/>
            <w:tcBorders>
              <w:top w:val="nil"/>
              <w:left w:val="nil"/>
              <w:bottom w:val="nil"/>
              <w:right w:val="nil"/>
            </w:tcBorders>
            <w:noWrap/>
            <w:vAlign w:val="center"/>
          </w:tcPr>
          <w:p w14:paraId="4448F0C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w:t>
            </w:r>
          </w:p>
        </w:tc>
        <w:tc>
          <w:tcPr>
            <w:tcW w:w="1610" w:type="dxa"/>
            <w:tcBorders>
              <w:top w:val="nil"/>
              <w:left w:val="nil"/>
              <w:bottom w:val="nil"/>
              <w:right w:val="nil"/>
            </w:tcBorders>
            <w:noWrap/>
            <w:vAlign w:val="center"/>
          </w:tcPr>
          <w:p w14:paraId="3D49D59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w:t>
            </w:r>
          </w:p>
        </w:tc>
        <w:tc>
          <w:tcPr>
            <w:tcW w:w="1660" w:type="dxa"/>
            <w:tcBorders>
              <w:top w:val="nil"/>
              <w:left w:val="nil"/>
              <w:bottom w:val="nil"/>
              <w:right w:val="nil"/>
            </w:tcBorders>
            <w:noWrap/>
            <w:vAlign w:val="center"/>
          </w:tcPr>
          <w:p w14:paraId="5494C14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0.16</w:t>
            </w:r>
          </w:p>
        </w:tc>
      </w:tr>
      <w:tr w14:paraId="2C99F609">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25AFD6A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3053</w:t>
            </w:r>
          </w:p>
        </w:tc>
        <w:tc>
          <w:tcPr>
            <w:tcW w:w="1640" w:type="dxa"/>
            <w:tcBorders>
              <w:top w:val="nil"/>
              <w:left w:val="nil"/>
              <w:bottom w:val="nil"/>
              <w:right w:val="nil"/>
            </w:tcBorders>
            <w:noWrap/>
            <w:vAlign w:val="center"/>
          </w:tcPr>
          <w:p w14:paraId="65C9835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w:t>
            </w:r>
          </w:p>
        </w:tc>
        <w:tc>
          <w:tcPr>
            <w:tcW w:w="1610" w:type="dxa"/>
            <w:tcBorders>
              <w:top w:val="nil"/>
              <w:left w:val="nil"/>
              <w:bottom w:val="nil"/>
              <w:right w:val="nil"/>
            </w:tcBorders>
            <w:noWrap/>
            <w:vAlign w:val="center"/>
          </w:tcPr>
          <w:p w14:paraId="7EC0FB9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w:t>
            </w:r>
          </w:p>
        </w:tc>
        <w:tc>
          <w:tcPr>
            <w:tcW w:w="1660" w:type="dxa"/>
            <w:tcBorders>
              <w:top w:val="nil"/>
              <w:left w:val="nil"/>
              <w:bottom w:val="nil"/>
              <w:right w:val="nil"/>
            </w:tcBorders>
            <w:noWrap/>
            <w:vAlign w:val="center"/>
          </w:tcPr>
          <w:p w14:paraId="4C81DA2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0.13</w:t>
            </w:r>
          </w:p>
        </w:tc>
      </w:tr>
      <w:tr w14:paraId="2EE07400">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29808D2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3057</w:t>
            </w:r>
          </w:p>
        </w:tc>
        <w:tc>
          <w:tcPr>
            <w:tcW w:w="1640" w:type="dxa"/>
            <w:tcBorders>
              <w:top w:val="nil"/>
              <w:left w:val="nil"/>
              <w:bottom w:val="nil"/>
              <w:right w:val="nil"/>
            </w:tcBorders>
            <w:noWrap/>
            <w:vAlign w:val="center"/>
          </w:tcPr>
          <w:p w14:paraId="43B357B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w:t>
            </w:r>
          </w:p>
        </w:tc>
        <w:tc>
          <w:tcPr>
            <w:tcW w:w="1610" w:type="dxa"/>
            <w:tcBorders>
              <w:top w:val="nil"/>
              <w:left w:val="nil"/>
              <w:bottom w:val="nil"/>
              <w:right w:val="nil"/>
            </w:tcBorders>
            <w:noWrap/>
            <w:vAlign w:val="center"/>
          </w:tcPr>
          <w:p w14:paraId="52383BA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A</w:t>
            </w:r>
          </w:p>
        </w:tc>
        <w:tc>
          <w:tcPr>
            <w:tcW w:w="1660" w:type="dxa"/>
            <w:tcBorders>
              <w:top w:val="nil"/>
              <w:left w:val="nil"/>
              <w:bottom w:val="nil"/>
              <w:right w:val="nil"/>
            </w:tcBorders>
            <w:noWrap/>
            <w:vAlign w:val="center"/>
          </w:tcPr>
          <w:p w14:paraId="5255566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0.11</w:t>
            </w:r>
          </w:p>
        </w:tc>
      </w:tr>
      <w:tr w14:paraId="28C07A4D">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73CF01E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1773131</w:t>
            </w:r>
          </w:p>
        </w:tc>
        <w:tc>
          <w:tcPr>
            <w:tcW w:w="1640" w:type="dxa"/>
            <w:tcBorders>
              <w:top w:val="nil"/>
              <w:left w:val="nil"/>
              <w:bottom w:val="nil"/>
              <w:right w:val="nil"/>
            </w:tcBorders>
            <w:noWrap/>
            <w:vAlign w:val="center"/>
          </w:tcPr>
          <w:p w14:paraId="67882BC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w:t>
            </w:r>
          </w:p>
        </w:tc>
        <w:tc>
          <w:tcPr>
            <w:tcW w:w="1610" w:type="dxa"/>
            <w:tcBorders>
              <w:top w:val="nil"/>
              <w:left w:val="nil"/>
              <w:bottom w:val="nil"/>
              <w:right w:val="nil"/>
            </w:tcBorders>
            <w:noWrap/>
            <w:vAlign w:val="center"/>
          </w:tcPr>
          <w:p w14:paraId="6E04EBC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4DD613C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0.73</w:t>
            </w:r>
          </w:p>
        </w:tc>
      </w:tr>
      <w:tr w14:paraId="58D50008">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7B20B5B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1794098</w:t>
            </w:r>
          </w:p>
        </w:tc>
        <w:tc>
          <w:tcPr>
            <w:tcW w:w="1640" w:type="dxa"/>
            <w:tcBorders>
              <w:top w:val="nil"/>
              <w:left w:val="nil"/>
              <w:bottom w:val="nil"/>
              <w:right w:val="nil"/>
            </w:tcBorders>
            <w:noWrap/>
            <w:vAlign w:val="center"/>
          </w:tcPr>
          <w:p w14:paraId="30E8DE5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w:t>
            </w:r>
          </w:p>
        </w:tc>
        <w:tc>
          <w:tcPr>
            <w:tcW w:w="1610" w:type="dxa"/>
            <w:tcBorders>
              <w:top w:val="nil"/>
              <w:left w:val="nil"/>
              <w:bottom w:val="nil"/>
              <w:right w:val="nil"/>
            </w:tcBorders>
            <w:noWrap/>
            <w:vAlign w:val="center"/>
          </w:tcPr>
          <w:p w14:paraId="70A7735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6301D85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0.27</w:t>
            </w:r>
          </w:p>
        </w:tc>
      </w:tr>
      <w:tr w14:paraId="4A74E594">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7E6F13D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1803408</w:t>
            </w:r>
          </w:p>
        </w:tc>
        <w:tc>
          <w:tcPr>
            <w:tcW w:w="1640" w:type="dxa"/>
            <w:tcBorders>
              <w:top w:val="nil"/>
              <w:left w:val="nil"/>
              <w:bottom w:val="nil"/>
              <w:right w:val="nil"/>
            </w:tcBorders>
            <w:noWrap/>
            <w:vAlign w:val="center"/>
          </w:tcPr>
          <w:p w14:paraId="0659E0C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8</w:t>
            </w:r>
          </w:p>
        </w:tc>
        <w:tc>
          <w:tcPr>
            <w:tcW w:w="1610" w:type="dxa"/>
            <w:tcBorders>
              <w:top w:val="nil"/>
              <w:left w:val="nil"/>
              <w:bottom w:val="nil"/>
              <w:right w:val="nil"/>
            </w:tcBorders>
            <w:noWrap/>
            <w:vAlign w:val="center"/>
          </w:tcPr>
          <w:p w14:paraId="4110DD8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3F0F567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0.34</w:t>
            </w:r>
          </w:p>
        </w:tc>
      </w:tr>
      <w:tr w14:paraId="17B6503E">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01982A26">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1827445</w:t>
            </w:r>
          </w:p>
        </w:tc>
        <w:tc>
          <w:tcPr>
            <w:tcW w:w="1640" w:type="dxa"/>
            <w:tcBorders>
              <w:top w:val="nil"/>
              <w:left w:val="nil"/>
              <w:bottom w:val="nil"/>
              <w:right w:val="nil"/>
            </w:tcBorders>
            <w:noWrap/>
            <w:vAlign w:val="center"/>
          </w:tcPr>
          <w:p w14:paraId="45959CF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11</w:t>
            </w:r>
          </w:p>
        </w:tc>
        <w:tc>
          <w:tcPr>
            <w:tcW w:w="1610" w:type="dxa"/>
            <w:tcBorders>
              <w:top w:val="nil"/>
              <w:left w:val="nil"/>
              <w:bottom w:val="nil"/>
              <w:right w:val="nil"/>
            </w:tcBorders>
            <w:noWrap/>
            <w:vAlign w:val="center"/>
          </w:tcPr>
          <w:p w14:paraId="17B298A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399802F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0.62</w:t>
            </w:r>
          </w:p>
        </w:tc>
      </w:tr>
      <w:tr w14:paraId="43A8B050">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483108D4">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1839665</w:t>
            </w:r>
          </w:p>
        </w:tc>
        <w:tc>
          <w:tcPr>
            <w:tcW w:w="1640" w:type="dxa"/>
            <w:tcBorders>
              <w:top w:val="nil"/>
              <w:left w:val="nil"/>
              <w:bottom w:val="nil"/>
              <w:right w:val="nil"/>
            </w:tcBorders>
            <w:noWrap/>
            <w:vAlign w:val="center"/>
          </w:tcPr>
          <w:p w14:paraId="1C2C909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w:t>
            </w:r>
          </w:p>
        </w:tc>
        <w:tc>
          <w:tcPr>
            <w:tcW w:w="1610" w:type="dxa"/>
            <w:tcBorders>
              <w:top w:val="nil"/>
              <w:left w:val="nil"/>
              <w:bottom w:val="nil"/>
              <w:right w:val="nil"/>
            </w:tcBorders>
            <w:noWrap/>
            <w:vAlign w:val="center"/>
          </w:tcPr>
          <w:p w14:paraId="74B4006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3880E39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0.76</w:t>
            </w:r>
          </w:p>
        </w:tc>
      </w:tr>
      <w:tr w14:paraId="468A50C7">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3980C25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1869295</w:t>
            </w:r>
          </w:p>
        </w:tc>
        <w:tc>
          <w:tcPr>
            <w:tcW w:w="1640" w:type="dxa"/>
            <w:tcBorders>
              <w:top w:val="nil"/>
              <w:left w:val="nil"/>
              <w:bottom w:val="nil"/>
              <w:right w:val="nil"/>
            </w:tcBorders>
            <w:noWrap/>
            <w:vAlign w:val="center"/>
          </w:tcPr>
          <w:p w14:paraId="1BAC057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w:t>
            </w:r>
          </w:p>
        </w:tc>
        <w:tc>
          <w:tcPr>
            <w:tcW w:w="1610" w:type="dxa"/>
            <w:tcBorders>
              <w:top w:val="nil"/>
              <w:left w:val="nil"/>
              <w:bottom w:val="nil"/>
              <w:right w:val="nil"/>
            </w:tcBorders>
            <w:noWrap/>
            <w:vAlign w:val="center"/>
          </w:tcPr>
          <w:p w14:paraId="315B07E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0C4B79B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0.43</w:t>
            </w:r>
          </w:p>
        </w:tc>
      </w:tr>
      <w:tr w14:paraId="54E5EDEF">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4349CB9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1890792</w:t>
            </w:r>
          </w:p>
        </w:tc>
        <w:tc>
          <w:tcPr>
            <w:tcW w:w="1640" w:type="dxa"/>
            <w:tcBorders>
              <w:top w:val="nil"/>
              <w:left w:val="nil"/>
              <w:bottom w:val="nil"/>
              <w:right w:val="nil"/>
            </w:tcBorders>
            <w:noWrap/>
            <w:vAlign w:val="center"/>
          </w:tcPr>
          <w:p w14:paraId="01135B6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w:t>
            </w:r>
          </w:p>
        </w:tc>
        <w:tc>
          <w:tcPr>
            <w:tcW w:w="1610" w:type="dxa"/>
            <w:tcBorders>
              <w:top w:val="nil"/>
              <w:left w:val="nil"/>
              <w:bottom w:val="nil"/>
              <w:right w:val="nil"/>
            </w:tcBorders>
            <w:noWrap/>
            <w:vAlign w:val="center"/>
          </w:tcPr>
          <w:p w14:paraId="5EA5930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1107020A">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0.30</w:t>
            </w:r>
          </w:p>
        </w:tc>
      </w:tr>
      <w:tr w14:paraId="31C8C7C6">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13E5BB6D">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1890916</w:t>
            </w:r>
          </w:p>
        </w:tc>
        <w:tc>
          <w:tcPr>
            <w:tcW w:w="1640" w:type="dxa"/>
            <w:tcBorders>
              <w:top w:val="nil"/>
              <w:left w:val="nil"/>
              <w:bottom w:val="nil"/>
              <w:right w:val="nil"/>
            </w:tcBorders>
            <w:noWrap/>
            <w:vAlign w:val="center"/>
          </w:tcPr>
          <w:p w14:paraId="6F53F0A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12</w:t>
            </w:r>
          </w:p>
        </w:tc>
        <w:tc>
          <w:tcPr>
            <w:tcW w:w="1610" w:type="dxa"/>
            <w:tcBorders>
              <w:top w:val="nil"/>
              <w:left w:val="nil"/>
              <w:bottom w:val="nil"/>
              <w:right w:val="nil"/>
            </w:tcBorders>
            <w:noWrap/>
            <w:vAlign w:val="center"/>
          </w:tcPr>
          <w:p w14:paraId="02442F6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0CDA67B2">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0.48</w:t>
            </w:r>
          </w:p>
        </w:tc>
      </w:tr>
      <w:tr w14:paraId="7F879CDF">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7EA4B28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1906020</w:t>
            </w:r>
          </w:p>
        </w:tc>
        <w:tc>
          <w:tcPr>
            <w:tcW w:w="1640" w:type="dxa"/>
            <w:tcBorders>
              <w:top w:val="nil"/>
              <w:left w:val="nil"/>
              <w:bottom w:val="nil"/>
              <w:right w:val="nil"/>
            </w:tcBorders>
            <w:noWrap/>
            <w:vAlign w:val="center"/>
          </w:tcPr>
          <w:p w14:paraId="0F631F6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10</w:t>
            </w:r>
          </w:p>
        </w:tc>
        <w:tc>
          <w:tcPr>
            <w:tcW w:w="1610" w:type="dxa"/>
            <w:tcBorders>
              <w:top w:val="nil"/>
              <w:left w:val="nil"/>
              <w:bottom w:val="nil"/>
              <w:right w:val="nil"/>
            </w:tcBorders>
            <w:noWrap/>
            <w:vAlign w:val="center"/>
          </w:tcPr>
          <w:p w14:paraId="68B7C56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6D1CA8E0">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0.68</w:t>
            </w:r>
          </w:p>
        </w:tc>
      </w:tr>
      <w:tr w14:paraId="74C685F0">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109A0ED3">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1912074</w:t>
            </w:r>
          </w:p>
        </w:tc>
        <w:tc>
          <w:tcPr>
            <w:tcW w:w="1640" w:type="dxa"/>
            <w:tcBorders>
              <w:top w:val="nil"/>
              <w:left w:val="nil"/>
              <w:bottom w:val="nil"/>
              <w:right w:val="nil"/>
            </w:tcBorders>
            <w:noWrap/>
            <w:vAlign w:val="center"/>
          </w:tcPr>
          <w:p w14:paraId="01377937">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9</w:t>
            </w:r>
          </w:p>
        </w:tc>
        <w:tc>
          <w:tcPr>
            <w:tcW w:w="1610" w:type="dxa"/>
            <w:tcBorders>
              <w:top w:val="nil"/>
              <w:left w:val="nil"/>
              <w:bottom w:val="nil"/>
              <w:right w:val="nil"/>
            </w:tcBorders>
            <w:noWrap/>
            <w:vAlign w:val="center"/>
          </w:tcPr>
          <w:p w14:paraId="4831EE2C">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3E8AFAD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0.79</w:t>
            </w:r>
          </w:p>
        </w:tc>
      </w:tr>
      <w:tr w14:paraId="0A5929AA">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7F0D34FB">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1926802</w:t>
            </w:r>
          </w:p>
        </w:tc>
        <w:tc>
          <w:tcPr>
            <w:tcW w:w="1640" w:type="dxa"/>
            <w:tcBorders>
              <w:top w:val="nil"/>
              <w:left w:val="nil"/>
              <w:bottom w:val="nil"/>
              <w:right w:val="nil"/>
            </w:tcBorders>
            <w:noWrap/>
            <w:vAlign w:val="center"/>
          </w:tcPr>
          <w:p w14:paraId="38B6777F">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14</w:t>
            </w:r>
          </w:p>
        </w:tc>
        <w:tc>
          <w:tcPr>
            <w:tcW w:w="1610" w:type="dxa"/>
            <w:tcBorders>
              <w:top w:val="nil"/>
              <w:left w:val="nil"/>
              <w:bottom w:val="nil"/>
              <w:right w:val="nil"/>
            </w:tcBorders>
            <w:noWrap/>
            <w:vAlign w:val="center"/>
          </w:tcPr>
          <w:p w14:paraId="4B1315C8">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E</w:t>
            </w:r>
          </w:p>
        </w:tc>
        <w:tc>
          <w:tcPr>
            <w:tcW w:w="1660" w:type="dxa"/>
            <w:tcBorders>
              <w:top w:val="nil"/>
              <w:left w:val="nil"/>
              <w:bottom w:val="nil"/>
              <w:right w:val="nil"/>
            </w:tcBorders>
            <w:noWrap/>
            <w:vAlign w:val="center"/>
          </w:tcPr>
          <w:p w14:paraId="363780E9">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0.34</w:t>
            </w:r>
          </w:p>
        </w:tc>
      </w:tr>
      <w:tr w14:paraId="4991DB5F">
        <w:tblPrEx>
          <w:tblCellMar>
            <w:top w:w="0" w:type="dxa"/>
            <w:left w:w="108" w:type="dxa"/>
            <w:bottom w:w="0" w:type="dxa"/>
            <w:right w:w="108" w:type="dxa"/>
          </w:tblCellMar>
        </w:tblPrEx>
        <w:trPr>
          <w:trHeight w:val="280" w:hRule="atLeast"/>
          <w:jc w:val="center"/>
        </w:trPr>
        <w:tc>
          <w:tcPr>
            <w:tcW w:w="1410" w:type="dxa"/>
            <w:tcBorders>
              <w:top w:val="nil"/>
              <w:left w:val="nil"/>
              <w:bottom w:val="nil"/>
              <w:right w:val="nil"/>
            </w:tcBorders>
            <w:noWrap/>
            <w:vAlign w:val="center"/>
          </w:tcPr>
          <w:p w14:paraId="19A0090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1989147</w:t>
            </w:r>
          </w:p>
        </w:tc>
        <w:tc>
          <w:tcPr>
            <w:tcW w:w="1640" w:type="dxa"/>
            <w:tcBorders>
              <w:top w:val="nil"/>
              <w:left w:val="nil"/>
              <w:bottom w:val="nil"/>
              <w:right w:val="nil"/>
            </w:tcBorders>
            <w:noWrap/>
            <w:vAlign w:val="center"/>
          </w:tcPr>
          <w:p w14:paraId="2B86C961">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17</w:t>
            </w:r>
          </w:p>
        </w:tc>
        <w:tc>
          <w:tcPr>
            <w:tcW w:w="1610" w:type="dxa"/>
            <w:tcBorders>
              <w:top w:val="nil"/>
              <w:left w:val="nil"/>
              <w:bottom w:val="nil"/>
              <w:right w:val="nil"/>
            </w:tcBorders>
            <w:noWrap/>
            <w:vAlign w:val="center"/>
          </w:tcPr>
          <w:p w14:paraId="6CE8496E">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S</w:t>
            </w:r>
          </w:p>
        </w:tc>
        <w:tc>
          <w:tcPr>
            <w:tcW w:w="1660" w:type="dxa"/>
            <w:tcBorders>
              <w:top w:val="nil"/>
              <w:left w:val="nil"/>
              <w:bottom w:val="nil"/>
              <w:right w:val="nil"/>
            </w:tcBorders>
            <w:noWrap/>
            <w:vAlign w:val="center"/>
          </w:tcPr>
          <w:p w14:paraId="2655EDD5">
            <w:pPr>
              <w:widowControl/>
              <w:jc w:val="center"/>
              <w:textAlignment w:val="center"/>
              <w:rPr>
                <w:rFonts w:ascii="Times New Roman" w:hAnsi="Times New Roman" w:eastAsia="宋体" w:cs="Times New Roman"/>
                <w:color w:val="000000"/>
                <w:szCs w:val="21"/>
              </w:rPr>
            </w:pPr>
            <w:r>
              <w:rPr>
                <w:rFonts w:ascii="Times New Roman" w:hAnsi="Times New Roman" w:eastAsia="宋体" w:cs="Times New Roman"/>
                <w:color w:val="000000"/>
                <w:kern w:val="0"/>
                <w:szCs w:val="21"/>
                <w:lang w:bidi="ar"/>
              </w:rPr>
              <w:t>0.64</w:t>
            </w:r>
          </w:p>
        </w:tc>
      </w:tr>
      <w:tr w14:paraId="09C04A4C">
        <w:tblPrEx>
          <w:tblCellMar>
            <w:top w:w="0" w:type="dxa"/>
            <w:left w:w="108" w:type="dxa"/>
            <w:bottom w:w="0" w:type="dxa"/>
            <w:right w:w="108" w:type="dxa"/>
          </w:tblCellMar>
        </w:tblPrEx>
        <w:trPr>
          <w:trHeight w:val="1134" w:hRule="atLeast"/>
          <w:jc w:val="center"/>
        </w:trPr>
        <w:tc>
          <w:tcPr>
            <w:tcW w:w="1410" w:type="dxa"/>
            <w:tcBorders>
              <w:top w:val="nil"/>
              <w:left w:val="nil"/>
              <w:bottom w:val="single" w:color="auto" w:sz="12" w:space="0"/>
              <w:right w:val="nil"/>
            </w:tcBorders>
            <w:noWrap/>
            <w:textDirection w:val="tbRl"/>
            <w:vAlign w:val="center"/>
          </w:tcPr>
          <w:p w14:paraId="7B99A0ED">
            <w:pPr>
              <w:widowControl/>
              <w:ind w:left="113" w:right="113"/>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p>
        </w:tc>
        <w:tc>
          <w:tcPr>
            <w:tcW w:w="1640" w:type="dxa"/>
            <w:tcBorders>
              <w:top w:val="nil"/>
              <w:left w:val="nil"/>
              <w:bottom w:val="single" w:color="auto" w:sz="12" w:space="0"/>
              <w:right w:val="nil"/>
            </w:tcBorders>
            <w:noWrap/>
            <w:textDirection w:val="tbRl"/>
            <w:vAlign w:val="center"/>
          </w:tcPr>
          <w:p w14:paraId="4FBFA6FF">
            <w:pPr>
              <w:widowControl/>
              <w:ind w:left="113" w:right="113"/>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p>
        </w:tc>
        <w:tc>
          <w:tcPr>
            <w:tcW w:w="1610" w:type="dxa"/>
            <w:tcBorders>
              <w:top w:val="nil"/>
              <w:left w:val="nil"/>
              <w:bottom w:val="single" w:color="auto" w:sz="12" w:space="0"/>
              <w:right w:val="nil"/>
            </w:tcBorders>
            <w:noWrap/>
            <w:textDirection w:val="tbRl"/>
            <w:vAlign w:val="center"/>
          </w:tcPr>
          <w:p w14:paraId="06766B11">
            <w:pPr>
              <w:widowControl/>
              <w:ind w:left="113" w:right="113"/>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p>
        </w:tc>
        <w:tc>
          <w:tcPr>
            <w:tcW w:w="1660" w:type="dxa"/>
            <w:tcBorders>
              <w:top w:val="nil"/>
              <w:left w:val="nil"/>
              <w:bottom w:val="single" w:color="auto" w:sz="12" w:space="0"/>
              <w:right w:val="nil"/>
            </w:tcBorders>
            <w:noWrap/>
            <w:textDirection w:val="tbRl"/>
            <w:vAlign w:val="center"/>
          </w:tcPr>
          <w:p w14:paraId="07F62A45">
            <w:pPr>
              <w:widowControl/>
              <w:ind w:left="113" w:right="113"/>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p>
        </w:tc>
      </w:tr>
    </w:tbl>
    <w:p w14:paraId="30EF060D">
      <w:pPr>
        <w:rPr>
          <w:rFonts w:ascii="Times New Roman" w:hAnsi="Times New Roman" w:cs="Times New Roman"/>
          <w:b/>
          <w:bCs/>
        </w:rPr>
      </w:pPr>
    </w:p>
    <w:p w14:paraId="5CC7DC4A">
      <w:pPr>
        <w:rPr>
          <w:rFonts w:ascii="Times New Roman" w:hAnsi="Times New Roman" w:cs="Times New Roman"/>
          <w:b/>
          <w:bCs/>
        </w:rPr>
      </w:pPr>
    </w:p>
    <w:p w14:paraId="7A5AEC3B">
      <w:pPr>
        <w:rPr>
          <w:rFonts w:ascii="Times New Roman" w:hAnsi="Times New Roman" w:cs="Times New Roman"/>
          <w:b/>
          <w:bCs/>
        </w:rPr>
      </w:pPr>
    </w:p>
    <w:p w14:paraId="0D257C1D">
      <w:pPr>
        <w:rPr>
          <w:rFonts w:ascii="Times New Roman" w:hAnsi="Times New Roman" w:cs="Times New Roman"/>
          <w:b/>
          <w:bCs/>
        </w:rPr>
      </w:pPr>
    </w:p>
    <w:p w14:paraId="72170E91">
      <w:pPr>
        <w:rPr>
          <w:rFonts w:ascii="Times New Roman" w:hAnsi="Times New Roman" w:cs="Times New Roman"/>
          <w:b/>
          <w:bCs/>
        </w:rPr>
      </w:pPr>
    </w:p>
    <w:p w14:paraId="7996CD0E">
      <w:pPr>
        <w:rPr>
          <w:rFonts w:ascii="Times New Roman" w:hAnsi="Times New Roman" w:cs="Times New Roman"/>
        </w:rPr>
      </w:pPr>
    </w:p>
    <w:p w14:paraId="29458002">
      <w:pPr>
        <w:rPr>
          <w:rFonts w:ascii="Times New Roman" w:hAnsi="Times New Roman" w:cs="Times New Roman"/>
        </w:rPr>
      </w:pPr>
    </w:p>
    <w:p w14:paraId="6A4C922F">
      <w:pPr>
        <w:rPr>
          <w:rFonts w:ascii="Times New Roman" w:hAnsi="Times New Roman" w:cs="Times New Roman"/>
        </w:rPr>
      </w:pPr>
    </w:p>
    <w:p w14:paraId="1690FD87">
      <w:pPr>
        <w:rPr>
          <w:rFonts w:ascii="Times New Roman" w:hAnsi="Times New Roman" w:cs="Times New Roman"/>
        </w:rPr>
      </w:pPr>
    </w:p>
    <w:p w14:paraId="535ADF76">
      <w:pPr>
        <w:rPr>
          <w:rFonts w:ascii="Times New Roman" w:hAnsi="Times New Roman" w:cs="Times New Roman"/>
        </w:rPr>
      </w:pPr>
    </w:p>
    <w:p w14:paraId="603B8D47">
      <w:pPr>
        <w:rPr>
          <w:rFonts w:ascii="Times New Roman" w:hAnsi="Times New Roman" w:cs="Times New Roman"/>
        </w:rPr>
      </w:pPr>
    </w:p>
    <w:p w14:paraId="67A7CDB5">
      <w:pPr>
        <w:rPr>
          <w:rFonts w:ascii="Times New Roman" w:hAnsi="Times New Roman" w:cs="Times New Roman"/>
        </w:rPr>
      </w:pPr>
    </w:p>
    <w:p w14:paraId="2B8B8EB1">
      <w:pPr>
        <w:rPr>
          <w:rFonts w:ascii="Times New Roman" w:hAnsi="Times New Roman" w:cs="Times New Roman"/>
        </w:rPr>
      </w:pPr>
    </w:p>
    <w:p w14:paraId="23EDF265">
      <w:pPr>
        <w:rPr>
          <w:rFonts w:ascii="Times New Roman" w:hAnsi="Times New Roman" w:cs="Times New Roman"/>
        </w:rPr>
      </w:pPr>
    </w:p>
    <w:p w14:paraId="7A78DB37">
      <w:pPr>
        <w:rPr>
          <w:rFonts w:ascii="Times New Roman" w:hAnsi="Times New Roman" w:cs="Times New Roman"/>
        </w:rPr>
      </w:pPr>
    </w:p>
    <w:p w14:paraId="097EB49C">
      <w:pPr>
        <w:rPr>
          <w:rFonts w:ascii="Times New Roman" w:hAnsi="Times New Roman" w:cs="Times New Roman"/>
        </w:rPr>
      </w:pPr>
    </w:p>
    <w:p w14:paraId="5CE3803D">
      <w:pPr>
        <w:rPr>
          <w:rFonts w:ascii="Times New Roman" w:hAnsi="Times New Roman" w:cs="Times New Roman"/>
        </w:rPr>
      </w:pPr>
    </w:p>
    <w:p w14:paraId="1EBB8D83">
      <w:pPr>
        <w:rPr>
          <w:rFonts w:ascii="Times New Roman" w:hAnsi="Times New Roman" w:cs="Times New Roman"/>
        </w:rPr>
      </w:pPr>
    </w:p>
    <w:p w14:paraId="1C309CE7">
      <w:pPr>
        <w:rPr>
          <w:rFonts w:ascii="Times New Roman" w:hAnsi="Times New Roman" w:cs="Times New Roman"/>
        </w:rPr>
      </w:pPr>
    </w:p>
    <w:p w14:paraId="10001A3F">
      <w:pPr>
        <w:rPr>
          <w:rFonts w:ascii="Times New Roman" w:hAnsi="Times New Roman" w:cs="Times New Roman"/>
        </w:rPr>
      </w:pPr>
    </w:p>
    <w:p w14:paraId="6EFB8B92">
      <w:pPr>
        <w:rPr>
          <w:rFonts w:ascii="Times New Roman" w:hAnsi="Times New Roman" w:cs="Times New Roman"/>
        </w:rPr>
      </w:pPr>
    </w:p>
    <w:p w14:paraId="43265214">
      <w:pPr>
        <w:rPr>
          <w:rFonts w:ascii="Times New Roman" w:hAnsi="Times New Roman" w:cs="Times New Roman"/>
        </w:rPr>
      </w:pPr>
    </w:p>
    <w:p w14:paraId="3027B4CA">
      <w:pPr>
        <w:rPr>
          <w:rFonts w:ascii="Times New Roman" w:hAnsi="Times New Roman" w:cs="Times New Roman"/>
        </w:rPr>
      </w:pPr>
    </w:p>
    <w:p w14:paraId="7E4F75F5">
      <w:pPr>
        <w:rPr>
          <w:rFonts w:ascii="Times New Roman" w:hAnsi="Times New Roman" w:cs="Times New Roman"/>
        </w:rPr>
      </w:pPr>
    </w:p>
    <w:p w14:paraId="496D2A45">
      <w:pPr>
        <w:rPr>
          <w:rFonts w:ascii="Times New Roman" w:hAnsi="Times New Roman" w:cs="Times New Roman"/>
        </w:rPr>
      </w:pPr>
    </w:p>
    <w:p w14:paraId="7BFB730D">
      <w:pPr>
        <w:rPr>
          <w:rFonts w:ascii="Times New Roman" w:hAnsi="Times New Roman" w:cs="Times New Roman"/>
        </w:rPr>
      </w:pPr>
    </w:p>
    <w:p w14:paraId="7879BFB1">
      <w:pPr>
        <w:rPr>
          <w:rFonts w:ascii="Times New Roman" w:hAnsi="Times New Roman" w:cs="Times New Roman"/>
        </w:rPr>
      </w:pPr>
    </w:p>
    <w:p w14:paraId="71BBE0CF">
      <w:pPr>
        <w:jc w:val="center"/>
        <w:rPr>
          <w:rFonts w:ascii="Times New Roman" w:hAnsi="Times New Roman" w:cs="Times New Roman"/>
        </w:rPr>
      </w:pPr>
      <w:r>
        <w:rPr>
          <w:rFonts w:ascii="Times New Roman" w:hAnsi="Times New Roman" w:cs="Times New Roman"/>
        </w:rPr>
        <w:drawing>
          <wp:inline distT="0" distB="0" distL="114300" distR="114300">
            <wp:extent cx="5032375" cy="3427095"/>
            <wp:effectExtent l="0" t="0" r="9525" b="19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032375" cy="3427095"/>
                    </a:xfrm>
                    <a:prstGeom prst="rect">
                      <a:avLst/>
                    </a:prstGeom>
                  </pic:spPr>
                </pic:pic>
              </a:graphicData>
            </a:graphic>
          </wp:inline>
        </w:drawing>
      </w:r>
    </w:p>
    <w:p w14:paraId="4FAC5A9C">
      <w:pPr>
        <w:autoSpaceDE w:val="0"/>
        <w:autoSpaceDN w:val="0"/>
        <w:spacing w:before="90" w:line="360" w:lineRule="auto"/>
        <w:ind w:left="220" w:right="352"/>
        <w:rPr>
          <w:rFonts w:ascii="Times New Roman" w:hAnsi="Times New Roman" w:cs="Times New Roman"/>
          <w:b/>
          <w:bCs/>
        </w:rPr>
      </w:pPr>
      <w:r>
        <w:rPr>
          <w:rFonts w:ascii="Times New Roman" w:hAnsi="Times New Roman" w:eastAsia="Times New Roman" w:cs="Times New Roman"/>
          <w:b/>
          <w:kern w:val="0"/>
          <w:szCs w:val="21"/>
        </w:rPr>
        <w:t xml:space="preserve">Figure </w:t>
      </w:r>
      <w:r>
        <w:rPr>
          <w:rFonts w:hint="eastAsia" w:ascii="Times New Roman" w:hAnsi="Times New Roman" w:eastAsia="Times New Roman" w:cs="Times New Roman"/>
          <w:b/>
          <w:kern w:val="0"/>
          <w:szCs w:val="21"/>
        </w:rPr>
        <w:t>A4-1</w:t>
      </w:r>
      <w:r>
        <w:rPr>
          <w:rFonts w:ascii="Times New Roman" w:hAnsi="Times New Roman" w:eastAsia="Times New Roman" w:cs="Times New Roman"/>
          <w:b/>
          <w:kern w:val="0"/>
          <w:szCs w:val="21"/>
        </w:rPr>
        <w:t xml:space="preserve">. Resource Selection Probability Distribution of Hexagonal Grid Nodes: </w:t>
      </w:r>
      <w:r>
        <w:rPr>
          <w:rFonts w:ascii="Times New Roman" w:hAnsi="Times New Roman" w:eastAsia="Times New Roman" w:cs="Times New Roman"/>
          <w:bCs/>
          <w:kern w:val="0"/>
          <w:szCs w:val="21"/>
        </w:rPr>
        <w:t>The visualization depicts a gridded representation of resource selection probabilities derived through spatial transformation of the pred_prob attribute values from the pathfinding hexagonal nodes. This probabilistic surface provides a spatially explicit representation of habitat preference likelihood across the study area, where each node's color gradient corresponds to its modeled resource selection probability value (0-1 scale).</w:t>
      </w:r>
    </w:p>
    <w:p w14:paraId="221D04CA">
      <w:pPr>
        <w:pStyle w:val="3"/>
        <w:rPr>
          <w:rFonts w:cs="Times New Roman"/>
        </w:rPr>
      </w:pPr>
      <w:r>
        <w:rPr>
          <w:rFonts w:cs="Times New Roman"/>
        </w:rPr>
        <w:t xml:space="preserve">Appendix </w:t>
      </w:r>
      <w:r>
        <w:rPr>
          <w:rFonts w:hint="eastAsia" w:cs="Times New Roman"/>
        </w:rPr>
        <w:t>5</w:t>
      </w:r>
      <w:r>
        <w:rPr>
          <w:rFonts w:cs="Times New Roman"/>
        </w:rPr>
        <w:t>: Simulation results of Asian elephant movement path</w:t>
      </w:r>
    </w:p>
    <w:p w14:paraId="4E4D855C">
      <w:pPr>
        <w:jc w:val="center"/>
        <w:rPr>
          <w:rFonts w:ascii="Times New Roman" w:hAnsi="Times New Roman" w:cs="Times New Roman"/>
        </w:rPr>
      </w:pPr>
      <w:r>
        <w:drawing>
          <wp:inline distT="0" distB="0" distL="114300" distR="114300">
            <wp:extent cx="4438650" cy="7267575"/>
            <wp:effectExtent l="0" t="0" r="6350" b="952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7"/>
                    <a:srcRect r="4661"/>
                    <a:stretch>
                      <a:fillRect/>
                    </a:stretch>
                  </pic:blipFill>
                  <pic:spPr>
                    <a:xfrm>
                      <a:off x="0" y="0"/>
                      <a:ext cx="4438650" cy="7267575"/>
                    </a:xfrm>
                    <a:prstGeom prst="rect">
                      <a:avLst/>
                    </a:prstGeom>
                  </pic:spPr>
                </pic:pic>
              </a:graphicData>
            </a:graphic>
          </wp:inline>
        </w:drawing>
      </w:r>
    </w:p>
    <w:p w14:paraId="0F01FB4F">
      <w:pPr>
        <w:autoSpaceDE w:val="0"/>
        <w:autoSpaceDN w:val="0"/>
        <w:spacing w:before="90" w:line="360" w:lineRule="auto"/>
        <w:ind w:left="220" w:right="352"/>
        <w:rPr>
          <w:rFonts w:ascii="Times New Roman" w:hAnsi="Times New Roman" w:eastAsia="Times New Roman" w:cs="Times New Roman"/>
          <w:bCs/>
          <w:kern w:val="0"/>
          <w:sz w:val="24"/>
          <w:szCs w:val="22"/>
        </w:rPr>
      </w:pPr>
      <w:r>
        <w:rPr>
          <w:rFonts w:ascii="Times New Roman" w:hAnsi="Times New Roman" w:eastAsia="Times New Roman" w:cs="Times New Roman"/>
          <w:b/>
          <w:kern w:val="0"/>
          <w:szCs w:val="21"/>
        </w:rPr>
        <w:t xml:space="preserve">Figure </w:t>
      </w:r>
      <w:r>
        <w:rPr>
          <w:rFonts w:hint="eastAsia" w:ascii="Times New Roman" w:hAnsi="Times New Roman" w:eastAsia="Times New Roman" w:cs="Times New Roman"/>
          <w:b/>
          <w:kern w:val="0"/>
          <w:szCs w:val="21"/>
        </w:rPr>
        <w:t>5-1</w:t>
      </w:r>
      <w:r>
        <w:rPr>
          <w:rFonts w:ascii="Times New Roman" w:hAnsi="Times New Roman" w:eastAsia="Times New Roman" w:cs="Times New Roman"/>
          <w:b/>
          <w:kern w:val="0"/>
          <w:szCs w:val="21"/>
        </w:rPr>
        <w:t xml:space="preserve">. Simulation results of Asian elephant movement path: </w:t>
      </w:r>
      <w:r>
        <w:rPr>
          <w:rFonts w:ascii="Times New Roman" w:hAnsi="Times New Roman" w:eastAsia="Times New Roman" w:cs="Times New Roman"/>
          <w:bCs/>
          <w:kern w:val="0"/>
          <w:szCs w:val="21"/>
        </w:rPr>
        <w:t xml:space="preserve"> The positive direction is from left to right and the vertical direction is from top to bottom. Simulated movement Path 1 (light blue) represents the path in the forward direction, while simulated movement Path 2 (orange) represents the path in the reverse direction. The Asian Elephant movement track shows the actual movement path, and the 600m buffer highlights the overlap between the simulated paths and the actual path.</w:t>
      </w:r>
    </w:p>
    <w:p w14:paraId="5A12B3DB">
      <w:pPr>
        <w:pStyle w:val="3"/>
        <w:rPr>
          <w:rFonts w:cs="Times New Roman"/>
        </w:rPr>
      </w:pPr>
      <w:r>
        <w:rPr>
          <w:rFonts w:cs="Times New Roman"/>
        </w:rPr>
        <w:t xml:space="preserve">Appendix </w:t>
      </w:r>
      <w:r>
        <w:rPr>
          <w:rFonts w:hint="eastAsia" w:cs="Times New Roman"/>
        </w:rPr>
        <w:t>6</w:t>
      </w:r>
      <w:r>
        <w:rPr>
          <w:rFonts w:cs="Times New Roman"/>
        </w:rPr>
        <w:t>: Attempts at model optimization</w:t>
      </w:r>
    </w:p>
    <w:p w14:paraId="1A8AAE34">
      <w:pPr>
        <w:spacing w:line="360" w:lineRule="auto"/>
        <w:ind w:firstLine="480" w:firstLineChars="200"/>
        <w:rPr>
          <w:rFonts w:ascii="Times New Roman" w:hAnsi="Times New Roman" w:cs="Times New Roman"/>
          <w:sz w:val="24"/>
        </w:rPr>
      </w:pPr>
      <w:r>
        <w:rPr>
          <w:rFonts w:ascii="Times New Roman" w:hAnsi="Times New Roman" w:cs="Times New Roman"/>
          <w:sz w:val="24"/>
        </w:rPr>
        <w:t>1、Resource Selection Function Optimization Scheme</w:t>
      </w:r>
    </w:p>
    <w:p w14:paraId="5549CBF8">
      <w:pPr>
        <w:spacing w:line="360" w:lineRule="auto"/>
        <w:ind w:firstLine="480" w:firstLineChars="200"/>
        <w:rPr>
          <w:rFonts w:ascii="Times New Roman" w:hAnsi="Times New Roman" w:cs="Times New Roman"/>
          <w:sz w:val="24"/>
        </w:rPr>
      </w:pPr>
      <w:r>
        <w:rPr>
          <w:rFonts w:ascii="Times New Roman" w:hAnsi="Times New Roman" w:cs="Times New Roman"/>
          <w:sz w:val="24"/>
        </w:rPr>
        <w:t>The resource selection function was initially modeled using logistic regression with preliminary optimization. Three distinct logistic regression approaches were implemented within a generalized linear model (GLM) framework to enhance model performance:</w:t>
      </w:r>
    </w:p>
    <w:p w14:paraId="0B22C316">
      <w:pPr>
        <w:spacing w:line="360" w:lineRule="auto"/>
        <w:ind w:firstLine="480" w:firstLineChars="200"/>
        <w:rPr>
          <w:rFonts w:ascii="Times New Roman" w:hAnsi="Times New Roman" w:cs="Times New Roman"/>
          <w:sz w:val="24"/>
        </w:rPr>
      </w:pPr>
      <w:r>
        <w:rPr>
          <w:rFonts w:ascii="Times New Roman" w:hAnsi="Times New Roman" w:cs="Times New Roman"/>
          <w:sz w:val="24"/>
        </w:rPr>
        <w:t>Step 1: Model Selection and Evaluation</w:t>
      </w:r>
    </w:p>
    <w:p w14:paraId="4FA2DC3D">
      <w:pPr>
        <w:spacing w:line="360" w:lineRule="auto"/>
        <w:ind w:firstLine="480" w:firstLineChars="200"/>
        <w:rPr>
          <w:rFonts w:ascii="Times New Roman" w:hAnsi="Times New Roman" w:cs="Times New Roman"/>
          <w:sz w:val="24"/>
        </w:rPr>
      </w:pPr>
      <w:r>
        <w:rPr>
          <w:rFonts w:ascii="Times New Roman" w:hAnsi="Times New Roman" w:cs="Times New Roman"/>
          <w:sz w:val="24"/>
        </w:rPr>
        <w:t>L1 Regularization (Lasso Regression): Employed L1 regularization for feature selection, effectively eliminating non-significant predictors to improve model interpretability.</w:t>
      </w:r>
    </w:p>
    <w:p w14:paraId="35E7E14F">
      <w:pPr>
        <w:spacing w:line="360" w:lineRule="auto"/>
        <w:ind w:firstLine="480" w:firstLineChars="200"/>
        <w:rPr>
          <w:rFonts w:ascii="Times New Roman" w:hAnsi="Times New Roman" w:cs="Times New Roman"/>
          <w:sz w:val="24"/>
        </w:rPr>
      </w:pPr>
      <w:r>
        <w:rPr>
          <w:rFonts w:ascii="Times New Roman" w:hAnsi="Times New Roman" w:cs="Times New Roman"/>
          <w:sz w:val="24"/>
        </w:rPr>
        <w:t>L2 Regularization (Ridge Regression): Applied L2 regularization to address overfitting, particularly for scenarios involving multicollinear features.</w:t>
      </w:r>
    </w:p>
    <w:p w14:paraId="1BBB62AD">
      <w:pPr>
        <w:spacing w:line="360" w:lineRule="auto"/>
        <w:ind w:firstLine="480" w:firstLineChars="200"/>
        <w:rPr>
          <w:rFonts w:ascii="Times New Roman" w:hAnsi="Times New Roman" w:cs="Times New Roman"/>
          <w:sz w:val="24"/>
        </w:rPr>
      </w:pPr>
      <w:r>
        <w:rPr>
          <w:rFonts w:ascii="Times New Roman" w:hAnsi="Times New Roman" w:cs="Times New Roman"/>
          <w:sz w:val="24"/>
        </w:rPr>
        <w:t>Non-regularized Logistic Regression: Implemented without regularization techniques, suitable for models with limited feature dimensions.</w:t>
      </w:r>
    </w:p>
    <w:p w14:paraId="7EC54B8E">
      <w:pPr>
        <w:spacing w:line="360" w:lineRule="auto"/>
        <w:ind w:firstLine="480" w:firstLineChars="200"/>
        <w:rPr>
          <w:rFonts w:ascii="Times New Roman" w:hAnsi="Times New Roman" w:cs="Times New Roman"/>
          <w:sz w:val="24"/>
        </w:rPr>
      </w:pPr>
      <w:r>
        <w:rPr>
          <w:rFonts w:ascii="Times New Roman" w:hAnsi="Times New Roman" w:cs="Times New Roman"/>
          <w:sz w:val="24"/>
        </w:rPr>
        <w:t>Step 2: Regularization Parameter Evaluation</w:t>
      </w:r>
    </w:p>
    <w:p w14:paraId="71F07614">
      <w:pPr>
        <w:spacing w:line="360" w:lineRule="auto"/>
        <w:ind w:firstLine="480" w:firstLineChars="200"/>
        <w:rPr>
          <w:rFonts w:ascii="Times New Roman" w:hAnsi="Times New Roman" w:cs="Times New Roman"/>
          <w:sz w:val="24"/>
        </w:rPr>
      </w:pPr>
      <w:r>
        <w:rPr>
          <w:rFonts w:ascii="Times New Roman" w:hAnsi="Times New Roman" w:cs="Times New Roman"/>
          <w:sz w:val="24"/>
        </w:rPr>
        <w:t>Cross-validation was conducted to assess the three logistic regression variants, with ROC-AUC scores serving as the primary metric for model comparison and final selection.</w:t>
      </w:r>
    </w:p>
    <w:p w14:paraId="30EEC1E5">
      <w:pPr>
        <w:spacing w:line="360" w:lineRule="auto"/>
        <w:ind w:firstLine="480" w:firstLineChars="200"/>
        <w:rPr>
          <w:rFonts w:ascii="Times New Roman" w:hAnsi="Times New Roman" w:cs="Times New Roman"/>
          <w:sz w:val="24"/>
        </w:rPr>
      </w:pPr>
      <w:r>
        <w:rPr>
          <w:rFonts w:ascii="Times New Roman" w:hAnsi="Times New Roman" w:cs="Times New Roman"/>
          <w:sz w:val="24"/>
        </w:rPr>
        <w:t>Step 3: Variable Refinement</w:t>
      </w:r>
    </w:p>
    <w:p w14:paraId="529145EE">
      <w:pPr>
        <w:spacing w:line="360" w:lineRule="auto"/>
        <w:ind w:firstLine="480" w:firstLineChars="200"/>
        <w:rPr>
          <w:rFonts w:ascii="Times New Roman" w:hAnsi="Times New Roman" w:cs="Times New Roman"/>
          <w:sz w:val="24"/>
        </w:rPr>
      </w:pPr>
      <w:r>
        <w:rPr>
          <w:rFonts w:ascii="Times New Roman" w:hAnsi="Times New Roman" w:cs="Times New Roman"/>
          <w:sz w:val="24"/>
        </w:rPr>
        <w:t>Multicollinearity was systematically addressed through variance inflation factor (VIF) analysis. Variables exhibiting VIF values exceeding critical thresholds were iteratively excluded to strengthen model robustness.</w:t>
      </w:r>
    </w:p>
    <w:p w14:paraId="2A34B033">
      <w:pPr>
        <w:pStyle w:val="5"/>
        <w:autoSpaceDE w:val="0"/>
        <w:autoSpaceDN w:val="0"/>
        <w:spacing w:line="360" w:lineRule="auto"/>
        <w:ind w:firstLine="480" w:firstLineChars="200"/>
        <w:rPr>
          <w:kern w:val="0"/>
          <w:lang w:eastAsia="zh-CN"/>
        </w:rPr>
      </w:pPr>
      <w:r>
        <w:rPr>
          <w:kern w:val="0"/>
          <w:lang w:eastAsia="zh-CN"/>
        </w:rPr>
        <w:t>Despite these optimizations, the logistic regression framework demonstrated limited predictive accuracy ，ROC-AUC scores=80%. Consequently, an enhanced modeling strategy was adopted, ultimately selecting a random forest-based approach for resource selection function development.</w:t>
      </w:r>
    </w:p>
    <w:p w14:paraId="42586E37">
      <w:pPr>
        <w:spacing w:line="360" w:lineRule="auto"/>
        <w:ind w:firstLine="480" w:firstLineChars="200"/>
        <w:rPr>
          <w:rFonts w:ascii="Times New Roman" w:hAnsi="Times New Roman" w:cs="Times New Roman"/>
          <w:sz w:val="24"/>
        </w:rPr>
      </w:pPr>
      <w:r>
        <w:rPr>
          <w:rFonts w:ascii="Times New Roman" w:hAnsi="Times New Roman" w:cs="Times New Roman"/>
          <w:sz w:val="24"/>
        </w:rPr>
        <w:t>2、Path Selection Function Optimization Scheme</w:t>
      </w:r>
    </w:p>
    <w:p w14:paraId="55891E14">
      <w:pPr>
        <w:spacing w:line="360" w:lineRule="auto"/>
        <w:ind w:firstLine="480" w:firstLineChars="200"/>
        <w:rPr>
          <w:rFonts w:ascii="Times New Roman" w:hAnsi="Times New Roman" w:cs="Times New Roman"/>
          <w:sz w:val="24"/>
        </w:rPr>
      </w:pPr>
      <w:r>
        <w:rPr>
          <w:rFonts w:ascii="Times New Roman" w:hAnsi="Times New Roman" w:cs="Times New Roman"/>
          <w:sz w:val="24"/>
        </w:rPr>
        <w:t>The path selection optimization focuses on refining the scoring function that determines which candidate cell is selected at each step of the iterative search process.:</w:t>
      </w:r>
    </w:p>
    <w:p w14:paraId="0853C6E7">
      <w:pPr>
        <w:spacing w:line="360" w:lineRule="auto"/>
        <w:ind w:firstLine="480" w:firstLineChars="200"/>
        <w:rPr>
          <w:rFonts w:ascii="Times New Roman" w:hAnsi="Times New Roman" w:cs="Times New Roman"/>
          <w:sz w:val="24"/>
        </w:rPr>
      </w:pPr>
      <w:r>
        <w:rPr>
          <w:rFonts w:ascii="Times New Roman" w:hAnsi="Times New Roman" w:cs="Times New Roman"/>
          <w:sz w:val="24"/>
        </w:rPr>
        <w:t>（1）Weight Dynamics</w:t>
      </w:r>
    </w:p>
    <w:p w14:paraId="11023309">
      <w:pPr>
        <w:spacing w:line="360" w:lineRule="auto"/>
        <w:ind w:firstLine="480" w:firstLineChars="200"/>
        <w:rPr>
          <w:rFonts w:ascii="Times New Roman" w:hAnsi="Times New Roman" w:cs="Times New Roman"/>
          <w:sz w:val="24"/>
        </w:rPr>
      </w:pPr>
      <w:r>
        <w:rPr>
          <w:rFonts w:ascii="Times New Roman" w:hAnsi="Times New Roman" w:cs="Times New Roman"/>
          <w:sz w:val="24"/>
        </w:rPr>
        <w:t>A dynamic weighting mechanism was implemented to enhance model sensitivity to neighborhood resource probabilities:</w:t>
      </w:r>
    </w:p>
    <w:p w14:paraId="1C6C8CB4">
      <w:pPr>
        <w:spacing w:line="360" w:lineRule="auto"/>
        <w:ind w:firstLine="480" w:firstLineChars="200"/>
        <w:rPr>
          <w:rFonts w:ascii="Times New Roman" w:hAnsi="Times New Roman" w:cs="Times New Roman"/>
          <w:i/>
          <w:iCs/>
          <w:sz w:val="24"/>
        </w:rPr>
      </w:pPr>
      <w:r>
        <w:rPr>
          <w:rFonts w:ascii="Times New Roman" w:hAnsi="Times New Roman" w:cs="Times New Roman"/>
          <w:i/>
          <w:iCs/>
          <w:sz w:val="24"/>
        </w:rPr>
        <w:t xml:space="preserve">for neighbor, dist_to_end, distance in closer_neighbors:  </w:t>
      </w:r>
    </w:p>
    <w:p w14:paraId="0B5EA438">
      <w:pPr>
        <w:spacing w:line="360" w:lineRule="auto"/>
        <w:ind w:firstLine="480" w:firstLineChars="200"/>
        <w:rPr>
          <w:rFonts w:ascii="Times New Roman" w:hAnsi="Times New Roman" w:cs="Times New Roman"/>
          <w:i/>
          <w:iCs/>
          <w:sz w:val="24"/>
        </w:rPr>
      </w:pPr>
      <w:r>
        <w:rPr>
          <w:rFonts w:ascii="Times New Roman" w:hAnsi="Times New Roman" w:cs="Times New Roman"/>
          <w:i/>
          <w:iCs/>
          <w:sz w:val="24"/>
        </w:rPr>
        <w:t xml:space="preserve">    weight = 1 - abs(neighbor['pred_prob'] - max_pred_prob)  </w:t>
      </w:r>
    </w:p>
    <w:p w14:paraId="48CEAF1E">
      <w:pPr>
        <w:spacing w:line="360" w:lineRule="auto"/>
        <w:ind w:firstLine="480" w:firstLineChars="200"/>
        <w:rPr>
          <w:rFonts w:ascii="Times New Roman" w:hAnsi="Times New Roman" w:cs="Times New Roman"/>
          <w:i/>
          <w:iCs/>
          <w:sz w:val="24"/>
        </w:rPr>
      </w:pPr>
      <w:r>
        <w:rPr>
          <w:rFonts w:ascii="Times New Roman" w:hAnsi="Times New Roman" w:cs="Times New Roman"/>
          <w:i/>
          <w:iCs/>
          <w:sz w:val="24"/>
        </w:rPr>
        <w:t xml:space="preserve">    distance_ratio = dist_to_end / current_dist_to_end  </w:t>
      </w:r>
    </w:p>
    <w:p w14:paraId="3C20E345">
      <w:pPr>
        <w:spacing w:line="360" w:lineRule="auto"/>
        <w:ind w:firstLine="480" w:firstLineChars="200"/>
        <w:rPr>
          <w:rFonts w:ascii="Times New Roman" w:hAnsi="Times New Roman" w:cs="Times New Roman"/>
          <w:sz w:val="24"/>
        </w:rPr>
      </w:pPr>
      <w:r>
        <w:rPr>
          <w:rFonts w:ascii="Times New Roman" w:hAnsi="Times New Roman" w:cs="Times New Roman"/>
          <w:i/>
          <w:iCs/>
          <w:sz w:val="24"/>
        </w:rPr>
        <w:t xml:space="preserve">    score = neighbor['pred_prob'] * (weight / ((distance_ratio ** 2) + 1e-6))  </w:t>
      </w:r>
    </w:p>
    <w:p w14:paraId="54BBB1F2">
      <w:pPr>
        <w:spacing w:line="360" w:lineRule="auto"/>
        <w:ind w:firstLine="480" w:firstLineChars="200"/>
        <w:rPr>
          <w:rFonts w:ascii="Times New Roman" w:hAnsi="Times New Roman" w:cs="Times New Roman"/>
          <w:sz w:val="24"/>
        </w:rPr>
      </w:pPr>
      <w:r>
        <w:rPr>
          <w:rFonts w:ascii="Times New Roman" w:hAnsi="Times New Roman" w:cs="Times New Roman"/>
          <w:sz w:val="24"/>
        </w:rPr>
        <w:t>This formulation adaptively modulates the influence of resource selection probability (</w:t>
      </w:r>
      <w:r>
        <w:rPr>
          <w:rFonts w:ascii="Times New Roman" w:hAnsi="Times New Roman" w:cs="Times New Roman"/>
          <w:position w:val="-10"/>
          <w:sz w:val="24"/>
        </w:rPr>
        <w:object>
          <v:shape id="_x0000_i1031" o:spt="75" type="#_x0000_t75" style="height:18pt;width:60pt;" o:ole="t" filled="f" o:preferrelative="t" stroked="f" coordsize="21600,21600">
            <v:path/>
            <v:fill on="f" focussize="0,0"/>
            <v:stroke on="f" joinstyle="miter"/>
            <v:imagedata r:id="rId14" o:title=""/>
            <o:lock v:ext="edit" aspectratio="t"/>
            <w10:wrap type="none"/>
            <w10:anchorlock/>
          </v:shape>
          <o:OLEObject Type="Embed" ProgID="Equation.AxMath" ShapeID="_x0000_i1031" DrawAspect="Content" ObjectID="_1468075731" r:id="rId18">
            <o:LockedField>false</o:LockedField>
          </o:OLEObject>
        </w:object>
      </w:r>
      <w:r>
        <w:rPr>
          <w:rFonts w:ascii="Times New Roman" w:hAnsi="Times New Roman" w:cs="Times New Roman"/>
          <w:sz w:val="24"/>
        </w:rPr>
        <w:t>) based on local probability variations.</w:t>
      </w:r>
    </w:p>
    <w:p w14:paraId="3FA66FA0">
      <w:pPr>
        <w:numPr>
          <w:ilvl w:val="0"/>
          <w:numId w:val="1"/>
        </w:numPr>
        <w:spacing w:line="360" w:lineRule="auto"/>
        <w:ind w:firstLine="480" w:firstLineChars="200"/>
        <w:rPr>
          <w:rFonts w:ascii="Times New Roman" w:hAnsi="Times New Roman" w:cs="Times New Roman"/>
          <w:sz w:val="24"/>
        </w:rPr>
      </w:pPr>
      <w:r>
        <w:rPr>
          <w:rFonts w:ascii="Times New Roman" w:hAnsi="Times New Roman" w:cs="Times New Roman"/>
          <w:sz w:val="24"/>
        </w:rPr>
        <w:t>Additive–Subtractive Formulations and Scale Sensitivity</w:t>
      </w:r>
    </w:p>
    <w:p w14:paraId="6F151760">
      <w:pPr>
        <w:spacing w:line="360" w:lineRule="auto"/>
        <w:ind w:firstLine="480" w:firstLineChars="200"/>
        <w:rPr>
          <w:rFonts w:ascii="Times New Roman" w:hAnsi="Times New Roman" w:cs="Times New Roman"/>
          <w:sz w:val="24"/>
        </w:rPr>
      </w:pPr>
      <w:r>
        <w:rPr>
          <w:rFonts w:ascii="Times New Roman" w:hAnsi="Times New Roman" w:cs="Times New Roman"/>
          <w:sz w:val="24"/>
        </w:rPr>
        <w:t>We experimented with additive and subtractive variants of the scoring function, such as:</w:t>
      </w:r>
    </w:p>
    <w:p w14:paraId="172EBE4E">
      <w:pPr>
        <w:spacing w:line="360" w:lineRule="auto"/>
        <w:ind w:firstLine="480" w:firstLineChars="200"/>
        <w:rPr>
          <w:rFonts w:ascii="Times New Roman" w:hAnsi="Times New Roman" w:cs="Times New Roman"/>
          <w:i/>
          <w:iCs/>
          <w:sz w:val="24"/>
        </w:rPr>
      </w:pPr>
      <w:r>
        <w:rPr>
          <w:rFonts w:ascii="Times New Roman" w:hAnsi="Times New Roman" w:cs="Times New Roman"/>
          <w:i/>
          <w:iCs/>
          <w:sz w:val="24"/>
        </w:rPr>
        <w:t xml:space="preserve">for neighbor, dist_to_end, distance in closer_neighbors:  </w:t>
      </w:r>
    </w:p>
    <w:p w14:paraId="774776B2">
      <w:pPr>
        <w:spacing w:line="360" w:lineRule="auto"/>
        <w:ind w:firstLine="480" w:firstLineChars="200"/>
        <w:rPr>
          <w:rFonts w:ascii="Times New Roman" w:hAnsi="Times New Roman" w:cs="Times New Roman"/>
          <w:i/>
          <w:iCs/>
          <w:sz w:val="24"/>
        </w:rPr>
      </w:pPr>
      <w:r>
        <w:rPr>
          <w:rFonts w:ascii="Times New Roman" w:hAnsi="Times New Roman" w:cs="Times New Roman"/>
          <w:i/>
          <w:iCs/>
          <w:sz w:val="24"/>
        </w:rPr>
        <w:t xml:space="preserve">    weight = 1 - abs(neighbor['pred_prob'] - max_pred_prob)  </w:t>
      </w:r>
    </w:p>
    <w:p w14:paraId="0BA18BFE">
      <w:pPr>
        <w:spacing w:line="360" w:lineRule="auto"/>
        <w:ind w:firstLine="480" w:firstLineChars="200"/>
        <w:rPr>
          <w:rFonts w:ascii="Times New Roman" w:hAnsi="Times New Roman" w:cs="Times New Roman"/>
          <w:i/>
          <w:iCs/>
          <w:sz w:val="24"/>
        </w:rPr>
      </w:pPr>
      <w:r>
        <w:rPr>
          <w:rFonts w:ascii="Times New Roman" w:hAnsi="Times New Roman" w:cs="Times New Roman"/>
          <w:i/>
          <w:iCs/>
          <w:sz w:val="24"/>
        </w:rPr>
        <w:t xml:space="preserve">    distance_ratio = dist_to_end / current_dist_to_end  </w:t>
      </w:r>
    </w:p>
    <w:p w14:paraId="4F845688">
      <w:pPr>
        <w:spacing w:line="360" w:lineRule="auto"/>
        <w:ind w:firstLine="480" w:firstLineChars="200"/>
        <w:rPr>
          <w:rFonts w:ascii="Times New Roman" w:hAnsi="Times New Roman" w:cs="Times New Roman"/>
          <w:sz w:val="24"/>
        </w:rPr>
      </w:pPr>
      <w:r>
        <w:rPr>
          <w:rFonts w:ascii="Times New Roman" w:hAnsi="Times New Roman" w:cs="Times New Roman"/>
          <w:i/>
          <w:iCs/>
          <w:sz w:val="24"/>
        </w:rPr>
        <w:t xml:space="preserve">    </w:t>
      </w:r>
      <w:r>
        <w:rPr>
          <w:rFonts w:ascii="Times New Roman" w:hAnsi="Times New Roman" w:cs="Times New Roman"/>
          <w:sz w:val="24"/>
        </w:rPr>
        <w:t>score = pred_prob - distance_ratio</w:t>
      </w:r>
      <w:r>
        <w:rPr>
          <w:rFonts w:hint="eastAsia" w:ascii="Times New Roman" w:hAnsi="Times New Roman" w:cs="Times New Roman"/>
          <w:sz w:val="24"/>
        </w:rPr>
        <w:t xml:space="preserve"> / </w:t>
      </w:r>
      <w:r>
        <w:rPr>
          <w:rFonts w:ascii="Times New Roman" w:hAnsi="Times New Roman" w:cs="Times New Roman"/>
          <w:sz w:val="24"/>
        </w:rPr>
        <w:t>score = pred_prob + (1 - distance_ratio)</w:t>
      </w:r>
    </w:p>
    <w:p w14:paraId="22F86F48">
      <w:pPr>
        <w:spacing w:line="360" w:lineRule="auto"/>
        <w:ind w:firstLine="480" w:firstLineChars="200"/>
        <w:rPr>
          <w:rFonts w:ascii="Times New Roman" w:hAnsi="Times New Roman" w:cs="Times New Roman"/>
          <w:sz w:val="24"/>
        </w:rPr>
      </w:pPr>
      <w:r>
        <w:rPr>
          <w:rFonts w:ascii="Times New Roman" w:hAnsi="Times New Roman" w:cs="Times New Roman"/>
          <w:sz w:val="24"/>
        </w:rPr>
        <w:t>However, these formulations introduced unintended scale sensitivity. Specifically, as the path length increased, the absolute magnitude of the distance term would disproportionately influence the score, leading to instability in path shape and endpoint convergence. Such effects are difficult to normalize globally, especially when applied across heterogeneous landscapes with varying spatial extents.</w:t>
      </w:r>
    </w:p>
    <w:p w14:paraId="2FD1E8C3">
      <w:pPr>
        <w:numPr>
          <w:ilvl w:val="0"/>
          <w:numId w:val="1"/>
        </w:numPr>
        <w:spacing w:line="360" w:lineRule="auto"/>
        <w:ind w:firstLine="480" w:firstLineChars="200"/>
        <w:rPr>
          <w:rFonts w:ascii="Times New Roman" w:hAnsi="Times New Roman" w:cs="Times New Roman"/>
          <w:sz w:val="24"/>
        </w:rPr>
      </w:pPr>
      <w:r>
        <w:rPr>
          <w:rFonts w:ascii="Times New Roman" w:hAnsi="Times New Roman" w:cs="Times New Roman"/>
          <w:sz w:val="24"/>
        </w:rPr>
        <w:t>Nonlinear Mobility Scaling</w:t>
      </w:r>
    </w:p>
    <w:p w14:paraId="22DB3EE2">
      <w:pPr>
        <w:spacing w:line="360" w:lineRule="auto"/>
        <w:ind w:firstLine="480" w:firstLineChars="200"/>
        <w:rPr>
          <w:rFonts w:ascii="Times New Roman" w:hAnsi="Times New Roman" w:cs="Times New Roman"/>
          <w:sz w:val="24"/>
        </w:rPr>
      </w:pPr>
      <w:r>
        <w:rPr>
          <w:rFonts w:ascii="Times New Roman" w:hAnsi="Times New Roman" w:cs="Times New Roman"/>
          <w:sz w:val="24"/>
        </w:rPr>
        <w:t>To address the limitations of additive–subtractive formulations, we implemented a set of nonlinear, ratio-based mobility penalty functions. This class of functions progressively down weights the influence of distance while retaining endpoint attraction, allowing for smoother integration with habitat suitability scores. Three formulations were evaluated (Table 6-1):</w:t>
      </w:r>
    </w:p>
    <w:p w14:paraId="500826DD">
      <w:pPr>
        <w:widowControl/>
        <w:numPr>
          <w:ilvl w:val="255"/>
          <w:numId w:val="0"/>
        </w:numPr>
        <w:autoSpaceDE w:val="0"/>
        <w:autoSpaceDN w:val="0"/>
        <w:spacing w:before="90" w:line="360" w:lineRule="auto"/>
        <w:ind w:left="221" w:right="351"/>
        <w:jc w:val="center"/>
        <w:rPr>
          <w:rFonts w:ascii="Times New Roman" w:hAnsi="Times New Roman" w:eastAsia="Times New Roman" w:cs="Times New Roman"/>
          <w:b/>
          <w:kern w:val="0"/>
          <w:szCs w:val="21"/>
        </w:rPr>
      </w:pPr>
      <w:r>
        <w:rPr>
          <w:rFonts w:ascii="Times New Roman" w:hAnsi="Times New Roman" w:eastAsia="Times New Roman" w:cs="Times New Roman"/>
          <w:b/>
          <w:kern w:val="0"/>
          <w:szCs w:val="21"/>
        </w:rPr>
        <w:t xml:space="preserve">Table </w:t>
      </w:r>
      <w:r>
        <w:rPr>
          <w:rFonts w:hint="eastAsia" w:ascii="Times New Roman" w:hAnsi="Times New Roman" w:eastAsia="Times New Roman" w:cs="Times New Roman"/>
          <w:b/>
          <w:kern w:val="0"/>
          <w:szCs w:val="21"/>
        </w:rPr>
        <w:t>6</w:t>
      </w:r>
      <w:r>
        <w:rPr>
          <w:rFonts w:ascii="Times New Roman" w:hAnsi="Times New Roman" w:eastAsia="Times New Roman" w:cs="Times New Roman"/>
          <w:b/>
          <w:kern w:val="0"/>
          <w:szCs w:val="21"/>
        </w:rPr>
        <w:t>-1 Distance function f(d) form</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D17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op w:val="single" w:color="000000" w:sz="12" w:space="0"/>
              <w:left w:val="nil"/>
              <w:bottom w:val="single" w:color="000000" w:sz="4" w:space="0"/>
              <w:right w:val="nil"/>
              <w:tl2br w:val="nil"/>
            </w:tcBorders>
            <w:shd w:val="clear" w:color="auto" w:fill="FFFFFF"/>
            <w:vAlign w:val="center"/>
          </w:tcPr>
          <w:p w14:paraId="63C7C00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Function Type</w:t>
            </w:r>
          </w:p>
        </w:tc>
        <w:tc>
          <w:tcPr>
            <w:tcW w:w="2841" w:type="dxa"/>
            <w:tcBorders>
              <w:top w:val="single" w:color="000000" w:sz="12" w:space="0"/>
              <w:left w:val="nil"/>
              <w:bottom w:val="single" w:color="000000" w:sz="4" w:space="0"/>
              <w:right w:val="nil"/>
            </w:tcBorders>
            <w:shd w:val="clear" w:color="auto" w:fill="FFFFFF"/>
            <w:vAlign w:val="center"/>
          </w:tcPr>
          <w:p w14:paraId="011FB5C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Formula</w:t>
            </w:r>
          </w:p>
        </w:tc>
        <w:tc>
          <w:tcPr>
            <w:tcW w:w="2841" w:type="dxa"/>
            <w:tcBorders>
              <w:top w:val="single" w:color="000000" w:sz="12" w:space="0"/>
              <w:left w:val="nil"/>
              <w:bottom w:val="single" w:color="000000" w:sz="4" w:space="0"/>
              <w:right w:val="nil"/>
            </w:tcBorders>
            <w:shd w:val="clear" w:color="auto" w:fill="FFFFFF"/>
            <w:vAlign w:val="center"/>
          </w:tcPr>
          <w:p w14:paraId="388D3AD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Observations</w:t>
            </w:r>
          </w:p>
        </w:tc>
      </w:tr>
      <w:tr w14:paraId="181D8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op w:val="single" w:color="000000" w:sz="4" w:space="0"/>
              <w:left w:val="nil"/>
              <w:bottom w:val="nil"/>
              <w:right w:val="nil"/>
            </w:tcBorders>
            <w:shd w:val="clear" w:color="auto" w:fill="FFFFFF"/>
            <w:vAlign w:val="center"/>
          </w:tcPr>
          <w:p w14:paraId="323FD56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Linear</w:t>
            </w:r>
          </w:p>
        </w:tc>
        <w:tc>
          <w:tcPr>
            <w:tcW w:w="2841" w:type="dxa"/>
            <w:tcBorders>
              <w:top w:val="single" w:color="000000" w:sz="4" w:space="0"/>
              <w:left w:val="nil"/>
              <w:bottom w:val="nil"/>
              <w:right w:val="nil"/>
            </w:tcBorders>
            <w:shd w:val="clear" w:color="auto" w:fill="FFFFFF"/>
            <w:vAlign w:val="center"/>
          </w:tcPr>
          <w:p w14:paraId="55EA816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object>
                <v:shape id="_x0000_i1032" o:spt="75" type="#_x0000_t75" style="height:15.5pt;width:44.5pt;" o:ole="t" filled="f" o:preferrelative="t" stroked="f" coordsize="21600,21600">
                  <v:path/>
                  <v:fill on="f" focussize="0,0"/>
                  <v:stroke on="f" joinstyle="miter"/>
                  <v:imagedata r:id="rId20" o:title=""/>
                  <o:lock v:ext="edit" aspectratio="t"/>
                  <w10:wrap type="none"/>
                  <w10:anchorlock/>
                </v:shape>
                <o:OLEObject Type="Embed" ProgID="Equation.AxMath" ShapeID="_x0000_i1032" DrawAspect="Content" ObjectID="_1468075732" r:id="rId19">
                  <o:LockedField>false</o:LockedField>
                </o:OLEObject>
              </w:object>
            </w:r>
          </w:p>
        </w:tc>
        <w:tc>
          <w:tcPr>
            <w:tcW w:w="2841" w:type="dxa"/>
            <w:tcBorders>
              <w:top w:val="single" w:color="000000" w:sz="4" w:space="0"/>
              <w:left w:val="nil"/>
              <w:bottom w:val="nil"/>
              <w:right w:val="nil"/>
            </w:tcBorders>
            <w:shd w:val="clear" w:color="auto" w:fill="FFFFFF"/>
            <w:vAlign w:val="center"/>
          </w:tcPr>
          <w:p w14:paraId="2073DE2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Tended to generate overly direct paths, neglecting resource gradients</w:t>
            </w:r>
          </w:p>
        </w:tc>
      </w:tr>
      <w:tr w14:paraId="3F30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op w:val="nil"/>
              <w:left w:val="nil"/>
              <w:bottom w:val="nil"/>
              <w:right w:val="nil"/>
            </w:tcBorders>
            <w:shd w:val="clear" w:color="auto" w:fill="FFFFFF"/>
            <w:vAlign w:val="center"/>
          </w:tcPr>
          <w:p w14:paraId="3FB5606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Exponential Decay</w:t>
            </w:r>
          </w:p>
        </w:tc>
        <w:tc>
          <w:tcPr>
            <w:tcW w:w="2841" w:type="dxa"/>
            <w:tcBorders>
              <w:top w:val="nil"/>
              <w:left w:val="nil"/>
              <w:bottom w:val="nil"/>
              <w:right w:val="nil"/>
            </w:tcBorders>
            <w:shd w:val="clear" w:color="auto" w:fill="FFFFFF"/>
            <w:vAlign w:val="center"/>
          </w:tcPr>
          <w:p w14:paraId="2C3F5C7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object>
                <v:shape id="_x0000_i1033" o:spt="75" type="#_x0000_t75" style="height:15.5pt;width:50pt;" o:ole="t" filled="f" o:preferrelative="t" stroked="f" coordsize="21600,21600">
                  <v:path/>
                  <v:fill on="f" focussize="0,0"/>
                  <v:stroke on="f" joinstyle="miter"/>
                  <v:imagedata r:id="rId22" o:title=""/>
                  <o:lock v:ext="edit" aspectratio="t"/>
                  <w10:wrap type="none"/>
                  <w10:anchorlock/>
                </v:shape>
                <o:OLEObject Type="Embed" ProgID="Equation.AxMath" ShapeID="_x0000_i1033" DrawAspect="Content" ObjectID="_1468075733" r:id="rId21">
                  <o:LockedField>false</o:LockedField>
                </o:OLEObject>
              </w:object>
            </w:r>
          </w:p>
        </w:tc>
        <w:tc>
          <w:tcPr>
            <w:tcW w:w="2841" w:type="dxa"/>
            <w:tcBorders>
              <w:top w:val="nil"/>
              <w:left w:val="nil"/>
              <w:bottom w:val="nil"/>
              <w:right w:val="nil"/>
            </w:tcBorders>
            <w:shd w:val="clear" w:color="auto" w:fill="FFFFFF"/>
            <w:vAlign w:val="center"/>
          </w:tcPr>
          <w:p w14:paraId="15CB9C1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Too sensitive to small distance changes; unstable in heterogeneous terrain</w:t>
            </w:r>
          </w:p>
        </w:tc>
      </w:tr>
      <w:tr w14:paraId="2A5F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Borders>
              <w:top w:val="nil"/>
              <w:left w:val="nil"/>
              <w:bottom w:val="single" w:color="000000" w:sz="12" w:space="0"/>
              <w:right w:val="nil"/>
            </w:tcBorders>
            <w:shd w:val="clear" w:color="auto" w:fill="FFFFFF"/>
            <w:vAlign w:val="center"/>
          </w:tcPr>
          <w:p w14:paraId="375B5FB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Generalized Power-Law</w:t>
            </w:r>
          </w:p>
        </w:tc>
        <w:tc>
          <w:tcPr>
            <w:tcW w:w="2841" w:type="dxa"/>
            <w:tcBorders>
              <w:top w:val="nil"/>
              <w:left w:val="nil"/>
              <w:bottom w:val="single" w:color="000000" w:sz="12" w:space="0"/>
              <w:right w:val="nil"/>
            </w:tcBorders>
            <w:shd w:val="clear" w:color="auto" w:fill="FFFFFF"/>
            <w:vAlign w:val="center"/>
          </w:tcPr>
          <w:p w14:paraId="4774501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position w:val="-24"/>
                <w:szCs w:val="21"/>
                <w:lang w:bidi="ar"/>
              </w:rPr>
              <w:object>
                <v:shape id="_x0000_i1034" o:spt="75" type="#_x0000_t75" style="height:30pt;width:128.5pt;" o:ole="t" filled="f" o:preferrelative="t" stroked="f" coordsize="21600,21600">
                  <v:path/>
                  <v:fill on="f" focussize="0,0"/>
                  <v:stroke on="f" joinstyle="miter"/>
                  <v:imagedata r:id="rId24" o:title=""/>
                  <o:lock v:ext="edit" aspectratio="t"/>
                  <w10:wrap type="none"/>
                  <w10:anchorlock/>
                </v:shape>
                <o:OLEObject Type="Embed" ProgID="Equation.AxMath" ShapeID="_x0000_i1034" DrawAspect="Content" ObjectID="_1468075734" r:id="rId23">
                  <o:LockedField>false</o:LockedField>
                </o:OLEObject>
              </w:object>
            </w:r>
          </w:p>
        </w:tc>
        <w:tc>
          <w:tcPr>
            <w:tcW w:w="2841" w:type="dxa"/>
            <w:tcBorders>
              <w:top w:val="nil"/>
              <w:left w:val="nil"/>
              <w:bottom w:val="single" w:color="000000" w:sz="12" w:space="0"/>
              <w:right w:val="nil"/>
            </w:tcBorders>
            <w:shd w:val="clear" w:color="auto" w:fill="FFFFFF"/>
            <w:vAlign w:val="center"/>
          </w:tcPr>
          <w:p w14:paraId="543257C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Provided the best balance between endpoint attraction and resource-driven detours</w:t>
            </w:r>
          </w:p>
        </w:tc>
      </w:tr>
    </w:tbl>
    <w:p w14:paraId="2495D6FB">
      <w:pPr>
        <w:spacing w:line="360" w:lineRule="auto"/>
        <w:ind w:firstLine="480" w:firstLineChars="200"/>
        <w:rPr>
          <w:rFonts w:ascii="Times New Roman" w:hAnsi="Times New Roman" w:cs="Times New Roman"/>
          <w:sz w:val="24"/>
        </w:rPr>
      </w:pPr>
      <w:r>
        <w:rPr>
          <w:rFonts w:ascii="Times New Roman" w:hAnsi="Times New Roman" w:cs="Times New Roman"/>
          <w:sz w:val="24"/>
        </w:rPr>
        <w:t>These functions were implemented within the path scoring formula:</w:t>
      </w:r>
    </w:p>
    <w:p w14:paraId="23652178">
      <w:pPr>
        <w:spacing w:line="360" w:lineRule="auto"/>
        <w:jc w:val="center"/>
        <w:rPr>
          <w:rFonts w:ascii="Times New Roman" w:hAnsi="Times New Roman" w:cs="Times New Roman"/>
          <w:sz w:val="24"/>
        </w:rPr>
      </w:pPr>
      <w:r>
        <w:rPr>
          <w:rFonts w:ascii="Times New Roman" w:hAnsi="Times New Roman" w:cs="Times New Roman"/>
          <w:position w:val="-10"/>
          <w:sz w:val="24"/>
        </w:rPr>
        <w:object>
          <v:shape id="_x0000_i1035" o:spt="75" type="#_x0000_t75" style="height:18pt;width:136pt;" o:ole="t" filled="f" o:preferrelative="t" stroked="f" coordsize="21600,21600">
            <v:path/>
            <v:fill on="f" focussize="0,0"/>
            <v:stroke on="f" joinstyle="miter"/>
            <v:imagedata r:id="rId26" o:title=""/>
            <o:lock v:ext="edit" aspectratio="t"/>
            <w10:wrap type="none"/>
            <w10:anchorlock/>
          </v:shape>
          <o:OLEObject Type="Embed" ProgID="Equation.AxMath" ShapeID="_x0000_i1035" DrawAspect="Content" ObjectID="_1468075735" r:id="rId25">
            <o:LockedField>false</o:LockedField>
          </o:OLEObject>
        </w:object>
      </w:r>
    </w:p>
    <w:p w14:paraId="79C1BA9A">
      <w:pPr>
        <w:spacing w:line="360" w:lineRule="auto"/>
        <w:ind w:firstLine="480" w:firstLineChars="200"/>
        <w:rPr>
          <w:rFonts w:ascii="Times New Roman" w:hAnsi="Times New Roman" w:cs="Times New Roman"/>
          <w:sz w:val="24"/>
        </w:rPr>
      </w:pPr>
      <w:r>
        <w:rPr>
          <w:rFonts w:ascii="Times New Roman" w:hAnsi="Times New Roman" w:cs="Times New Roman"/>
          <w:sz w:val="24"/>
        </w:rPr>
        <w:t>To quantitatively assess model performance, we calculated Hausdorff distances between simulated and empirical elephant movement paths. This analysis verified the realism of each functional form under actual movement constraints.</w:t>
      </w:r>
    </w:p>
    <w:p w14:paraId="1820A720">
      <w:pPr>
        <w:widowControl/>
        <w:numPr>
          <w:ilvl w:val="255"/>
          <w:numId w:val="0"/>
        </w:numPr>
        <w:autoSpaceDE w:val="0"/>
        <w:autoSpaceDN w:val="0"/>
        <w:spacing w:before="90" w:line="360" w:lineRule="auto"/>
        <w:ind w:left="221" w:right="351"/>
        <w:jc w:val="center"/>
        <w:rPr>
          <w:rFonts w:ascii="Times New Roman" w:hAnsi="Times New Roman" w:eastAsia="Times New Roman" w:cs="Times New Roman"/>
          <w:b/>
          <w:kern w:val="0"/>
          <w:szCs w:val="21"/>
        </w:rPr>
      </w:pPr>
      <w:r>
        <w:rPr>
          <w:rFonts w:ascii="Times New Roman" w:hAnsi="Times New Roman" w:eastAsia="Times New Roman" w:cs="Times New Roman"/>
          <w:b/>
          <w:kern w:val="0"/>
          <w:szCs w:val="21"/>
        </w:rPr>
        <w:t xml:space="preserve">Table </w:t>
      </w:r>
      <w:r>
        <w:rPr>
          <w:rFonts w:hint="eastAsia" w:ascii="Times New Roman" w:hAnsi="Times New Roman" w:eastAsia="Times New Roman" w:cs="Times New Roman"/>
          <w:b/>
          <w:kern w:val="0"/>
          <w:szCs w:val="21"/>
        </w:rPr>
        <w:t>6</w:t>
      </w:r>
      <w:r>
        <w:rPr>
          <w:rFonts w:ascii="Times New Roman" w:hAnsi="Times New Roman" w:eastAsia="Times New Roman" w:cs="Times New Roman"/>
          <w:b/>
          <w:kern w:val="0"/>
          <w:szCs w:val="21"/>
        </w:rPr>
        <w:t>-</w:t>
      </w:r>
      <w:r>
        <w:rPr>
          <w:rFonts w:hint="eastAsia" w:ascii="Times New Roman" w:hAnsi="Times New Roman" w:eastAsia="Times New Roman" w:cs="Times New Roman"/>
          <w:b/>
          <w:kern w:val="0"/>
          <w:szCs w:val="21"/>
        </w:rPr>
        <w:t>2</w:t>
      </w:r>
      <w:r>
        <w:rPr>
          <w:rFonts w:ascii="Times New Roman" w:hAnsi="Times New Roman" w:eastAsia="Times New Roman" w:cs="Times New Roman"/>
          <w:b/>
          <w:kern w:val="0"/>
          <w:szCs w:val="21"/>
        </w:rPr>
        <w:t xml:space="preserve"> Hausdorff Distance Comparison Across Scoring Functions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33C0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000000" w:sz="12" w:space="0"/>
              <w:left w:val="nil"/>
              <w:bottom w:val="single" w:color="000000" w:sz="4" w:space="0"/>
              <w:right w:val="nil"/>
              <w:tl2br w:val="nil"/>
            </w:tcBorders>
            <w:shd w:val="clear" w:color="auto" w:fill="FFFFFF"/>
            <w:vAlign w:val="center"/>
          </w:tcPr>
          <w:p w14:paraId="37B82FC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Function Type</w:t>
            </w:r>
          </w:p>
        </w:tc>
        <w:tc>
          <w:tcPr>
            <w:tcW w:w="2841" w:type="dxa"/>
            <w:tcBorders>
              <w:top w:val="single" w:color="000000" w:sz="12" w:space="0"/>
              <w:left w:val="nil"/>
              <w:bottom w:val="single" w:color="000000" w:sz="4" w:space="0"/>
              <w:right w:val="nil"/>
            </w:tcBorders>
            <w:shd w:val="clear" w:color="auto" w:fill="FFFFFF"/>
            <w:vAlign w:val="center"/>
          </w:tcPr>
          <w:p w14:paraId="300E6F4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Mean Hausdorff Distance (m)</w:t>
            </w:r>
          </w:p>
        </w:tc>
        <w:tc>
          <w:tcPr>
            <w:tcW w:w="2841" w:type="dxa"/>
            <w:tcBorders>
              <w:top w:val="single" w:color="000000" w:sz="12" w:space="0"/>
              <w:left w:val="nil"/>
              <w:bottom w:val="single" w:color="000000" w:sz="4" w:space="0"/>
              <w:right w:val="nil"/>
            </w:tcBorders>
            <w:shd w:val="clear" w:color="auto" w:fill="FFFFFF"/>
            <w:vAlign w:val="center"/>
          </w:tcPr>
          <w:p w14:paraId="34D03CF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Notes</w:t>
            </w:r>
          </w:p>
        </w:tc>
      </w:tr>
      <w:tr w14:paraId="40B6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000000" w:sz="4" w:space="0"/>
              <w:left w:val="nil"/>
              <w:bottom w:val="nil"/>
              <w:right w:val="nil"/>
            </w:tcBorders>
            <w:shd w:val="clear" w:color="auto" w:fill="FFFFFF"/>
            <w:vAlign w:val="center"/>
          </w:tcPr>
          <w:p w14:paraId="6E9F13F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Linear</w:t>
            </w:r>
          </w:p>
        </w:tc>
        <w:tc>
          <w:tcPr>
            <w:tcW w:w="2841" w:type="dxa"/>
            <w:tcBorders>
              <w:top w:val="single" w:color="000000" w:sz="4" w:space="0"/>
              <w:left w:val="nil"/>
              <w:bottom w:val="nil"/>
              <w:right w:val="nil"/>
            </w:tcBorders>
            <w:shd w:val="clear" w:color="auto" w:fill="FFFFFF"/>
            <w:vAlign w:val="center"/>
          </w:tcPr>
          <w:p w14:paraId="67CDE3F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507</w:t>
            </w:r>
          </w:p>
        </w:tc>
        <w:tc>
          <w:tcPr>
            <w:tcW w:w="2841" w:type="dxa"/>
            <w:tcBorders>
              <w:top w:val="single" w:color="000000" w:sz="4" w:space="0"/>
              <w:left w:val="nil"/>
              <w:bottom w:val="nil"/>
              <w:right w:val="nil"/>
            </w:tcBorders>
            <w:shd w:val="clear" w:color="auto" w:fill="FFFFFF"/>
            <w:vAlign w:val="center"/>
          </w:tcPr>
          <w:p w14:paraId="60AF50A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Deviated significantly at decision points</w:t>
            </w:r>
          </w:p>
        </w:tc>
      </w:tr>
      <w:tr w14:paraId="7A3E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3D8E3B3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Exponential Decay</w:t>
            </w:r>
          </w:p>
        </w:tc>
        <w:tc>
          <w:tcPr>
            <w:tcW w:w="2841" w:type="dxa"/>
            <w:tcBorders>
              <w:top w:val="nil"/>
              <w:left w:val="nil"/>
              <w:bottom w:val="nil"/>
              <w:right w:val="nil"/>
            </w:tcBorders>
            <w:shd w:val="clear" w:color="auto" w:fill="FFFFFF"/>
            <w:vAlign w:val="center"/>
          </w:tcPr>
          <w:p w14:paraId="1481A7E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499</w:t>
            </w:r>
          </w:p>
        </w:tc>
        <w:tc>
          <w:tcPr>
            <w:tcW w:w="2841" w:type="dxa"/>
            <w:tcBorders>
              <w:top w:val="nil"/>
              <w:left w:val="nil"/>
              <w:bottom w:val="nil"/>
              <w:right w:val="nil"/>
            </w:tcBorders>
            <w:shd w:val="clear" w:color="auto" w:fill="FFFFFF"/>
            <w:vAlign w:val="center"/>
          </w:tcPr>
          <w:p w14:paraId="4D1358B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Erratic behavior in heterogeneous terrain</w:t>
            </w:r>
          </w:p>
        </w:tc>
      </w:tr>
      <w:tr w14:paraId="3558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594BE27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Inverse Distance</w:t>
            </w:r>
          </w:p>
        </w:tc>
        <w:tc>
          <w:tcPr>
            <w:tcW w:w="2841" w:type="dxa"/>
            <w:tcBorders>
              <w:top w:val="nil"/>
              <w:left w:val="nil"/>
              <w:bottom w:val="nil"/>
              <w:right w:val="nil"/>
            </w:tcBorders>
            <w:shd w:val="clear" w:color="auto" w:fill="FFFFFF"/>
            <w:vAlign w:val="center"/>
          </w:tcPr>
          <w:p w14:paraId="4F3C0B7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465</w:t>
            </w:r>
          </w:p>
        </w:tc>
        <w:tc>
          <w:tcPr>
            <w:tcW w:w="2841" w:type="dxa"/>
            <w:tcBorders>
              <w:top w:val="nil"/>
              <w:left w:val="nil"/>
              <w:bottom w:val="nil"/>
              <w:right w:val="nil"/>
            </w:tcBorders>
            <w:shd w:val="clear" w:color="auto" w:fill="FFFFFF"/>
            <w:vAlign w:val="center"/>
          </w:tcPr>
          <w:p w14:paraId="4D9056A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Better performance, but unstable over long-range paths</w:t>
            </w:r>
          </w:p>
        </w:tc>
      </w:tr>
      <w:tr w14:paraId="4433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single" w:color="000000" w:sz="12" w:space="0"/>
              <w:right w:val="nil"/>
            </w:tcBorders>
            <w:shd w:val="clear" w:color="auto" w:fill="FFFFFF"/>
            <w:vAlign w:val="center"/>
          </w:tcPr>
          <w:p w14:paraId="1361CC9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Generalized Power-Law</w:t>
            </w:r>
          </w:p>
        </w:tc>
        <w:tc>
          <w:tcPr>
            <w:tcW w:w="2841" w:type="dxa"/>
            <w:tcBorders>
              <w:top w:val="nil"/>
              <w:left w:val="nil"/>
              <w:bottom w:val="single" w:color="000000" w:sz="12" w:space="0"/>
              <w:right w:val="nil"/>
            </w:tcBorders>
            <w:shd w:val="clear" w:color="auto" w:fill="FFFFFF"/>
            <w:vAlign w:val="center"/>
          </w:tcPr>
          <w:p w14:paraId="29F3155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418</w:t>
            </w:r>
          </w:p>
        </w:tc>
        <w:tc>
          <w:tcPr>
            <w:tcW w:w="2841" w:type="dxa"/>
            <w:tcBorders>
              <w:top w:val="nil"/>
              <w:left w:val="nil"/>
              <w:bottom w:val="single" w:color="000000" w:sz="12" w:space="0"/>
              <w:right w:val="nil"/>
            </w:tcBorders>
            <w:shd w:val="clear" w:color="auto" w:fill="FFFFFF"/>
            <w:vAlign w:val="center"/>
          </w:tcPr>
          <w:p w14:paraId="6D85E1C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performance optimal when α=1 and β=3</w:t>
            </w:r>
          </w:p>
        </w:tc>
      </w:tr>
    </w:tbl>
    <w:p w14:paraId="0024B3D5">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Based on both visual inspection and quantitative evaluation, the Generalized Power-Law with </w:t>
      </w:r>
      <w:r>
        <w:rPr>
          <w:rFonts w:ascii="Times New Roman" w:hAnsi="Times New Roman" w:cs="Times New Roman"/>
          <w:position w:val="-10"/>
          <w:sz w:val="24"/>
        </w:rPr>
        <w:object>
          <v:shape id="_x0000_i1036" o:spt="75" type="#_x0000_t75" style="height:18pt;width:30.5pt;" o:ole="t" filled="f" o:preferrelative="t" stroked="f" coordsize="21600,21600">
            <v:path/>
            <v:fill on="f" focussize="0,0"/>
            <v:stroke on="f" joinstyle="miter"/>
            <v:imagedata r:id="rId28" o:title=""/>
            <o:lock v:ext="edit" aspectratio="t"/>
            <w10:wrap type="none"/>
            <w10:anchorlock/>
          </v:shape>
          <o:OLEObject Type="Embed" ProgID="Equation.AxMath" ShapeID="_x0000_i1036" DrawAspect="Content" ObjectID="_1468075736" r:id="rId27">
            <o:LockedField>false</o:LockedField>
          </o:OLEObject>
        </w:object>
      </w:r>
      <w:r>
        <w:rPr>
          <w:rFonts w:ascii="Times New Roman" w:hAnsi="Times New Roman" w:cs="Times New Roman"/>
          <w:sz w:val="24"/>
        </w:rPr>
        <w:t xml:space="preserve"> and </w:t>
      </w:r>
      <w:r>
        <w:rPr>
          <w:rFonts w:ascii="Times New Roman" w:hAnsi="Times New Roman" w:cs="Times New Roman"/>
          <w:position w:val="-10"/>
          <w:sz w:val="24"/>
        </w:rPr>
        <w:object>
          <v:shape id="_x0000_i1037" o:spt="75" type="#_x0000_t75" style="height:18pt;width:31.5pt;" o:ole="t" filled="f" o:preferrelative="t" stroked="f" coordsize="21600,21600">
            <v:path/>
            <v:fill on="f" focussize="0,0"/>
            <v:stroke on="f" joinstyle="miter"/>
            <v:imagedata r:id="rId30" o:title=""/>
            <o:lock v:ext="edit" aspectratio="t"/>
            <w10:wrap type="none"/>
            <w10:anchorlock/>
          </v:shape>
          <o:OLEObject Type="Embed" ProgID="Equation.AxMath" ShapeID="_x0000_i1037" DrawAspect="Content" ObjectID="_1468075737" r:id="rId29">
            <o:LockedField>false</o:LockedField>
          </o:OLEObject>
        </w:object>
      </w:r>
      <w:r>
        <w:rPr>
          <w:rFonts w:ascii="Times New Roman" w:hAnsi="Times New Roman" w:cs="Times New Roman"/>
          <w:sz w:val="24"/>
        </w:rPr>
        <w:t xml:space="preserve"> was selected as the final scoring function, as it consistently generated realistic and smooth </w:t>
      </w:r>
      <w:r>
        <w:rPr>
          <w:rFonts w:hint="eastAsia" w:ascii="Times New Roman" w:hAnsi="Times New Roman" w:cs="Times New Roman"/>
          <w:sz w:val="24"/>
        </w:rPr>
        <w:t>path</w:t>
      </w:r>
      <w:r>
        <w:rPr>
          <w:rFonts w:ascii="Times New Roman" w:hAnsi="Times New Roman" w:cs="Times New Roman"/>
          <w:sz w:val="24"/>
        </w:rPr>
        <w:t>s closely matching observed elephant movements.</w:t>
      </w:r>
    </w:p>
    <w:p w14:paraId="1B13997E">
      <w:pPr>
        <w:spacing w:line="360" w:lineRule="auto"/>
        <w:ind w:firstLine="480" w:firstLineChars="200"/>
        <w:rPr>
          <w:rFonts w:ascii="Times New Roman" w:hAnsi="Times New Roman" w:cs="Times New Roman"/>
          <w:i/>
          <w:iCs/>
          <w:sz w:val="24"/>
        </w:rPr>
      </w:pPr>
      <w:r>
        <w:rPr>
          <w:rFonts w:ascii="Times New Roman" w:hAnsi="Times New Roman" w:cs="Times New Roman"/>
          <w:i/>
          <w:iCs/>
          <w:sz w:val="24"/>
        </w:rPr>
        <w:t xml:space="preserve">for neighbor, dist_to_end, distance in closer_neighbors:  </w:t>
      </w:r>
    </w:p>
    <w:p w14:paraId="59F44992">
      <w:pPr>
        <w:spacing w:line="360" w:lineRule="auto"/>
        <w:ind w:firstLine="480" w:firstLineChars="200"/>
        <w:rPr>
          <w:rFonts w:ascii="Times New Roman" w:hAnsi="Times New Roman" w:cs="Times New Roman"/>
          <w:i/>
          <w:iCs/>
          <w:sz w:val="24"/>
        </w:rPr>
      </w:pPr>
      <w:r>
        <w:rPr>
          <w:rFonts w:ascii="Times New Roman" w:hAnsi="Times New Roman" w:cs="Times New Roman"/>
          <w:i/>
          <w:iCs/>
          <w:sz w:val="24"/>
        </w:rPr>
        <w:t xml:space="preserve">    distance_ratio = dist_to_end / current_dist_to_end  </w:t>
      </w:r>
    </w:p>
    <w:p w14:paraId="0BB74341">
      <w:pPr>
        <w:spacing w:line="360" w:lineRule="auto"/>
        <w:ind w:firstLine="480" w:firstLineChars="200"/>
        <w:rPr>
          <w:rFonts w:ascii="Times New Roman" w:hAnsi="Times New Roman" w:cs="Times New Roman"/>
          <w:sz w:val="24"/>
        </w:rPr>
      </w:pPr>
      <w:r>
        <w:rPr>
          <w:rFonts w:ascii="Times New Roman" w:hAnsi="Times New Roman" w:cs="Times New Roman"/>
          <w:i/>
          <w:iCs/>
          <w:sz w:val="24"/>
        </w:rPr>
        <w:t xml:space="preserve">    score = neighbor['pred_prob'] * (1 / ((distance_ratio ** 3) + 1e-6))  </w:t>
      </w:r>
    </w:p>
    <w:p w14:paraId="109BC698">
      <w:pPr>
        <w:widowControl/>
        <w:rPr>
          <w:rFonts w:ascii="Times New Roman" w:hAnsi="Times New Roman" w:cs="Times New Roman"/>
          <w:sz w:val="24"/>
        </w:rPr>
      </w:pPr>
      <w:r>
        <w:rPr>
          <w:rFonts w:ascii="Times New Roman" w:hAnsi="Times New Roman" w:cs="Times New Roman"/>
          <w:sz w:val="24"/>
        </w:rPr>
        <w:br w:type="page"/>
      </w:r>
    </w:p>
    <w:p w14:paraId="431E6E9D">
      <w:pPr>
        <w:pStyle w:val="3"/>
        <w:rPr>
          <w:rFonts w:cs="Times New Roman"/>
        </w:rPr>
      </w:pPr>
      <w:r>
        <w:rPr>
          <w:rFonts w:cs="Times New Roman"/>
        </w:rPr>
        <w:t xml:space="preserve">Appendix </w:t>
      </w:r>
      <w:r>
        <w:rPr>
          <w:rFonts w:hint="eastAsia" w:cs="Times New Roman"/>
        </w:rPr>
        <w:t>7</w:t>
      </w:r>
      <w:r>
        <w:rPr>
          <w:rFonts w:cs="Times New Roman"/>
        </w:rPr>
        <w:t>: Comparative Analyses of Movement Path Modeling Approaches</w:t>
      </w:r>
    </w:p>
    <w:p w14:paraId="01865C20">
      <w:pPr>
        <w:autoSpaceDE w:val="0"/>
        <w:autoSpaceDN w:val="0"/>
        <w:spacing w:before="90" w:line="360" w:lineRule="auto"/>
        <w:ind w:left="221" w:right="351"/>
        <w:jc w:val="center"/>
        <w:rPr>
          <w:rFonts w:ascii="Times New Roman" w:hAnsi="Times New Roman" w:eastAsia="Times New Roman" w:cs="Times New Roman"/>
          <w:b/>
          <w:kern w:val="0"/>
          <w:szCs w:val="21"/>
        </w:rPr>
      </w:pPr>
      <w:r>
        <w:rPr>
          <w:rFonts w:ascii="Times New Roman" w:hAnsi="Times New Roman" w:eastAsia="Times New Roman" w:cs="Times New Roman"/>
          <w:b/>
          <w:kern w:val="0"/>
          <w:szCs w:val="21"/>
        </w:rPr>
        <w:t xml:space="preserve">Table </w:t>
      </w:r>
      <w:r>
        <w:rPr>
          <w:rFonts w:hint="eastAsia" w:ascii="Times New Roman" w:hAnsi="Times New Roman" w:eastAsia="Times New Roman" w:cs="Times New Roman"/>
          <w:b/>
          <w:kern w:val="0"/>
          <w:szCs w:val="21"/>
        </w:rPr>
        <w:t>7-1</w:t>
      </w:r>
      <w:r>
        <w:rPr>
          <w:rFonts w:ascii="Times New Roman" w:hAnsi="Times New Roman" w:eastAsia="Times New Roman" w:cs="Times New Roman"/>
          <w:b/>
          <w:kern w:val="0"/>
          <w:szCs w:val="21"/>
        </w:rPr>
        <w:t xml:space="preserve"> Comparison of ERSF-VIPA and LCP Models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09A9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000000" w:sz="12" w:space="0"/>
              <w:left w:val="nil"/>
              <w:bottom w:val="single" w:color="000000" w:sz="4" w:space="0"/>
              <w:right w:val="nil"/>
              <w:tl2br w:val="nil"/>
            </w:tcBorders>
            <w:shd w:val="clear" w:color="auto" w:fill="FFFFFF"/>
            <w:vAlign w:val="center"/>
          </w:tcPr>
          <w:p w14:paraId="1A88D7FF">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Comparison Dimensions</w:t>
            </w:r>
          </w:p>
        </w:tc>
        <w:tc>
          <w:tcPr>
            <w:tcW w:w="2841" w:type="dxa"/>
            <w:tcBorders>
              <w:top w:val="single" w:color="000000" w:sz="12" w:space="0"/>
              <w:left w:val="nil"/>
              <w:bottom w:val="single" w:color="000000" w:sz="4" w:space="0"/>
              <w:right w:val="nil"/>
            </w:tcBorders>
            <w:shd w:val="clear" w:color="auto" w:fill="FFFFFF"/>
            <w:vAlign w:val="center"/>
          </w:tcPr>
          <w:p w14:paraId="0ED3171A">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ERSF-VIPA</w:t>
            </w:r>
          </w:p>
        </w:tc>
        <w:tc>
          <w:tcPr>
            <w:tcW w:w="2841" w:type="dxa"/>
            <w:tcBorders>
              <w:top w:val="single" w:color="000000" w:sz="12" w:space="0"/>
              <w:left w:val="nil"/>
              <w:bottom w:val="single" w:color="000000" w:sz="4" w:space="0"/>
              <w:right w:val="nil"/>
            </w:tcBorders>
            <w:shd w:val="clear" w:color="auto" w:fill="FFFFFF"/>
            <w:vAlign w:val="center"/>
          </w:tcPr>
          <w:p w14:paraId="5329E7AB">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LCP</w:t>
            </w:r>
          </w:p>
        </w:tc>
      </w:tr>
      <w:tr w14:paraId="6512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000000" w:sz="4" w:space="0"/>
              <w:left w:val="nil"/>
              <w:bottom w:val="nil"/>
              <w:right w:val="nil"/>
            </w:tcBorders>
            <w:shd w:val="clear" w:color="auto" w:fill="FFFFFF"/>
            <w:vAlign w:val="center"/>
          </w:tcPr>
          <w:p w14:paraId="45F5AC16">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Core Goals</w:t>
            </w:r>
          </w:p>
        </w:tc>
        <w:tc>
          <w:tcPr>
            <w:tcW w:w="2841" w:type="dxa"/>
            <w:tcBorders>
              <w:top w:val="single" w:color="000000" w:sz="4" w:space="0"/>
              <w:left w:val="nil"/>
              <w:bottom w:val="nil"/>
              <w:right w:val="nil"/>
            </w:tcBorders>
            <w:shd w:val="clear" w:color="auto" w:fill="FFFFFF"/>
            <w:vAlign w:val="center"/>
          </w:tcPr>
          <w:p w14:paraId="7CD795FD">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Reconstruct the movement paths of large, cryptic, or potentially dangerous wildlife based on limited data (occurrence points), supporting path prediction and human-wildlife conflict mitigation.</w:t>
            </w:r>
          </w:p>
        </w:tc>
        <w:tc>
          <w:tcPr>
            <w:tcW w:w="2841" w:type="dxa"/>
            <w:tcBorders>
              <w:top w:val="single" w:color="000000" w:sz="4" w:space="0"/>
              <w:left w:val="nil"/>
              <w:bottom w:val="nil"/>
              <w:right w:val="nil"/>
            </w:tcBorders>
            <w:shd w:val="clear" w:color="auto" w:fill="FFFFFF"/>
            <w:vAlign w:val="center"/>
          </w:tcPr>
          <w:p w14:paraId="75A20E7B">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Calculates the "least cost" path from a starting point to an end point based on a landscape resistance surface. This is often used in corridor design and connectivity analysis.</w:t>
            </w:r>
          </w:p>
        </w:tc>
      </w:tr>
      <w:tr w14:paraId="6C85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12474CCD">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Spatial Cognition Hypothesis</w:t>
            </w:r>
          </w:p>
        </w:tc>
        <w:tc>
          <w:tcPr>
            <w:tcW w:w="2841" w:type="dxa"/>
            <w:tcBorders>
              <w:top w:val="nil"/>
              <w:left w:val="nil"/>
              <w:bottom w:val="nil"/>
              <w:right w:val="nil"/>
            </w:tcBorders>
            <w:shd w:val="clear" w:color="auto" w:fill="FFFFFF"/>
            <w:vAlign w:val="center"/>
          </w:tcPr>
          <w:p w14:paraId="545A1429">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The initial resource selection probability calculation relies on global environmental data (just to reflect the species' own resource preferences), but the path search stage relies only on local information (neighborhood evaluation of the current node) without the assumption of global landscape cognition.</w:t>
            </w:r>
          </w:p>
        </w:tc>
        <w:tc>
          <w:tcPr>
            <w:tcW w:w="2841" w:type="dxa"/>
            <w:tcBorders>
              <w:top w:val="nil"/>
              <w:left w:val="nil"/>
              <w:bottom w:val="nil"/>
              <w:right w:val="nil"/>
            </w:tcBorders>
            <w:shd w:val="clear" w:color="auto" w:fill="FFFFFF"/>
            <w:vAlign w:val="center"/>
          </w:tcPr>
          <w:p w14:paraId="1EC451DF">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It is assumed that species have complete spatial cognition, are able to know the global landscape resistance distribution, and directly plan the optimal path from the starting point to the end point.</w:t>
            </w:r>
          </w:p>
        </w:tc>
      </w:tr>
      <w:tr w14:paraId="408E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5D054C65">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Path generation principle</w:t>
            </w:r>
          </w:p>
        </w:tc>
        <w:tc>
          <w:tcPr>
            <w:tcW w:w="2841" w:type="dxa"/>
            <w:tcBorders>
              <w:top w:val="nil"/>
              <w:left w:val="nil"/>
              <w:bottom w:val="nil"/>
              <w:right w:val="nil"/>
            </w:tcBorders>
            <w:shd w:val="clear" w:color="auto" w:fill="FFFFFF"/>
            <w:vAlign w:val="center"/>
          </w:tcPr>
          <w:p w14:paraId="2F50B24F">
            <w:pPr>
              <w:widowControl/>
              <w:jc w:val="center"/>
              <w:rPr>
                <w:rFonts w:ascii="Times New Roman" w:hAnsi="Times New Roman" w:eastAsia="Segoe UI" w:cs="Times New Roman"/>
                <w:color w:val="000000"/>
                <w:kern w:val="0"/>
                <w:sz w:val="18"/>
                <w:szCs w:val="18"/>
                <w:lang w:bidi="ar"/>
              </w:rPr>
            </w:pPr>
            <w:r>
              <w:rPr>
                <w:rFonts w:ascii="Times New Roman" w:hAnsi="Times New Roman" w:eastAsia="Segoe UI" w:cs="Times New Roman"/>
                <w:color w:val="000000"/>
                <w:kern w:val="0"/>
                <w:sz w:val="18"/>
                <w:szCs w:val="18"/>
                <w:lang w:bidi="ar"/>
              </w:rPr>
              <w:t>1. ERSF module: Estimates resource selection probabilities (non-linear relationships) on a hexagonal grid using a random forest algorithm.</w:t>
            </w:r>
          </w:p>
          <w:p w14:paraId="45D53E97">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2. VIPA module: Iterates the search within the hexagonal vector network, prioritizing neighbors with high suitability and short distances based on a combination of resource selection probabilities and a cubic distance coefficient score.</w:t>
            </w:r>
          </w:p>
        </w:tc>
        <w:tc>
          <w:tcPr>
            <w:tcW w:w="2841" w:type="dxa"/>
            <w:tcBorders>
              <w:top w:val="nil"/>
              <w:left w:val="nil"/>
              <w:bottom w:val="nil"/>
              <w:right w:val="nil"/>
            </w:tcBorders>
            <w:shd w:val="clear" w:color="auto" w:fill="FFFFFF"/>
            <w:vAlign w:val="center"/>
          </w:tcPr>
          <w:p w14:paraId="20CF020C">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Based on a preset resistance surface (such as resistance values of land use, terrain, etc.), calculating the path with the least cumulative resistance is essentially a global optimization problem.</w:t>
            </w:r>
          </w:p>
        </w:tc>
      </w:tr>
      <w:tr w14:paraId="03AF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2BA0F4AA">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Data requirements</w:t>
            </w:r>
          </w:p>
        </w:tc>
        <w:tc>
          <w:tcPr>
            <w:tcW w:w="2841" w:type="dxa"/>
            <w:tcBorders>
              <w:top w:val="nil"/>
              <w:left w:val="nil"/>
              <w:bottom w:val="nil"/>
              <w:right w:val="nil"/>
            </w:tcBorders>
            <w:shd w:val="clear" w:color="auto" w:fill="FFFFFF"/>
            <w:vAlign w:val="center"/>
          </w:tcPr>
          <w:p w14:paraId="58D6F2BA">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Basic occurrence records (without precise timestamps or location information), which can be expanded according to 4.3 to simulate multiple paths in unknown destination scenarios</w:t>
            </w:r>
          </w:p>
        </w:tc>
        <w:tc>
          <w:tcPr>
            <w:tcW w:w="2841" w:type="dxa"/>
            <w:tcBorders>
              <w:top w:val="nil"/>
              <w:left w:val="nil"/>
              <w:bottom w:val="nil"/>
              <w:right w:val="nil"/>
            </w:tcBorders>
            <w:shd w:val="clear" w:color="auto" w:fill="FFFFFF"/>
            <w:vAlign w:val="center"/>
          </w:tcPr>
          <w:p w14:paraId="492AA2A9">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High-resolution landscape resistance data (resistance values for each landscape type must be clearly defined); precise start and end point coordinates.</w:t>
            </w:r>
          </w:p>
        </w:tc>
      </w:tr>
      <w:tr w14:paraId="503B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6C8A3C68">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Spatial model structure</w:t>
            </w:r>
          </w:p>
        </w:tc>
        <w:tc>
          <w:tcPr>
            <w:tcW w:w="2841" w:type="dxa"/>
            <w:tcBorders>
              <w:top w:val="nil"/>
              <w:left w:val="nil"/>
              <w:bottom w:val="nil"/>
              <w:right w:val="nil"/>
            </w:tcBorders>
            <w:shd w:val="clear" w:color="auto" w:fill="FFFFFF"/>
            <w:vAlign w:val="center"/>
          </w:tcPr>
          <w:p w14:paraId="0E3C52A0">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Adopting hexagonal vector grid</w:t>
            </w:r>
          </w:p>
        </w:tc>
        <w:tc>
          <w:tcPr>
            <w:tcW w:w="2841" w:type="dxa"/>
            <w:tcBorders>
              <w:top w:val="nil"/>
              <w:left w:val="nil"/>
              <w:bottom w:val="nil"/>
              <w:right w:val="nil"/>
            </w:tcBorders>
            <w:shd w:val="clear" w:color="auto" w:fill="FFFFFF"/>
            <w:vAlign w:val="center"/>
          </w:tcPr>
          <w:p w14:paraId="3B3A8CE2">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A grid structure is often used</w:t>
            </w:r>
          </w:p>
        </w:tc>
      </w:tr>
      <w:tr w14:paraId="5870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150C9FBD">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Path optimization method</w:t>
            </w:r>
          </w:p>
        </w:tc>
        <w:tc>
          <w:tcPr>
            <w:tcW w:w="2841" w:type="dxa"/>
            <w:tcBorders>
              <w:top w:val="nil"/>
              <w:left w:val="nil"/>
              <w:bottom w:val="nil"/>
              <w:right w:val="nil"/>
            </w:tcBorders>
            <w:shd w:val="clear" w:color="auto" w:fill="FFFFFF"/>
            <w:vAlign w:val="center"/>
          </w:tcPr>
          <w:p w14:paraId="2058DB32">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Local iterative optimization: Starting from the starting point, only the 6 neighboring nodes of the current node are evaluated each time, the optimal neighboring node is selected as the next stop, and the optimization gradually approached the end point without relying on global information.</w:t>
            </w:r>
            <w:r>
              <w:rPr>
                <w:rFonts w:ascii="Times New Roman" w:hAnsi="Times New Roman" w:eastAsia="Segoe UI" w:cs="Times New Roman"/>
                <w:color w:val="000000"/>
                <w:kern w:val="0"/>
                <w:sz w:val="18"/>
                <w:szCs w:val="18"/>
                <w:lang w:bidi="ar"/>
              </w:rPr>
              <w:t>。</w:t>
            </w:r>
          </w:p>
        </w:tc>
        <w:tc>
          <w:tcPr>
            <w:tcW w:w="2841" w:type="dxa"/>
            <w:tcBorders>
              <w:top w:val="nil"/>
              <w:left w:val="nil"/>
              <w:bottom w:val="nil"/>
              <w:right w:val="nil"/>
            </w:tcBorders>
            <w:shd w:val="clear" w:color="auto" w:fill="FFFFFF"/>
            <w:vAlign w:val="center"/>
          </w:tcPr>
          <w:p w14:paraId="0BDDD639">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Global one-time optimization: Based on the resistance distribution of the entire landscape, the complete path from the starting point to the end point is directly calculated. The path generation relies on the global resistance data.</w:t>
            </w:r>
          </w:p>
        </w:tc>
      </w:tr>
      <w:tr w14:paraId="39A3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5BBD0226">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Endpoint dependencies</w:t>
            </w:r>
          </w:p>
        </w:tc>
        <w:tc>
          <w:tcPr>
            <w:tcW w:w="2841" w:type="dxa"/>
            <w:tcBorders>
              <w:top w:val="nil"/>
              <w:left w:val="nil"/>
              <w:bottom w:val="nil"/>
              <w:right w:val="nil"/>
            </w:tcBorders>
            <w:shd w:val="clear" w:color="auto" w:fill="FFFFFF"/>
            <w:vAlign w:val="center"/>
          </w:tcPr>
          <w:p w14:paraId="7D085932">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The starting and ending points need to be preset, but the path generation process does not rely on global knowledge of the end point, but only gradually approximates it through neighborhood iteration (similar to "myopic" search).</w:t>
            </w:r>
          </w:p>
        </w:tc>
        <w:tc>
          <w:tcPr>
            <w:tcW w:w="2841" w:type="dxa"/>
            <w:tcBorders>
              <w:top w:val="nil"/>
              <w:left w:val="nil"/>
              <w:bottom w:val="nil"/>
              <w:right w:val="nil"/>
            </w:tcBorders>
            <w:shd w:val="clear" w:color="auto" w:fill="FFFFFF"/>
            <w:vAlign w:val="center"/>
          </w:tcPr>
          <w:p w14:paraId="4452DADC">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Strictly relies on preset start and end points, and path generation is based on global knowledge of the end point location.</w:t>
            </w:r>
          </w:p>
        </w:tc>
      </w:tr>
      <w:tr w14:paraId="0E29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3D8F249E">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Ecological authenticity</w:t>
            </w:r>
          </w:p>
        </w:tc>
        <w:tc>
          <w:tcPr>
            <w:tcW w:w="2841" w:type="dxa"/>
            <w:tcBorders>
              <w:top w:val="nil"/>
              <w:left w:val="nil"/>
              <w:bottom w:val="nil"/>
              <w:right w:val="nil"/>
            </w:tcBorders>
            <w:shd w:val="clear" w:color="auto" w:fill="FFFFFF"/>
            <w:vAlign w:val="center"/>
          </w:tcPr>
          <w:p w14:paraId="377C8A9B">
            <w:pPr>
              <w:widowControl/>
              <w:jc w:val="center"/>
              <w:rPr>
                <w:rFonts w:ascii="Times New Roman" w:hAnsi="Times New Roman" w:eastAsia="Segoe UI" w:cs="Times New Roman"/>
                <w:color w:val="000000"/>
                <w:kern w:val="0"/>
                <w:sz w:val="18"/>
                <w:szCs w:val="18"/>
                <w:lang w:bidi="ar"/>
              </w:rPr>
            </w:pPr>
            <w:r>
              <w:rPr>
                <w:rFonts w:ascii="Times New Roman" w:hAnsi="Times New Roman" w:eastAsia="Segoe UI" w:cs="Times New Roman"/>
                <w:color w:val="000000"/>
                <w:kern w:val="0"/>
                <w:sz w:val="18"/>
                <w:szCs w:val="18"/>
                <w:lang w:bidi="ar"/>
              </w:rPr>
              <w:t>1. Integrate the nonlinear relationship of resource selection;</w:t>
            </w:r>
          </w:p>
          <w:p w14:paraId="3FDE218B">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2. Simulate the "energy efficiency + resource preference" trade-off, closer to the decision-making logic of real animals.</w:t>
            </w:r>
          </w:p>
        </w:tc>
        <w:tc>
          <w:tcPr>
            <w:tcW w:w="2841" w:type="dxa"/>
            <w:tcBorders>
              <w:top w:val="nil"/>
              <w:left w:val="nil"/>
              <w:bottom w:val="nil"/>
              <w:right w:val="nil"/>
            </w:tcBorders>
            <w:shd w:val="clear" w:color="auto" w:fill="FFFFFF"/>
            <w:vAlign w:val="center"/>
          </w:tcPr>
          <w:p w14:paraId="47B9A50A">
            <w:pPr>
              <w:widowControl/>
              <w:jc w:val="center"/>
              <w:rPr>
                <w:rFonts w:ascii="Times New Roman" w:hAnsi="Times New Roman" w:eastAsia="Segoe UI" w:cs="Times New Roman"/>
                <w:color w:val="000000"/>
                <w:kern w:val="0"/>
                <w:sz w:val="18"/>
                <w:szCs w:val="18"/>
                <w:lang w:bidi="ar"/>
              </w:rPr>
            </w:pPr>
            <w:r>
              <w:rPr>
                <w:rFonts w:ascii="Times New Roman" w:hAnsi="Times New Roman" w:eastAsia="Segoe UI" w:cs="Times New Roman"/>
                <w:color w:val="000000"/>
                <w:kern w:val="0"/>
                <w:sz w:val="18"/>
                <w:szCs w:val="18"/>
                <w:lang w:bidi="ar"/>
              </w:rPr>
              <w:t>1. Assuming a linear relationship between resistance and path cost may simplify the nonlinear characteristics of ecological preferences;</w:t>
            </w:r>
          </w:p>
          <w:p w14:paraId="37FD5EC7">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2. Considering only "minimum cost" ignores the active selection behavior of animals for resources.</w:t>
            </w:r>
          </w:p>
        </w:tc>
      </w:tr>
      <w:tr w14:paraId="26F8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single" w:color="000000" w:sz="12" w:space="0"/>
              <w:right w:val="nil"/>
            </w:tcBorders>
            <w:shd w:val="clear" w:color="auto" w:fill="FFFFFF"/>
            <w:vAlign w:val="center"/>
          </w:tcPr>
          <w:p w14:paraId="7580733F">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Similarities</w:t>
            </w:r>
          </w:p>
        </w:tc>
        <w:tc>
          <w:tcPr>
            <w:tcW w:w="5682" w:type="dxa"/>
            <w:gridSpan w:val="2"/>
            <w:tcBorders>
              <w:top w:val="nil"/>
              <w:left w:val="nil"/>
              <w:bottom w:val="single" w:color="000000" w:sz="12" w:space="0"/>
              <w:right w:val="nil"/>
            </w:tcBorders>
            <w:shd w:val="clear" w:color="auto" w:fill="FFFFFF"/>
            <w:vAlign w:val="center"/>
          </w:tcPr>
          <w:p w14:paraId="5BD21EE9">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1. Both require starting and ending point information; 2. Both use environmental variables (such as topography and land use) as the basis for path generation; 3. Both can be used to predict species migration paths, serving fields such as ecological conservation.</w:t>
            </w:r>
          </w:p>
        </w:tc>
      </w:tr>
    </w:tbl>
    <w:p w14:paraId="310C768B">
      <w:pPr>
        <w:spacing w:line="360" w:lineRule="auto"/>
        <w:rPr>
          <w:rFonts w:ascii="Times New Roman" w:hAnsi="Times New Roman" w:cs="Times New Roman"/>
          <w:sz w:val="24"/>
        </w:rPr>
      </w:pPr>
    </w:p>
    <w:p w14:paraId="462C71CF">
      <w:pPr>
        <w:spacing w:line="360" w:lineRule="auto"/>
        <w:rPr>
          <w:rFonts w:ascii="Times New Roman" w:hAnsi="Times New Roman" w:cs="Times New Roman"/>
          <w:sz w:val="24"/>
        </w:rPr>
      </w:pPr>
    </w:p>
    <w:p w14:paraId="3216FEB2">
      <w:pPr>
        <w:widowControl/>
        <w:numPr>
          <w:ilvl w:val="255"/>
          <w:numId w:val="0"/>
        </w:numPr>
        <w:autoSpaceDE w:val="0"/>
        <w:autoSpaceDN w:val="0"/>
        <w:spacing w:before="90" w:line="360" w:lineRule="auto"/>
        <w:ind w:left="221" w:right="351"/>
        <w:jc w:val="center"/>
        <w:rPr>
          <w:rFonts w:ascii="Times New Roman" w:hAnsi="Times New Roman" w:eastAsia="Times New Roman" w:cs="Times New Roman"/>
          <w:b/>
          <w:kern w:val="0"/>
          <w:szCs w:val="21"/>
        </w:rPr>
      </w:pPr>
      <w:r>
        <w:rPr>
          <w:rFonts w:ascii="Times New Roman" w:hAnsi="Times New Roman" w:eastAsia="Times New Roman" w:cs="Times New Roman"/>
          <w:b/>
          <w:kern w:val="0"/>
          <w:szCs w:val="21"/>
        </w:rPr>
        <w:t xml:space="preserve">Table </w:t>
      </w:r>
      <w:r>
        <w:rPr>
          <w:rFonts w:hint="eastAsia" w:ascii="Times New Roman" w:hAnsi="Times New Roman" w:eastAsia="Times New Roman" w:cs="Times New Roman"/>
          <w:b/>
          <w:kern w:val="0"/>
          <w:szCs w:val="21"/>
        </w:rPr>
        <w:t>7-2</w:t>
      </w:r>
      <w:r>
        <w:rPr>
          <w:rFonts w:ascii="Times New Roman" w:hAnsi="Times New Roman" w:eastAsia="Times New Roman" w:cs="Times New Roman"/>
          <w:b/>
          <w:kern w:val="0"/>
          <w:szCs w:val="21"/>
        </w:rPr>
        <w:t xml:space="preserve"> Comparison of ERSF-VIPA and Randomized Least-cost Path (RSP) (Panzacchi et al., 2016)</w:t>
      </w:r>
      <w:r>
        <w:rPr>
          <w:rFonts w:hint="eastAsia" w:ascii="Times New Roman" w:hAnsi="Times New Roman" w:eastAsia="Times New Roman" w:cs="Times New Roman"/>
          <w:b/>
          <w:kern w:val="0"/>
          <w:szCs w:val="21"/>
        </w:rPr>
        <w:t xml:space="preserve"> </w:t>
      </w:r>
      <w:r>
        <w:rPr>
          <w:rFonts w:ascii="Times New Roman" w:hAnsi="Times New Roman" w:eastAsia="Times New Roman" w:cs="Times New Roman"/>
          <w:b/>
          <w:kern w:val="0"/>
          <w:szCs w:val="21"/>
        </w:rPr>
        <w:t>Models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6B4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000000" w:sz="12" w:space="0"/>
              <w:left w:val="nil"/>
              <w:bottom w:val="single" w:color="000000" w:sz="4" w:space="0"/>
              <w:right w:val="nil"/>
              <w:tl2br w:val="nil"/>
            </w:tcBorders>
            <w:shd w:val="clear" w:color="auto" w:fill="FFFFFF"/>
            <w:vAlign w:val="center"/>
          </w:tcPr>
          <w:p w14:paraId="3735CD1A">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Comparison Dimensions</w:t>
            </w:r>
          </w:p>
        </w:tc>
        <w:tc>
          <w:tcPr>
            <w:tcW w:w="2841" w:type="dxa"/>
            <w:tcBorders>
              <w:top w:val="single" w:color="000000" w:sz="12" w:space="0"/>
              <w:left w:val="nil"/>
              <w:bottom w:val="single" w:color="000000" w:sz="4" w:space="0"/>
              <w:right w:val="nil"/>
            </w:tcBorders>
            <w:shd w:val="clear" w:color="auto" w:fill="FFFFFF"/>
            <w:vAlign w:val="center"/>
          </w:tcPr>
          <w:p w14:paraId="260A4181">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RSP</w:t>
            </w:r>
          </w:p>
        </w:tc>
        <w:tc>
          <w:tcPr>
            <w:tcW w:w="2841" w:type="dxa"/>
            <w:tcBorders>
              <w:top w:val="single" w:color="000000" w:sz="12" w:space="0"/>
              <w:left w:val="nil"/>
              <w:bottom w:val="single" w:color="000000" w:sz="4" w:space="0"/>
              <w:right w:val="nil"/>
            </w:tcBorders>
            <w:shd w:val="clear" w:color="auto" w:fill="FFFFFF"/>
            <w:vAlign w:val="center"/>
          </w:tcPr>
          <w:p w14:paraId="727FAA48">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ERSF-VIPA</w:t>
            </w:r>
          </w:p>
        </w:tc>
      </w:tr>
      <w:tr w14:paraId="3D78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000000" w:sz="4" w:space="0"/>
              <w:left w:val="nil"/>
              <w:bottom w:val="nil"/>
              <w:right w:val="nil"/>
            </w:tcBorders>
            <w:shd w:val="clear" w:color="auto" w:fill="FFFFFF"/>
            <w:vAlign w:val="center"/>
          </w:tcPr>
          <w:p w14:paraId="762EE5F7">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Data Dependency</w:t>
            </w:r>
          </w:p>
        </w:tc>
        <w:tc>
          <w:tcPr>
            <w:tcW w:w="2841" w:type="dxa"/>
            <w:tcBorders>
              <w:top w:val="single" w:color="000000" w:sz="4" w:space="0"/>
              <w:left w:val="nil"/>
              <w:bottom w:val="nil"/>
              <w:right w:val="nil"/>
            </w:tcBorders>
            <w:shd w:val="clear" w:color="auto" w:fill="FFFFFF"/>
            <w:vAlign w:val="center"/>
          </w:tcPr>
          <w:p w14:paraId="00391BB0">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Still requires dense GPS tracks (for SSF and θ calibration), relying on continuous positioning data</w:t>
            </w:r>
          </w:p>
        </w:tc>
        <w:tc>
          <w:tcPr>
            <w:tcW w:w="2841" w:type="dxa"/>
            <w:tcBorders>
              <w:top w:val="single" w:color="000000" w:sz="4" w:space="0"/>
              <w:left w:val="nil"/>
              <w:bottom w:val="nil"/>
              <w:right w:val="nil"/>
            </w:tcBorders>
            <w:shd w:val="clear" w:color="auto" w:fill="FFFFFF"/>
            <w:vAlign w:val="center"/>
          </w:tcPr>
          <w:p w14:paraId="29E7D23B">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Only species occurrence points (such as feces, footprints) are required, which is suitable for historical data without time stamps and imprecise positioning</w:t>
            </w:r>
          </w:p>
        </w:tc>
      </w:tr>
      <w:tr w14:paraId="244E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62BA4A1A">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Spatial Cognition Hypothesis</w:t>
            </w:r>
          </w:p>
        </w:tc>
        <w:tc>
          <w:tcPr>
            <w:tcW w:w="2841" w:type="dxa"/>
            <w:tcBorders>
              <w:top w:val="nil"/>
              <w:left w:val="nil"/>
              <w:bottom w:val="nil"/>
              <w:right w:val="nil"/>
            </w:tcBorders>
            <w:shd w:val="clear" w:color="auto" w:fill="FFFFFF"/>
            <w:vAlign w:val="center"/>
          </w:tcPr>
          <w:p w14:paraId="1FB9B30B">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Explicitly assumes "global landscape cognition" and path generation is based on optimizing the global friction surface (even if θ introduces randomness, global cost information is still required)</w:t>
            </w:r>
          </w:p>
        </w:tc>
        <w:tc>
          <w:tcPr>
            <w:tcW w:w="2841" w:type="dxa"/>
            <w:tcBorders>
              <w:top w:val="nil"/>
              <w:left w:val="nil"/>
              <w:bottom w:val="nil"/>
              <w:right w:val="nil"/>
            </w:tcBorders>
            <w:shd w:val="clear" w:color="auto" w:fill="FFFFFF"/>
            <w:vAlign w:val="center"/>
          </w:tcPr>
          <w:p w14:paraId="3216808B">
            <w:pPr>
              <w:widowControl/>
              <w:jc w:val="center"/>
              <w:rPr>
                <w:rFonts w:ascii="Times New Roman" w:hAnsi="Times New Roman" w:eastAsia="Segoe UI" w:cs="Times New Roman"/>
                <w:color w:val="000000"/>
                <w:kern w:val="0"/>
                <w:sz w:val="18"/>
                <w:szCs w:val="18"/>
                <w:lang w:bidi="ar"/>
              </w:rPr>
            </w:pPr>
            <w:r>
              <w:rPr>
                <w:rFonts w:ascii="Times New Roman" w:hAnsi="Times New Roman" w:eastAsia="Segoe UI" w:cs="Times New Roman"/>
                <w:color w:val="000000"/>
                <w:kern w:val="0"/>
                <w:sz w:val="18"/>
                <w:szCs w:val="18"/>
                <w:lang w:bidi="ar"/>
              </w:rPr>
              <w:t>The initial resource selection probability calculation relies on global environmental data (just to reflect the species' own resource preferences), but the path search stage relies only on local information (neighborhood evaluation of the current node) without the assumption of global landscape cognition.</w:t>
            </w:r>
          </w:p>
        </w:tc>
      </w:tr>
      <w:tr w14:paraId="0121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14:paraId="639FAA14">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Nonlinear characterization capabilities</w:t>
            </w:r>
          </w:p>
        </w:tc>
        <w:tc>
          <w:tcPr>
            <w:tcW w:w="2841" w:type="dxa"/>
            <w:tcBorders>
              <w:top w:val="nil"/>
              <w:left w:val="nil"/>
              <w:bottom w:val="nil"/>
              <w:right w:val="nil"/>
            </w:tcBorders>
            <w:shd w:val="clear" w:color="auto" w:fill="FFFFFF"/>
            <w:vAlign w:val="center"/>
          </w:tcPr>
          <w:p w14:paraId="7F4CBCBE">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SSF relies on parameterized functions (such as the exponential form in eqn 2), which has limited ability to capture complex environmental interactions.</w:t>
            </w:r>
          </w:p>
        </w:tc>
        <w:tc>
          <w:tcPr>
            <w:tcW w:w="2841" w:type="dxa"/>
            <w:tcBorders>
              <w:top w:val="nil"/>
              <w:left w:val="nil"/>
              <w:bottom w:val="nil"/>
              <w:right w:val="nil"/>
            </w:tcBorders>
            <w:shd w:val="clear" w:color="auto" w:fill="FFFFFF"/>
            <w:vAlign w:val="center"/>
          </w:tcPr>
          <w:p w14:paraId="3DF1D26A">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Capturing nonlinear resource selection with ERSF</w:t>
            </w:r>
          </w:p>
        </w:tc>
      </w:tr>
      <w:tr w14:paraId="591A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single" w:color="000000" w:sz="12" w:space="0"/>
              <w:right w:val="nil"/>
            </w:tcBorders>
            <w:shd w:val="clear" w:color="auto" w:fill="FFFFFF"/>
            <w:vAlign w:val="center"/>
          </w:tcPr>
          <w:p w14:paraId="0FF5E60B">
            <w:pPr>
              <w:widowControl/>
              <w:jc w:val="center"/>
              <w:rPr>
                <w:rFonts w:ascii="Times New Roman" w:hAnsi="Times New Roman" w:eastAsia="宋体" w:cs="Times New Roman"/>
                <w:color w:val="000000"/>
                <w:sz w:val="18"/>
                <w:szCs w:val="18"/>
              </w:rPr>
            </w:pPr>
            <w:r>
              <w:rPr>
                <w:rStyle w:val="13"/>
                <w:rFonts w:ascii="Times New Roman" w:hAnsi="Times New Roman" w:eastAsia="Segoe UI" w:cs="Times New Roman"/>
                <w:b w:val="0"/>
                <w:color w:val="000000"/>
                <w:kern w:val="0"/>
                <w:sz w:val="18"/>
                <w:szCs w:val="18"/>
                <w:lang w:bidi="ar"/>
              </w:rPr>
              <w:t>Application Scenario</w:t>
            </w:r>
          </w:p>
        </w:tc>
        <w:tc>
          <w:tcPr>
            <w:tcW w:w="2841" w:type="dxa"/>
            <w:tcBorders>
              <w:top w:val="nil"/>
              <w:left w:val="nil"/>
              <w:bottom w:val="single" w:color="000000" w:sz="12" w:space="0"/>
              <w:right w:val="nil"/>
            </w:tcBorders>
            <w:shd w:val="clear" w:color="auto" w:fill="FFFFFF"/>
            <w:vAlign w:val="center"/>
          </w:tcPr>
          <w:p w14:paraId="6786F34F">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Focus on long-term migration corridor identification, suitable for species with intensive tracking data</w:t>
            </w:r>
          </w:p>
        </w:tc>
        <w:tc>
          <w:tcPr>
            <w:tcW w:w="2841" w:type="dxa"/>
            <w:tcBorders>
              <w:top w:val="nil"/>
              <w:left w:val="nil"/>
              <w:bottom w:val="single" w:color="000000" w:sz="12" w:space="0"/>
              <w:right w:val="nil"/>
            </w:tcBorders>
            <w:shd w:val="clear" w:color="auto" w:fill="FFFFFF"/>
            <w:vAlign w:val="center"/>
          </w:tcPr>
          <w:p w14:paraId="3F3115B2">
            <w:pPr>
              <w:widowControl/>
              <w:jc w:val="center"/>
              <w:rPr>
                <w:rFonts w:ascii="Times New Roman" w:hAnsi="Times New Roman" w:eastAsia="宋体" w:cs="Times New Roman"/>
                <w:color w:val="000000"/>
                <w:sz w:val="18"/>
                <w:szCs w:val="18"/>
              </w:rPr>
            </w:pPr>
            <w:r>
              <w:rPr>
                <w:rFonts w:ascii="Times New Roman" w:hAnsi="Times New Roman" w:eastAsia="Segoe UI" w:cs="Times New Roman"/>
                <w:color w:val="000000"/>
                <w:kern w:val="0"/>
                <w:sz w:val="18"/>
                <w:szCs w:val="18"/>
                <w:lang w:bidi="ar"/>
              </w:rPr>
              <w:t>Focuses on path reconstruction and conflict warning when data is limited (e.g., predicting elephants approaching villages)</w:t>
            </w:r>
          </w:p>
        </w:tc>
      </w:tr>
    </w:tbl>
    <w:p w14:paraId="5DB1D748">
      <w:pPr>
        <w:spacing w:line="360" w:lineRule="auto"/>
        <w:rPr>
          <w:rFonts w:ascii="Times New Roman" w:hAnsi="Times New Roman" w:cs="Times New Roman"/>
          <w:sz w:val="24"/>
        </w:rPr>
      </w:pPr>
    </w:p>
    <w:p w14:paraId="0A9CC5F8">
      <w:pPr>
        <w:pStyle w:val="3"/>
        <w:rPr>
          <w:rFonts w:cs="Times New Roman"/>
        </w:rPr>
      </w:pPr>
      <w:r>
        <w:rPr>
          <w:rFonts w:cs="Times New Roman"/>
        </w:rPr>
        <w:t xml:space="preserve">Appendix </w:t>
      </w:r>
      <w:r>
        <w:rPr>
          <w:rFonts w:hint="eastAsia" w:cs="Times New Roman"/>
        </w:rPr>
        <w:t>8</w:t>
      </w:r>
      <w:r>
        <w:rPr>
          <w:rFonts w:cs="Times New Roman"/>
        </w:rPr>
        <w:t>: Results of multiple simulation path methods</w:t>
      </w:r>
    </w:p>
    <w:p w14:paraId="3B636248">
      <w:pPr>
        <w:jc w:val="center"/>
        <w:rPr>
          <w:rFonts w:ascii="Times New Roman" w:hAnsi="Times New Roman" w:cs="Times New Roman"/>
        </w:rPr>
      </w:pPr>
      <w:r>
        <w:drawing>
          <wp:inline distT="0" distB="0" distL="114300" distR="114300">
            <wp:extent cx="5024755" cy="6455410"/>
            <wp:effectExtent l="0" t="0" r="4445"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31"/>
                    <a:stretch>
                      <a:fillRect/>
                    </a:stretch>
                  </pic:blipFill>
                  <pic:spPr>
                    <a:xfrm>
                      <a:off x="0" y="0"/>
                      <a:ext cx="5024755" cy="6455410"/>
                    </a:xfrm>
                    <a:prstGeom prst="rect">
                      <a:avLst/>
                    </a:prstGeom>
                  </pic:spPr>
                </pic:pic>
              </a:graphicData>
            </a:graphic>
          </wp:inline>
        </w:drawing>
      </w:r>
    </w:p>
    <w:p w14:paraId="6EBE3DEB">
      <w:pPr>
        <w:autoSpaceDE w:val="0"/>
        <w:autoSpaceDN w:val="0"/>
        <w:spacing w:before="90" w:line="360" w:lineRule="auto"/>
        <w:ind w:left="220" w:right="352"/>
        <w:rPr>
          <w:rFonts w:ascii="Times New Roman" w:hAnsi="Times New Roman" w:eastAsia="Times New Roman" w:cs="Times New Roman"/>
          <w:bCs/>
          <w:kern w:val="0"/>
          <w:sz w:val="24"/>
          <w:szCs w:val="22"/>
        </w:rPr>
      </w:pPr>
      <w:r>
        <w:rPr>
          <w:rFonts w:ascii="Times New Roman" w:hAnsi="Times New Roman" w:eastAsia="Times New Roman" w:cs="Times New Roman"/>
          <w:b/>
          <w:kern w:val="0"/>
          <w:szCs w:val="21"/>
        </w:rPr>
        <w:t xml:space="preserve">Figure </w:t>
      </w:r>
      <w:r>
        <w:rPr>
          <w:rFonts w:hint="eastAsia" w:ascii="Times New Roman" w:hAnsi="Times New Roman" w:eastAsia="Times New Roman" w:cs="Times New Roman"/>
          <w:b/>
          <w:kern w:val="0"/>
          <w:szCs w:val="21"/>
        </w:rPr>
        <w:t>A8-1</w:t>
      </w:r>
      <w:r>
        <w:rPr>
          <w:rFonts w:ascii="Times New Roman" w:hAnsi="Times New Roman" w:eastAsia="Times New Roman" w:cs="Times New Roman"/>
          <w:b/>
          <w:kern w:val="0"/>
          <w:szCs w:val="21"/>
        </w:rPr>
        <w:t>. Results of multiple simulation path methods:</w:t>
      </w:r>
      <w:r>
        <w:rPr>
          <w:rFonts w:ascii="Times New Roman" w:hAnsi="Times New Roman" w:eastAsia="Times New Roman" w:cs="Times New Roman"/>
          <w:bCs/>
          <w:kern w:val="0"/>
          <w:szCs w:val="21"/>
        </w:rPr>
        <w:t xml:space="preserve"> The a-series of figures compare the Least-Cost Path (LCP) simulation with the ERSF-VIPA simulation. The b-series of figures compare the A* algorithm simulation with the ERSF-VIPA simulation. The c-series of figures compare the Dijkstra algorithm simulation with the ERSF-VIPA simulation.</w:t>
      </w:r>
    </w:p>
    <w:p w14:paraId="135A5171">
      <w:pPr>
        <w:autoSpaceDE w:val="0"/>
        <w:autoSpaceDN w:val="0"/>
        <w:spacing w:before="90" w:line="360" w:lineRule="auto"/>
        <w:ind w:left="220" w:right="352"/>
        <w:rPr>
          <w:rFonts w:ascii="Times New Roman" w:hAnsi="Times New Roman" w:eastAsia="Times New Roman" w:cs="Times New Roman"/>
          <w:bCs/>
          <w:kern w:val="0"/>
          <w:sz w:val="24"/>
          <w:szCs w:val="22"/>
        </w:rPr>
      </w:pPr>
    </w:p>
    <w:p w14:paraId="0AF31347">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Since the path-finding logic of circuit theory aligns with the principle of identifying the lowest-cost path, the LCP simulation results presented in the a-series of figures essentially reflect the path simulation outcomes based on circuit theory. As observed from the a-series in Figure </w:t>
      </w:r>
      <w:r>
        <w:rPr>
          <w:rFonts w:hint="eastAsia" w:ascii="Times New Roman" w:hAnsi="Times New Roman" w:cs="Times New Roman"/>
          <w:sz w:val="24"/>
        </w:rPr>
        <w:t>A8-1</w:t>
      </w:r>
      <w:r>
        <w:rPr>
          <w:rFonts w:ascii="Times New Roman" w:hAnsi="Times New Roman" w:cs="Times New Roman"/>
          <w:sz w:val="24"/>
        </w:rPr>
        <w:t>, both circuit theory and LCP methods perform poorly at a local scale when simulating wildlife movement paths. This is because these approaches are primarily designed for broader spatial scales, making them more suitable for corridor planning rather than fine-scale movement simulations.</w:t>
      </w:r>
    </w:p>
    <w:p w14:paraId="2A373940">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From the b-series in Figure </w:t>
      </w:r>
      <w:r>
        <w:rPr>
          <w:rFonts w:hint="eastAsia" w:ascii="Times New Roman" w:hAnsi="Times New Roman" w:cs="Times New Roman"/>
          <w:sz w:val="24"/>
        </w:rPr>
        <w:t>A8-1</w:t>
      </w:r>
      <w:r>
        <w:rPr>
          <w:rFonts w:ascii="Times New Roman" w:hAnsi="Times New Roman" w:cs="Times New Roman"/>
          <w:sz w:val="24"/>
        </w:rPr>
        <w:t>, it is evident that the A* algorithm, which is designed to find the shortest path in an environment with completely impassable obstacles, does not align well with real-world wildlife movement. In natural landscapes, completely impassable barriers are rare at a local sc</w:t>
      </w:r>
      <w:bookmarkStart w:id="1" w:name="_GoBack"/>
      <w:bookmarkEnd w:id="1"/>
      <w:r>
        <w:rPr>
          <w:rFonts w:ascii="Times New Roman" w:hAnsi="Times New Roman" w:cs="Times New Roman"/>
          <w:sz w:val="24"/>
        </w:rPr>
        <w:t>ale, and the A* algorithm fails to account for multiple environmental factors, resulting in poor ecological adaptability. Consequently, it is not suitable for direct application in wildlife movement simulations.</w:t>
      </w:r>
    </w:p>
    <w:p w14:paraId="239C1768">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Similarly, the Dijkstra algorithm follows a logic comparable to A*, and as shown in the c-series of Figure </w:t>
      </w:r>
      <w:r>
        <w:rPr>
          <w:rFonts w:hint="eastAsia" w:ascii="Times New Roman" w:hAnsi="Times New Roman" w:cs="Times New Roman"/>
          <w:sz w:val="24"/>
        </w:rPr>
        <w:t>A8-1</w:t>
      </w:r>
      <w:r>
        <w:rPr>
          <w:rFonts w:ascii="Times New Roman" w:hAnsi="Times New Roman" w:cs="Times New Roman"/>
          <w:sz w:val="24"/>
        </w:rPr>
        <w:t>, the paths generated by this method are also ecologically unrealistic.</w:t>
      </w:r>
    </w:p>
    <w:p w14:paraId="363AAB60">
      <w:pPr>
        <w:spacing w:line="360" w:lineRule="auto"/>
        <w:ind w:firstLine="480" w:firstLineChars="200"/>
        <w:rPr>
          <w:rFonts w:ascii="Times New Roman" w:hAnsi="Times New Roman" w:cs="Times New Roman"/>
          <w:sz w:val="24"/>
        </w:rPr>
      </w:pPr>
      <w:r>
        <w:rPr>
          <w:rFonts w:ascii="Times New Roman" w:hAnsi="Times New Roman" w:cs="Times New Roman"/>
          <w:sz w:val="24"/>
        </w:rPr>
        <w:t xml:space="preserve">In summary, the comparison of multiple path-finding methods further validates that the ERSF-VIPA </w:t>
      </w:r>
      <w:r>
        <w:rPr>
          <w:rFonts w:hint="eastAsia" w:ascii="Times New Roman" w:hAnsi="Times New Roman" w:cs="Times New Roman"/>
          <w:sz w:val="24"/>
        </w:rPr>
        <w:t>framework</w:t>
      </w:r>
      <w:r>
        <w:rPr>
          <w:rFonts w:ascii="Times New Roman" w:hAnsi="Times New Roman" w:cs="Times New Roman"/>
          <w:sz w:val="24"/>
        </w:rPr>
        <w:t xml:space="preserve"> developed in this study provides superior accuracy in simulating wildlife migration paths, demonstrating its effectiveness in ecological applications.</w:t>
      </w:r>
    </w:p>
    <w:p w14:paraId="03CD5D5E">
      <w:pPr>
        <w:widowControl/>
        <w:numPr>
          <w:ilvl w:val="255"/>
          <w:numId w:val="0"/>
        </w:numPr>
        <w:jc w:val="left"/>
        <w:rPr>
          <w:rFonts w:ascii="Times New Roman" w:hAnsi="Times New Roman" w:cs="Times New Roman"/>
          <w:sz w:val="24"/>
        </w:rPr>
      </w:pPr>
      <w:r>
        <w:rPr>
          <w:rFonts w:ascii="Times New Roman" w:hAnsi="Times New Roman" w:cs="Times New Roman"/>
          <w:sz w:val="24"/>
        </w:rPr>
        <w:br w:type="page"/>
      </w:r>
    </w:p>
    <w:p w14:paraId="78838A4E">
      <w:pPr>
        <w:pStyle w:val="3"/>
        <w:spacing w:line="480" w:lineRule="auto"/>
        <w:rPr>
          <w:rFonts w:cs="Times New Roman"/>
        </w:rPr>
      </w:pPr>
      <w:r>
        <w:rPr>
          <w:rFonts w:cs="Times New Roman"/>
        </w:rPr>
        <w:t>References</w:t>
      </w:r>
    </w:p>
    <w:p w14:paraId="695DC426">
      <w:pPr>
        <w:pStyle w:val="17"/>
        <w:spacing w:line="480" w:lineRule="auto"/>
        <w:ind w:left="420" w:hanging="420" w:hangingChars="200"/>
        <w:rPr>
          <w:rFonts w:ascii="Times New Roman" w:hAnsi="Times New Roman" w:cs="Times New Roman"/>
          <w:szCs w:val="21"/>
        </w:rPr>
      </w:pPr>
      <w:r>
        <w:rPr>
          <w:rFonts w:ascii="Times New Roman" w:hAnsi="Times New Roman" w:cs="Times New Roman"/>
          <w:szCs w:val="21"/>
        </w:rPr>
        <w:t>Boyce, M. S., Vernier, P. R., Nielsen, S. E., &amp; Schmiegelow, F. K. (2002). Evaluating resource selection functions. Ecological modelling, 157(2-3), 281-300.https://doi.org/10.3390/ani12081018</w:t>
      </w:r>
    </w:p>
    <w:p w14:paraId="4D3AE2B6">
      <w:pPr>
        <w:pStyle w:val="17"/>
        <w:spacing w:line="480" w:lineRule="auto"/>
        <w:ind w:left="420" w:hanging="420" w:hangingChars="200"/>
        <w:rPr>
          <w:rFonts w:ascii="Times New Roman" w:hAnsi="Times New Roman" w:cs="Times New Roman"/>
          <w:szCs w:val="21"/>
        </w:rPr>
      </w:pPr>
      <w:r>
        <w:rPr>
          <w:rFonts w:ascii="Times New Roman" w:hAnsi="Times New Roman" w:cs="Times New Roman"/>
          <w:szCs w:val="21"/>
        </w:rPr>
        <w:t>Coverdale, T. C., Boucher, P. B., Singh, J., Palmer, T. M., Goheen, J. R., Pringle, R. M., &amp; Davies, A. B. (2024). Herbivore regulation of savanna vegetation: Structural complexity, diversity, and the complexity–diversity relationship. Ecological Monographs, 94(4), e1624.</w:t>
      </w:r>
      <w:r>
        <w:rPr>
          <w:rFonts w:hint="eastAsia" w:ascii="Times New Roman" w:hAnsi="Times New Roman" w:cs="Times New Roman"/>
          <w:szCs w:val="21"/>
        </w:rPr>
        <w:t xml:space="preserve"> </w:t>
      </w:r>
      <w:r>
        <w:fldChar w:fldCharType="begin"/>
      </w:r>
      <w:r>
        <w:instrText xml:space="preserve"> HYPERLINK "https://doi.org/10.1002/ecm.1624" </w:instrText>
      </w:r>
      <w:r>
        <w:fldChar w:fldCharType="separate"/>
      </w:r>
      <w:r>
        <w:rPr>
          <w:rFonts w:hint="eastAsia" w:ascii="Times New Roman" w:hAnsi="Times New Roman" w:cs="Times New Roman"/>
          <w:szCs w:val="21"/>
        </w:rPr>
        <w:t>https://doi.org/10.1002/ecm.1624</w:t>
      </w:r>
      <w:r>
        <w:rPr>
          <w:rFonts w:hint="eastAsia" w:ascii="Times New Roman" w:hAnsi="Times New Roman" w:cs="Times New Roman"/>
          <w:szCs w:val="21"/>
        </w:rPr>
        <w:fldChar w:fldCharType="end"/>
      </w:r>
    </w:p>
    <w:p w14:paraId="67183216">
      <w:pPr>
        <w:pStyle w:val="17"/>
        <w:spacing w:line="480" w:lineRule="auto"/>
        <w:ind w:left="420" w:hanging="420" w:hangingChars="200"/>
        <w:rPr>
          <w:rFonts w:hint="eastAsia" w:ascii="Times New Roman" w:hAnsi="Times New Roman" w:cs="Times New Roman"/>
          <w:szCs w:val="21"/>
        </w:rPr>
      </w:pPr>
      <w:r>
        <w:rPr>
          <w:rFonts w:ascii="Times New Roman" w:hAnsi="Times New Roman" w:cs="Times New Roman"/>
          <w:szCs w:val="21"/>
        </w:rPr>
        <w:t>Darker, K. N. (2022). Enzootic geophagy by elephants (Loxodonta Africana) in relation to geochemical composition of mineral licks in Addo Elephant National Park, South Africa (Doctoral dissertation, University of the Free State).</w:t>
      </w:r>
      <w:r>
        <w:rPr>
          <w:rFonts w:hint="eastAsia" w:ascii="Times New Roman" w:hAnsi="Times New Roman" w:cs="Times New Roman"/>
          <w:szCs w:val="21"/>
        </w:rPr>
        <w:t xml:space="preserve"> </w:t>
      </w:r>
    </w:p>
    <w:p w14:paraId="130CB4D4">
      <w:pPr>
        <w:pStyle w:val="17"/>
        <w:spacing w:line="480" w:lineRule="auto"/>
        <w:ind w:left="420" w:hanging="420" w:hangingChars="200"/>
        <w:rPr>
          <w:rFonts w:ascii="Times New Roman" w:hAnsi="Times New Roman" w:cs="Times New Roman"/>
          <w:szCs w:val="21"/>
        </w:rPr>
      </w:pPr>
      <w:r>
        <w:rPr>
          <w:rFonts w:hint="default" w:ascii="Times New Roman" w:hAnsi="Times New Roman" w:cs="Times New Roman"/>
          <w:szCs w:val="21"/>
        </w:rPr>
        <w:t>Du, Y., Chen, J., &amp; Xie, Y. (2023). The Impacts of the Asian Elephants Damage on Farmer’s Livelihood Strategies in Pu’er and Xishuangbanna in China. Sustainability, 15(6), 5033. https://doi.org/10.3390/su15065033</w:t>
      </w:r>
    </w:p>
    <w:p w14:paraId="26466B42">
      <w:pPr>
        <w:pStyle w:val="17"/>
        <w:spacing w:line="480" w:lineRule="auto"/>
        <w:ind w:left="420" w:hanging="420" w:hangingChars="200"/>
        <w:rPr>
          <w:rFonts w:ascii="Times New Roman" w:hAnsi="Times New Roman" w:cs="Times New Roman"/>
          <w:szCs w:val="21"/>
        </w:rPr>
      </w:pPr>
      <w:r>
        <w:rPr>
          <w:rFonts w:ascii="Times New Roman" w:hAnsi="Times New Roman" w:cs="Times New Roman"/>
          <w:szCs w:val="21"/>
        </w:rPr>
        <w:t xml:space="preserve">Huang C, Li X, Khanal L, Jiang X. 2019. </w:t>
      </w:r>
      <w:bookmarkStart w:id="0" w:name="OLE_LINK6"/>
      <w:r>
        <w:rPr>
          <w:rFonts w:ascii="Times New Roman" w:hAnsi="Times New Roman" w:cs="Times New Roman"/>
          <w:szCs w:val="21"/>
        </w:rPr>
        <w:t>Habitat suitability and connectivity inform a co-management policy of protected area network for Asian elephants in China</w:t>
      </w:r>
      <w:bookmarkEnd w:id="0"/>
      <w:r>
        <w:rPr>
          <w:rFonts w:ascii="Times New Roman" w:hAnsi="Times New Roman" w:cs="Times New Roman"/>
          <w:szCs w:val="21"/>
        </w:rPr>
        <w:t>. PeerJ 7:e6791 https://doi.org/10.7717/peerj.6791</w:t>
      </w:r>
    </w:p>
    <w:p w14:paraId="768D80B7">
      <w:pPr>
        <w:pStyle w:val="17"/>
        <w:spacing w:line="480" w:lineRule="auto"/>
        <w:ind w:left="420" w:hanging="420" w:hangingChars="200"/>
        <w:rPr>
          <w:rFonts w:ascii="Times New Roman" w:hAnsi="Times New Roman" w:cs="Times New Roman"/>
          <w:szCs w:val="21"/>
        </w:rPr>
      </w:pPr>
      <w:r>
        <w:rPr>
          <w:rFonts w:ascii="Times New Roman" w:hAnsi="Times New Roman" w:cs="Times New Roman"/>
          <w:szCs w:val="21"/>
        </w:rPr>
        <w:t>Li, M. (2023). Hexagonal Discrete Global Grid Systems in Topographical and Hydrological Modeling.</w:t>
      </w:r>
      <w:r>
        <w:rPr>
          <w:rFonts w:hint="eastAsia" w:ascii="Times New Roman" w:hAnsi="Times New Roman" w:cs="Times New Roman"/>
          <w:szCs w:val="21"/>
        </w:rPr>
        <w:t xml:space="preserve"> https://dx.doi.org/10.11575/PRISM/40787</w:t>
      </w:r>
    </w:p>
    <w:p w14:paraId="2D8FE019">
      <w:pPr>
        <w:pStyle w:val="17"/>
        <w:spacing w:line="480" w:lineRule="auto"/>
        <w:ind w:left="420" w:hanging="420" w:hangingChars="200"/>
        <w:rPr>
          <w:rFonts w:ascii="Times New Roman" w:hAnsi="Times New Roman" w:cs="Times New Roman"/>
          <w:szCs w:val="21"/>
        </w:rPr>
      </w:pPr>
      <w:r>
        <w:rPr>
          <w:rFonts w:ascii="Times New Roman" w:hAnsi="Times New Roman" w:cs="Times New Roman"/>
          <w:szCs w:val="21"/>
        </w:rPr>
        <w:t>Kumar, V., Raghevendra, S., Devagiri, G. M., &amp; Rani, V. (2023). Assessing Asian elephant habitat preferences in the Central Western Ghats using GIS, remote sensing, and analytical hierarchy process (ahp). Int. J. Environ. Clim. Change, 13(10), 3355-3365. https://doi.org/10.9734/ijecc/2023/v13i103004</w:t>
      </w:r>
    </w:p>
    <w:p w14:paraId="0394DD0D">
      <w:pPr>
        <w:pStyle w:val="17"/>
        <w:spacing w:line="480" w:lineRule="auto"/>
        <w:ind w:left="420" w:hanging="420" w:hangingChars="200"/>
        <w:rPr>
          <w:rFonts w:ascii="Times New Roman" w:hAnsi="Times New Roman" w:cs="Times New Roman"/>
          <w:szCs w:val="21"/>
        </w:rPr>
      </w:pPr>
      <w:r>
        <w:rPr>
          <w:rFonts w:ascii="Times New Roman" w:hAnsi="Times New Roman" w:cs="Times New Roman"/>
          <w:szCs w:val="21"/>
        </w:rPr>
        <w:t>Panzacchi, M., Van Moorter, B., Strand, O., Saerens, M., Kivimäki, I., St. Clair, C. C., ... &amp; Boitani, L. (2016). Predicting the continuum between corridors and barriers to animal movements using Step Selection Functions and Randomized Shortest Paths. Journal of Animal Ecology, 85(1), 32-42. https://doi.org/10.1111/1365-2656.12386</w:t>
      </w:r>
    </w:p>
    <w:p w14:paraId="00F0F785">
      <w:pPr>
        <w:pStyle w:val="17"/>
        <w:spacing w:line="480" w:lineRule="auto"/>
        <w:ind w:left="420" w:hanging="420" w:hangingChars="200"/>
        <w:rPr>
          <w:rFonts w:hint="eastAsia" w:ascii="Times New Roman" w:hAnsi="Times New Roman" w:cs="Times New Roman"/>
          <w:szCs w:val="21"/>
        </w:rPr>
      </w:pPr>
      <w:r>
        <w:rPr>
          <w:rFonts w:ascii="Times New Roman" w:hAnsi="Times New Roman" w:cs="Times New Roman"/>
          <w:szCs w:val="21"/>
        </w:rPr>
        <w:t>Selier, J., Slotow, R., &amp; Di Minin, E. (2015). Large mammal distribution in a Transfrontier Landscape: trade‐offs between resource availability and human disturbance. Biotropica, 47(3), 389-397.</w:t>
      </w:r>
      <w:r>
        <w:rPr>
          <w:rFonts w:hint="eastAsia" w:ascii="Times New Roman" w:hAnsi="Times New Roman" w:cs="Times New Roman"/>
          <w:szCs w:val="21"/>
        </w:rPr>
        <w:t xml:space="preserve"> https://doi.org/10.1111/btp.12217</w:t>
      </w:r>
    </w:p>
    <w:p w14:paraId="022FB50B">
      <w:pPr>
        <w:pStyle w:val="17"/>
        <w:spacing w:line="480" w:lineRule="auto"/>
        <w:ind w:left="420" w:hanging="420" w:hangingChars="200"/>
        <w:rPr>
          <w:rFonts w:hint="default" w:ascii="Times New Roman" w:hAnsi="Times New Roman" w:cs="Times New Roman" w:eastAsiaTheme="minorEastAsia"/>
          <w:szCs w:val="21"/>
          <w:lang w:val="en-US" w:eastAsia="zh-CN"/>
        </w:rPr>
      </w:pPr>
      <w:r>
        <w:rPr>
          <w:rFonts w:hint="default" w:ascii="Times New Roman" w:hAnsi="Times New Roman" w:cs="Times New Roman"/>
          <w:szCs w:val="21"/>
        </w:rPr>
        <w:t>Senay, S. D., Worner, S. P., &amp; Ikeda, T. (2013). Novel three-step pseudo-absence selection technique for improved species distribution modelling. PloS one, 8(8), e71218.</w:t>
      </w:r>
      <w:r>
        <w:rPr>
          <w:rFonts w:hint="default" w:ascii="Times New Roman" w:hAnsi="Times New Roman" w:cs="Times New Roman"/>
          <w:szCs w:val="21"/>
          <w:lang w:val="en-US" w:eastAsia="zh-CN"/>
        </w:rPr>
        <w:t xml:space="preserve"> https://doi.org/10.1371/journal.pone.0071218</w:t>
      </w:r>
    </w:p>
    <w:p w14:paraId="37545AD8">
      <w:pPr>
        <w:pStyle w:val="17"/>
        <w:spacing w:line="480" w:lineRule="auto"/>
        <w:ind w:left="420" w:hanging="420" w:hangingChars="200"/>
        <w:rPr>
          <w:rFonts w:hint="eastAsia" w:ascii="Times New Roman" w:hAnsi="Times New Roman" w:cs="Times New Roman"/>
          <w:szCs w:val="21"/>
        </w:rPr>
      </w:pPr>
      <w:r>
        <w:rPr>
          <w:rFonts w:hint="eastAsia" w:ascii="Times New Roman" w:hAnsi="Times New Roman" w:cs="Times New Roman"/>
          <w:szCs w:val="21"/>
        </w:rPr>
        <w:t>White, J. G., Sparrius, J., Robinson, T., Hale, S., Lupone, L., Healey, T., ... &amp; Rendall, A. R. (2022). Can NDVI identify drought refugia for mammals and birds in mesic landscapes?. Science of the Total Environment, 851, 158318. https://doi.org/10.1016/j.scitotenv.2022.158318</w:t>
      </w:r>
    </w:p>
    <w:p w14:paraId="5D07BCB6">
      <w:pPr>
        <w:pStyle w:val="17"/>
        <w:spacing w:line="480" w:lineRule="auto"/>
        <w:ind w:left="420" w:hanging="420" w:hangingChars="200"/>
        <w:rPr>
          <w:rFonts w:hint="eastAsia" w:ascii="Times New Roman" w:hAnsi="Times New Roman" w:cs="Times New Roman" w:eastAsiaTheme="minorEastAsia"/>
          <w:szCs w:val="21"/>
          <w:lang w:val="en-US" w:eastAsia="zh-CN"/>
        </w:rPr>
      </w:pPr>
      <w:r>
        <w:rPr>
          <w:rFonts w:hint="eastAsia" w:ascii="Times New Roman" w:hAnsi="Times New Roman" w:cs="Times New Roman"/>
          <w:szCs w:val="21"/>
        </w:rPr>
        <w:t>Yang, W., Ma, Y., Jing, L., Wang, S., Sun, Z., Tang, Y., &amp; Li, H. (2022). Differential impacts of climatic and land use changes on habitat suitability and protected area adequacy across the Asian elephant’s range. Sustainability, 14(9), 4933.</w:t>
      </w:r>
      <w:r>
        <w:rPr>
          <w:rFonts w:hint="eastAsia" w:ascii="Times New Roman" w:hAnsi="Times New Roman" w:cs="Times New Roman"/>
          <w:szCs w:val="21"/>
          <w:lang w:val="en-US" w:eastAsia="zh-CN"/>
        </w:rPr>
        <w:t xml:space="preserve"> https://doi.org/10.3390/su14094933</w:t>
      </w:r>
    </w:p>
    <w:p w14:paraId="3A2DECC8">
      <w:pPr>
        <w:pStyle w:val="17"/>
        <w:spacing w:line="480" w:lineRule="auto"/>
        <w:ind w:left="420" w:hanging="420" w:hangingChars="200"/>
        <w:rPr>
          <w:rFonts w:ascii="Times New Roman" w:hAnsi="Times New Roman" w:cs="Times New Roman"/>
          <w:szCs w:val="21"/>
        </w:rPr>
      </w:pPr>
      <w:r>
        <w:rPr>
          <w:rFonts w:ascii="Times New Roman" w:hAnsi="Times New Roman" w:cs="Times New Roman"/>
          <w:szCs w:val="21"/>
        </w:rPr>
        <w:t>Zhang, J., Li, S., &amp; Wang, L. (2022). Identifying ecological corridors for the Chinese ecological conservation redline in the Qinling-Daba Mountains. PLOS ONE, 17(7), e0271076. https://doi.org/10.1371/journal.pone.0271076</w:t>
      </w:r>
    </w:p>
    <w:p w14:paraId="0EE19192"/>
    <w:p w14:paraId="7E9A4A8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CA1D0"/>
    <w:multiLevelType w:val="singleLevel"/>
    <w:tmpl w:val="9B2CA1D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063"/>
    <w:rsid w:val="00044044"/>
    <w:rsid w:val="00044A62"/>
    <w:rsid w:val="00713D6B"/>
    <w:rsid w:val="008B7063"/>
    <w:rsid w:val="00E35652"/>
    <w:rsid w:val="00E91F4E"/>
    <w:rsid w:val="00F659C3"/>
    <w:rsid w:val="0374238F"/>
    <w:rsid w:val="03C84489"/>
    <w:rsid w:val="04847DC6"/>
    <w:rsid w:val="04E86B91"/>
    <w:rsid w:val="05B13426"/>
    <w:rsid w:val="0607573C"/>
    <w:rsid w:val="0730481F"/>
    <w:rsid w:val="077A51D1"/>
    <w:rsid w:val="077B3B62"/>
    <w:rsid w:val="07EA78F4"/>
    <w:rsid w:val="080737D2"/>
    <w:rsid w:val="08964B56"/>
    <w:rsid w:val="0D5638AC"/>
    <w:rsid w:val="0E2D7D0A"/>
    <w:rsid w:val="0F182768"/>
    <w:rsid w:val="0FCE0E92"/>
    <w:rsid w:val="10DE6CB5"/>
    <w:rsid w:val="10E24168"/>
    <w:rsid w:val="11382940"/>
    <w:rsid w:val="11E7231F"/>
    <w:rsid w:val="135D31B3"/>
    <w:rsid w:val="13C94031"/>
    <w:rsid w:val="145853B5"/>
    <w:rsid w:val="14D94F2D"/>
    <w:rsid w:val="159E5735"/>
    <w:rsid w:val="15DB7725"/>
    <w:rsid w:val="16263800"/>
    <w:rsid w:val="16565924"/>
    <w:rsid w:val="16730284"/>
    <w:rsid w:val="17375756"/>
    <w:rsid w:val="173B6B5F"/>
    <w:rsid w:val="187D6144"/>
    <w:rsid w:val="192F4936"/>
    <w:rsid w:val="198D78AF"/>
    <w:rsid w:val="1A490E9F"/>
    <w:rsid w:val="1A9D5010"/>
    <w:rsid w:val="1AEF29EC"/>
    <w:rsid w:val="1B356450"/>
    <w:rsid w:val="1C4D75DD"/>
    <w:rsid w:val="1E733517"/>
    <w:rsid w:val="1EA5569B"/>
    <w:rsid w:val="20CE2C87"/>
    <w:rsid w:val="215238B8"/>
    <w:rsid w:val="222B4109"/>
    <w:rsid w:val="22806203"/>
    <w:rsid w:val="239A1063"/>
    <w:rsid w:val="23EF4818"/>
    <w:rsid w:val="25A052DE"/>
    <w:rsid w:val="26663961"/>
    <w:rsid w:val="26CF2225"/>
    <w:rsid w:val="27060F5C"/>
    <w:rsid w:val="278A18D2"/>
    <w:rsid w:val="27954531"/>
    <w:rsid w:val="28925426"/>
    <w:rsid w:val="28940C5A"/>
    <w:rsid w:val="28C66939"/>
    <w:rsid w:val="28E37B92"/>
    <w:rsid w:val="28FE60D3"/>
    <w:rsid w:val="2ADB491E"/>
    <w:rsid w:val="2AF74A05"/>
    <w:rsid w:val="2C5614FF"/>
    <w:rsid w:val="2C864D5D"/>
    <w:rsid w:val="2D26209C"/>
    <w:rsid w:val="2D2F2BE6"/>
    <w:rsid w:val="2F786AD8"/>
    <w:rsid w:val="33550FE6"/>
    <w:rsid w:val="33F153DA"/>
    <w:rsid w:val="34885AF7"/>
    <w:rsid w:val="34AA2C62"/>
    <w:rsid w:val="37B95FE7"/>
    <w:rsid w:val="37D50947"/>
    <w:rsid w:val="384635F3"/>
    <w:rsid w:val="39FF5A77"/>
    <w:rsid w:val="3A3C5316"/>
    <w:rsid w:val="3AF410A3"/>
    <w:rsid w:val="3B5372C2"/>
    <w:rsid w:val="3B95163B"/>
    <w:rsid w:val="3C0F74D0"/>
    <w:rsid w:val="3C402634"/>
    <w:rsid w:val="3C4A1903"/>
    <w:rsid w:val="3CC72F54"/>
    <w:rsid w:val="3CC93C3E"/>
    <w:rsid w:val="3CD15B32"/>
    <w:rsid w:val="3D703ABF"/>
    <w:rsid w:val="3EC15781"/>
    <w:rsid w:val="3F3643C1"/>
    <w:rsid w:val="3F4A7E6C"/>
    <w:rsid w:val="40713CC5"/>
    <w:rsid w:val="41275D9E"/>
    <w:rsid w:val="423E5B89"/>
    <w:rsid w:val="43811983"/>
    <w:rsid w:val="439D4A0F"/>
    <w:rsid w:val="44006D4C"/>
    <w:rsid w:val="455E5025"/>
    <w:rsid w:val="45965BB9"/>
    <w:rsid w:val="45F262DF"/>
    <w:rsid w:val="46D324F5"/>
    <w:rsid w:val="478B4B7E"/>
    <w:rsid w:val="47DA175F"/>
    <w:rsid w:val="47E744AA"/>
    <w:rsid w:val="48091C30"/>
    <w:rsid w:val="4A7569FF"/>
    <w:rsid w:val="4B2B6DA4"/>
    <w:rsid w:val="4B616C05"/>
    <w:rsid w:val="4C8A2C42"/>
    <w:rsid w:val="4CC224F8"/>
    <w:rsid w:val="4D761E2D"/>
    <w:rsid w:val="4EBB3F9B"/>
    <w:rsid w:val="4FD5578C"/>
    <w:rsid w:val="50392A43"/>
    <w:rsid w:val="509F3C1A"/>
    <w:rsid w:val="51624BA2"/>
    <w:rsid w:val="534704F3"/>
    <w:rsid w:val="542D76E9"/>
    <w:rsid w:val="551B39E5"/>
    <w:rsid w:val="56150435"/>
    <w:rsid w:val="566E223B"/>
    <w:rsid w:val="56A90A29"/>
    <w:rsid w:val="570861EB"/>
    <w:rsid w:val="57BB2CD5"/>
    <w:rsid w:val="5A1B0365"/>
    <w:rsid w:val="5ACF3BAB"/>
    <w:rsid w:val="5B197FBB"/>
    <w:rsid w:val="5BFD2097"/>
    <w:rsid w:val="5D0571AA"/>
    <w:rsid w:val="5E5835B4"/>
    <w:rsid w:val="5F066C9A"/>
    <w:rsid w:val="5F85480A"/>
    <w:rsid w:val="61E02EEC"/>
    <w:rsid w:val="623F6839"/>
    <w:rsid w:val="625340EE"/>
    <w:rsid w:val="64074337"/>
    <w:rsid w:val="65E6594A"/>
    <w:rsid w:val="66C13CC1"/>
    <w:rsid w:val="68C9360B"/>
    <w:rsid w:val="6926275E"/>
    <w:rsid w:val="6A3E4364"/>
    <w:rsid w:val="6B3C21FD"/>
    <w:rsid w:val="6CC42CD0"/>
    <w:rsid w:val="6CCF79F5"/>
    <w:rsid w:val="6E31797E"/>
    <w:rsid w:val="6E891746"/>
    <w:rsid w:val="6FA80114"/>
    <w:rsid w:val="724E6D50"/>
    <w:rsid w:val="733C0236"/>
    <w:rsid w:val="7355410F"/>
    <w:rsid w:val="73764481"/>
    <w:rsid w:val="751A116C"/>
    <w:rsid w:val="77AF64E3"/>
    <w:rsid w:val="78C338C8"/>
    <w:rsid w:val="79132AA2"/>
    <w:rsid w:val="7CDB5685"/>
    <w:rsid w:val="7F2642F5"/>
    <w:rsid w:val="7F40038D"/>
    <w:rsid w:val="7FEC7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Times New Roman" w:hAnsi="Times New Roman" w:eastAsia="黑体"/>
      <w:b/>
      <w:sz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ody Text"/>
    <w:basedOn w:val="1"/>
    <w:qFormat/>
    <w:uiPriority w:val="1"/>
    <w:rPr>
      <w:rFonts w:ascii="Times New Roman" w:hAnsi="Times New Roman" w:eastAsia="Times New Roman" w:cs="Times New Roman"/>
      <w:sz w:val="24"/>
      <w:lang w:eastAsia="en-US"/>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7">
    <w:name w:val="Normal (Web)"/>
    <w:qFormat/>
    <w:uiPriority w:val="0"/>
    <w:pPr>
      <w:widowControl w:val="0"/>
      <w:spacing w:beforeAutospacing="1" w:afterAutospacing="1"/>
    </w:pPr>
    <w:rPr>
      <w:rFonts w:cs="Times New Roman" w:asciiTheme="minorHAnsi" w:hAnsiTheme="minorHAnsi" w:eastAsiaTheme="minorEastAsia"/>
      <w:sz w:val="24"/>
      <w:szCs w:val="22"/>
      <w:lang w:val="en-US" w:eastAsia="zh-CN" w:bidi="ar-SA"/>
    </w:rPr>
  </w:style>
  <w:style w:type="paragraph" w:styleId="8">
    <w:name w:val="Title"/>
    <w:basedOn w:val="1"/>
    <w:qFormat/>
    <w:uiPriority w:val="1"/>
    <w:pPr>
      <w:spacing w:before="60"/>
      <w:ind w:left="120"/>
    </w:pPr>
    <w:rPr>
      <w:rFonts w:ascii="Times New Roman" w:hAnsi="Times New Roman" w:eastAsia="Times New Roman" w:cs="Times New Roman"/>
      <w:sz w:val="36"/>
      <w:szCs w:val="36"/>
      <w:lang w:eastAsia="en-US"/>
    </w:rPr>
  </w:style>
  <w:style w:type="paragraph" w:styleId="9">
    <w:name w:val="annotation subject"/>
    <w:basedOn w:val="4"/>
    <w:next w:val="4"/>
    <w:link w:val="20"/>
    <w:qFormat/>
    <w:uiPriority w:val="0"/>
    <w:pPr>
      <w:jc w:val="both"/>
    </w:pPr>
    <w:rPr>
      <w:b/>
      <w:bCs/>
      <w:sz w:val="20"/>
      <w:szCs w:val="20"/>
    </w:rPr>
  </w:style>
  <w:style w:type="table" w:styleId="11">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 w:type="character" w:styleId="16">
    <w:name w:val="annotation reference"/>
    <w:basedOn w:val="12"/>
    <w:qFormat/>
    <w:uiPriority w:val="0"/>
    <w:rPr>
      <w:sz w:val="16"/>
      <w:szCs w:val="16"/>
    </w:rPr>
  </w:style>
  <w:style w:type="paragraph" w:customStyle="1" w:styleId="17">
    <w:name w:val="书目1"/>
    <w:basedOn w:val="1"/>
    <w:next w:val="1"/>
    <w:unhideWhenUsed/>
    <w:qFormat/>
    <w:uiPriority w:val="37"/>
    <w:pPr>
      <w:ind w:left="720" w:hanging="720"/>
    </w:pPr>
  </w:style>
  <w:style w:type="paragraph" w:customStyle="1" w:styleId="18">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9">
    <w:name w:val="Comment Text Char"/>
    <w:basedOn w:val="12"/>
    <w:link w:val="4"/>
    <w:qFormat/>
    <w:uiPriority w:val="0"/>
    <w:rPr>
      <w:rFonts w:asciiTheme="minorHAnsi" w:hAnsiTheme="minorHAnsi" w:eastAsiaTheme="minorEastAsia" w:cstheme="minorBidi"/>
      <w:kern w:val="2"/>
      <w:sz w:val="21"/>
      <w:szCs w:val="24"/>
      <w:lang w:val="en-US" w:eastAsia="zh-CN"/>
    </w:rPr>
  </w:style>
  <w:style w:type="character" w:customStyle="1" w:styleId="20">
    <w:name w:val="Comment Subject Char"/>
    <w:basedOn w:val="19"/>
    <w:link w:val="9"/>
    <w:qFormat/>
    <w:uiPriority w:val="0"/>
    <w:rPr>
      <w:rFonts w:asciiTheme="minorHAnsi" w:hAnsiTheme="minorHAnsi" w:eastAsiaTheme="minorEastAsia" w:cstheme="minorBidi"/>
      <w:b/>
      <w:bCs/>
      <w:kern w:val="2"/>
      <w:sz w:val="21"/>
      <w:szCs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image" Target="media/image15.png"/><Relationship Id="rId30" Type="http://schemas.openxmlformats.org/officeDocument/2006/relationships/image" Target="media/image14.wmf"/><Relationship Id="rId3" Type="http://schemas.openxmlformats.org/officeDocument/2006/relationships/theme" Target="theme/theme1.xml"/><Relationship Id="rId29" Type="http://schemas.openxmlformats.org/officeDocument/2006/relationships/oleObject" Target="embeddings/oleObject13.bin"/><Relationship Id="rId28" Type="http://schemas.openxmlformats.org/officeDocument/2006/relationships/image" Target="media/image13.wmf"/><Relationship Id="rId27" Type="http://schemas.openxmlformats.org/officeDocument/2006/relationships/oleObject" Target="embeddings/oleObject12.bin"/><Relationship Id="rId26" Type="http://schemas.openxmlformats.org/officeDocument/2006/relationships/image" Target="media/image12.wmf"/><Relationship Id="rId25" Type="http://schemas.openxmlformats.org/officeDocument/2006/relationships/oleObject" Target="embeddings/oleObject11.bin"/><Relationship Id="rId24" Type="http://schemas.openxmlformats.org/officeDocument/2006/relationships/image" Target="media/image11.wmf"/><Relationship Id="rId23" Type="http://schemas.openxmlformats.org/officeDocument/2006/relationships/oleObject" Target="embeddings/oleObject10.bin"/><Relationship Id="rId22" Type="http://schemas.openxmlformats.org/officeDocument/2006/relationships/image" Target="media/image10.wmf"/><Relationship Id="rId21" Type="http://schemas.openxmlformats.org/officeDocument/2006/relationships/oleObject" Target="embeddings/oleObject9.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oleObject" Target="embeddings/oleObject7.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oleObject" Target="embeddings/oleObject6.bin"/><Relationship Id="rId14" Type="http://schemas.openxmlformats.org/officeDocument/2006/relationships/image" Target="media/image6.wmf"/><Relationship Id="rId13" Type="http://schemas.openxmlformats.org/officeDocument/2006/relationships/oleObject" Target="embeddings/oleObject5.bin"/><Relationship Id="rId12" Type="http://schemas.openxmlformats.org/officeDocument/2006/relationships/image" Target="media/image5.jpeg"/><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2148</Words>
  <Characters>13374</Characters>
  <Lines>178</Lines>
  <Paragraphs>50</Paragraphs>
  <TotalTime>2</TotalTime>
  <ScaleCrop>false</ScaleCrop>
  <LinksUpToDate>false</LinksUpToDate>
  <CharactersWithSpaces>15367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2025-02-10T22:10:00Z</dcterms:created>
  <dc:creator>admin</dc:creator>
  <cp:lastModifiedBy>Arti</cp:lastModifiedBy>
  <dcterms:modified xsi:type="dcterms:W3CDTF">2025-08-29T10:05:34Z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eyJoZGlkIjoiMGU3ODU4MDM0NzliOGZiNjlmZTNiN2E1M2M0YzYzOTIiLCJ1c2VySWQiOiIxMjE0NzMwMDM3In0=</vt:lpwstr>
  </property>
  <property fmtid="{D5CDD505-2E9C-101B-9397-08002B2CF9AE}" pid="4" name="ICV">
    <vt:lpwstr>41951D1D1C014C5F93A54536A5E93D0E_13</vt:lpwstr>
  </property>
  <property fmtid="{D5CDD505-2E9C-101B-9397-08002B2CF9AE}" pid="5" name="AMWinEqns">
    <vt:bool>true</vt:bool>
  </property>
</Properties>
</file>