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line="480" w:lineRule="auto"/>
        <w:rPr>
          <w:b/>
          <w:bCs/>
          <w:lang w:val="en-GB"/>
        </w:rPr>
      </w:pPr>
      <w:r>
        <w:rPr>
          <w:b/>
          <w:bCs/>
          <w:lang w:val="en-GB"/>
        </w:rPr>
        <w:t xml:space="preserve">Supplementary material for: </w:t>
      </w:r>
      <w:bookmarkStart w:id="0" w:name="_Hlk207870002"/>
      <w:r>
        <w:rPr>
          <w:lang w:val="en-GB"/>
        </w:rPr>
        <w:t xml:space="preserve">Human food sources </w:t>
      </w:r>
      <w:proofErr w:type="gramStart"/>
      <w:r>
        <w:rPr>
          <w:lang w:val="en-GB"/>
        </w:rPr>
        <w:t>shape</w:t>
      </w:r>
      <w:proofErr w:type="gramEnd"/>
      <w:r>
        <w:rPr>
          <w:lang w:val="en-GB"/>
        </w:rPr>
        <w:t xml:space="preserve"> routine movements across elevational gradients in an alpine bird</w:t>
      </w:r>
    </w:p>
    <w:p>
      <w:pPr>
        <w:spacing w:line="480" w:lineRule="auto"/>
        <w:rPr>
          <w:rFonts w:cstheme="minorHAnsi"/>
          <w:vertAlign w:val="superscript"/>
          <w:lang w:val="en-GB"/>
        </w:rPr>
      </w:pPr>
      <w:bookmarkStart w:id="1" w:name="_Hlk207869985"/>
      <w:bookmarkEnd w:id="0"/>
      <w:r>
        <w:rPr>
          <w:rFonts w:cstheme="minorHAnsi"/>
          <w:lang w:val="en-GB"/>
        </w:rPr>
        <w:t>Kristina B. Beck</w:t>
      </w:r>
      <w:r>
        <w:rPr>
          <w:rFonts w:cstheme="minorHAnsi"/>
          <w:vertAlign w:val="superscript"/>
          <w:lang w:val="en-GB"/>
        </w:rPr>
        <w:t>1*</w:t>
      </w:r>
      <w:r>
        <w:rPr>
          <w:rFonts w:cstheme="minorHAnsi"/>
          <w:lang w:val="en-GB"/>
        </w:rPr>
        <w:t>, Matthias-Claudio Loretto</w:t>
      </w:r>
      <w:r>
        <w:rPr>
          <w:rFonts w:cstheme="minorHAnsi"/>
          <w:vertAlign w:val="superscript"/>
          <w:lang w:val="en-GB"/>
        </w:rPr>
        <w:t>2</w:t>
      </w:r>
      <w:r>
        <w:rPr>
          <w:rFonts w:cstheme="minorHAnsi"/>
          <w:lang w:val="en-GB"/>
        </w:rPr>
        <w:t>, Thomas Müller</w:t>
      </w:r>
      <w:r>
        <w:rPr>
          <w:rFonts w:cstheme="minorHAnsi"/>
          <w:vertAlign w:val="superscript"/>
          <w:lang w:val="en-GB"/>
        </w:rPr>
        <w:t>1,3</w:t>
      </w:r>
    </w:p>
    <w:p>
      <w:pPr>
        <w:spacing w:after="0" w:line="480" w:lineRule="auto"/>
        <w:rPr>
          <w:rFonts w:cstheme="minorHAnsi"/>
          <w:lang w:val="en-GB"/>
        </w:rPr>
      </w:pPr>
      <w:r>
        <w:rPr>
          <w:rFonts w:cstheme="minorHAnsi"/>
          <w:bCs/>
          <w:color w:val="000000" w:themeColor="text1"/>
          <w:vertAlign w:val="superscript"/>
          <w:lang w:val="en-GB"/>
        </w:rPr>
        <w:t>1</w:t>
      </w:r>
      <w:r>
        <w:rPr>
          <w:rFonts w:cstheme="minorHAnsi"/>
          <w:bCs/>
          <w:lang w:val="en-GB"/>
        </w:rPr>
        <w:t xml:space="preserve"> </w:t>
      </w:r>
      <w:proofErr w:type="spellStart"/>
      <w:r>
        <w:rPr>
          <w:rFonts w:cstheme="minorHAnsi"/>
          <w:bCs/>
          <w:lang w:val="en-GB"/>
        </w:rPr>
        <w:t>Senckenberg</w:t>
      </w:r>
      <w:proofErr w:type="spellEnd"/>
      <w:r>
        <w:rPr>
          <w:rFonts w:cstheme="minorHAnsi"/>
          <w:lang w:val="en-GB"/>
        </w:rPr>
        <w:t xml:space="preserve"> Biodiversity and Climate Research Centre, Frankfurt am Main, Germany</w:t>
      </w:r>
    </w:p>
    <w:p>
      <w:pPr>
        <w:spacing w:after="0" w:line="480" w:lineRule="auto"/>
        <w:rPr>
          <w:rFonts w:cstheme="minorHAnsi"/>
          <w:lang w:val="en-GB"/>
        </w:rPr>
      </w:pPr>
      <w:r>
        <w:rPr>
          <w:rFonts w:cstheme="minorHAnsi"/>
          <w:vertAlign w:val="superscript"/>
          <w:lang w:val="en-GB"/>
        </w:rPr>
        <w:t>2</w:t>
      </w:r>
      <w:r>
        <w:rPr>
          <w:rFonts w:cstheme="minorHAnsi"/>
          <w:lang w:val="en-GB"/>
        </w:rPr>
        <w:t xml:space="preserve"> Research Institute of Wildlife Ecology, Department of Interdisciplinary Life Sciences, University of Veterinary Medicine, Vienna, Austria</w:t>
      </w:r>
    </w:p>
    <w:p>
      <w:pPr>
        <w:pStyle w:val="NormalWeb"/>
        <w:spacing w:after="0" w:line="480" w:lineRule="auto"/>
        <w:rPr>
          <w:rFonts w:asciiTheme="minorHAnsi" w:hAnsiTheme="minorHAnsi" w:cstheme="minorHAnsi"/>
          <w:color w:val="000000"/>
          <w:sz w:val="22"/>
          <w:szCs w:val="22"/>
        </w:rPr>
      </w:pPr>
      <w:r>
        <w:rPr>
          <w:rFonts w:asciiTheme="minorHAnsi" w:hAnsiTheme="minorHAnsi" w:cstheme="minorHAnsi"/>
          <w:color w:val="000000"/>
          <w:sz w:val="22"/>
          <w:szCs w:val="22"/>
          <w:vertAlign w:val="superscript"/>
        </w:rPr>
        <w:t>3</w:t>
      </w:r>
      <w:r>
        <w:rPr>
          <w:rFonts w:asciiTheme="minorHAnsi" w:hAnsiTheme="minorHAnsi" w:cstheme="minorHAnsi"/>
          <w:color w:val="000000"/>
          <w:sz w:val="22"/>
          <w:szCs w:val="22"/>
        </w:rPr>
        <w:t xml:space="preserve"> Department of Biological Sciences, Goethe University Frankfurt, Frankfurt am Main, Germany</w:t>
      </w:r>
    </w:p>
    <w:p>
      <w:pPr>
        <w:pStyle w:val="NormalWeb"/>
        <w:spacing w:after="0" w:line="480"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proofErr w:type="gramStart"/>
      <w:r>
        <w:rPr>
          <w:rFonts w:asciiTheme="minorHAnsi" w:hAnsiTheme="minorHAnsi" w:cstheme="minorHAnsi"/>
          <w:color w:val="000000"/>
          <w:sz w:val="22"/>
          <w:szCs w:val="22"/>
        </w:rPr>
        <w:t>corresponding</w:t>
      </w:r>
      <w:proofErr w:type="gramEnd"/>
      <w:r>
        <w:rPr>
          <w:rFonts w:asciiTheme="minorHAnsi" w:hAnsiTheme="minorHAnsi" w:cstheme="minorHAnsi"/>
          <w:color w:val="000000"/>
          <w:sz w:val="22"/>
          <w:szCs w:val="22"/>
        </w:rPr>
        <w:t xml:space="preserve"> author: kbbeck.mail@gmail.com</w:t>
      </w:r>
    </w:p>
    <w:bookmarkEnd w:id="1"/>
    <w:p>
      <w:pPr>
        <w:rPr>
          <w:lang w:val="en-GB"/>
        </w:rPr>
      </w:pPr>
    </w:p>
    <w:p>
      <w:pPr>
        <w:rPr>
          <w:lang w:val="en-GB"/>
        </w:rPr>
      </w:pPr>
    </w:p>
    <w:p>
      <w:pPr>
        <w:rPr>
          <w:lang w:val="en-GB"/>
        </w:rPr>
      </w:pPr>
    </w:p>
    <w:p>
      <w:pPr>
        <w:rPr>
          <w:lang w:val="en-GB"/>
        </w:rPr>
      </w:pPr>
    </w:p>
    <w:p>
      <w:pPr>
        <w:rPr>
          <w:lang w:val="en-GB"/>
        </w:rPr>
      </w:pPr>
      <w:r>
        <w:rPr>
          <w:noProof/>
          <w:lang w:val="en-GB"/>
        </w:rPr>
        <w:drawing>
          <wp:inline distT="0" distB="0" distL="0" distR="0">
            <wp:extent cx="4025900" cy="33549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026656" cy="3355547"/>
                    </a:xfrm>
                    <a:prstGeom prst="rect">
                      <a:avLst/>
                    </a:prstGeom>
                    <a:noFill/>
                    <a:ln>
                      <a:noFill/>
                    </a:ln>
                  </pic:spPr>
                </pic:pic>
              </a:graphicData>
            </a:graphic>
          </wp:inline>
        </w:drawing>
      </w:r>
    </w:p>
    <w:p>
      <w:pPr>
        <w:spacing w:line="360" w:lineRule="auto"/>
        <w:rPr>
          <w:lang w:val="en-GB"/>
        </w:rPr>
      </w:pPr>
      <w:r>
        <w:rPr>
          <w:b/>
          <w:bCs/>
          <w:lang w:val="en-GB"/>
        </w:rPr>
        <w:t>Figure S1.</w:t>
      </w:r>
      <w:r>
        <w:rPr>
          <w:lang w:val="en-GB"/>
        </w:rPr>
        <w:t xml:space="preserve"> </w:t>
      </w:r>
      <w:r>
        <w:rPr>
          <w:b/>
          <w:bCs/>
          <w:lang w:val="en-GB"/>
        </w:rPr>
        <w:t>Changes in elevation across months</w:t>
      </w:r>
      <w:r>
        <w:rPr>
          <w:lang w:val="en-GB"/>
        </w:rPr>
        <w:t xml:space="preserve">. The dashed line indicates the chosen threshold of 1200 m </w:t>
      </w:r>
      <w:proofErr w:type="spellStart"/>
      <w:r>
        <w:rPr>
          <w:lang w:val="en-GB"/>
        </w:rPr>
        <w:t>a.s.l</w:t>
      </w:r>
      <w:proofErr w:type="spellEnd"/>
      <w:r>
        <w:rPr>
          <w:lang w:val="en-GB"/>
        </w:rPr>
        <w:t xml:space="preserve">., indicating altitudinal movements. </w:t>
      </w:r>
    </w:p>
    <w:p>
      <w:pPr>
        <w:rPr>
          <w:lang w:val="en-GB"/>
        </w:rPr>
      </w:pPr>
    </w:p>
    <w:p>
      <w:pPr>
        <w:rPr>
          <w:lang w:val="en-GB"/>
        </w:rPr>
      </w:pPr>
    </w:p>
    <w:p>
      <w:pPr>
        <w:rPr>
          <w:lang w:val="en-GB"/>
        </w:rPr>
      </w:pPr>
      <w:r>
        <w:rPr>
          <w:noProof/>
        </w:rPr>
        <w:lastRenderedPageBreak/>
        <w:drawing>
          <wp:inline distT="0" distB="0" distL="0" distR="0">
            <wp:extent cx="5318651" cy="368935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2714" cy="3692169"/>
                    </a:xfrm>
                    <a:prstGeom prst="rect">
                      <a:avLst/>
                    </a:prstGeom>
                    <a:noFill/>
                    <a:ln>
                      <a:noFill/>
                    </a:ln>
                  </pic:spPr>
                </pic:pic>
              </a:graphicData>
            </a:graphic>
          </wp:inline>
        </w:drawing>
      </w:r>
    </w:p>
    <w:p>
      <w:pPr>
        <w:spacing w:line="360" w:lineRule="auto"/>
        <w:rPr>
          <w:lang w:val="en-US"/>
        </w:rPr>
      </w:pPr>
      <w:r>
        <w:rPr>
          <w:b/>
          <w:bCs/>
          <w:lang w:val="en-GB"/>
        </w:rPr>
        <w:t>Figure S2.</w:t>
      </w:r>
      <w:r>
        <w:rPr>
          <w:lang w:val="en-GB"/>
        </w:rPr>
        <w:t xml:space="preserve"> </w:t>
      </w:r>
      <w:r>
        <w:rPr>
          <w:b/>
          <w:bCs/>
        </w:rPr>
        <w:t>Activity range of Alpine choughs during behavioural observations in the town of Berchtesgaden.</w:t>
      </w:r>
      <w:r>
        <w:t xml:space="preserve"> Coloured polygons represent the 50% (red) and 95% (orange) minimum convex polygons (</w:t>
      </w:r>
      <w:proofErr w:type="spellStart"/>
      <w:r>
        <w:t>MCPs</w:t>
      </w:r>
      <w:proofErr w:type="spellEnd"/>
      <w:r>
        <w:t>) derived from the birds' observed spatial locations. Water bodies are shown in blue, while anthropogenic features, including buildings and roads, are shown in black.</w:t>
      </w:r>
      <w:r>
        <w:rPr>
          <w:lang w:val="en-US"/>
        </w:rPr>
        <w:t xml:space="preserve"> </w:t>
      </w:r>
    </w:p>
    <w:p>
      <w:pPr>
        <w:rPr>
          <w:lang w:val="en-GB"/>
        </w:rPr>
      </w:pPr>
    </w:p>
    <w:p>
      <w:pPr>
        <w:rPr>
          <w:lang w:val="en-GB"/>
        </w:rPr>
      </w:pPr>
    </w:p>
    <w:p>
      <w:pPr>
        <w:rPr>
          <w:lang w:val="en-GB"/>
        </w:rPr>
      </w:pPr>
      <w:r>
        <w:rPr>
          <w:noProof/>
        </w:rPr>
        <w:lastRenderedPageBreak/>
        <w:drawing>
          <wp:inline distT="0" distB="0" distL="0" distR="0">
            <wp:extent cx="4770325" cy="55308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76403" cy="5537897"/>
                    </a:xfrm>
                    <a:prstGeom prst="rect">
                      <a:avLst/>
                    </a:prstGeom>
                    <a:noFill/>
                    <a:ln>
                      <a:noFill/>
                    </a:ln>
                  </pic:spPr>
                </pic:pic>
              </a:graphicData>
            </a:graphic>
          </wp:inline>
        </w:drawing>
      </w:r>
      <w:r>
        <w:rPr>
          <w:lang w:val="en-GB"/>
        </w:rPr>
        <w:t xml:space="preserve"> </w:t>
      </w:r>
    </w:p>
    <w:p>
      <w:pPr>
        <w:spacing w:line="360" w:lineRule="auto"/>
        <w:rPr>
          <w:lang w:val="en-GB"/>
        </w:rPr>
      </w:pPr>
      <w:r>
        <w:rPr>
          <w:b/>
          <w:bCs/>
          <w:lang w:val="en-GB"/>
        </w:rPr>
        <w:t>Figure S3.</w:t>
      </w:r>
      <w:r>
        <w:rPr>
          <w:lang w:val="en-GB"/>
        </w:rPr>
        <w:t xml:space="preserve"> </w:t>
      </w:r>
      <w:r>
        <w:rPr>
          <w:b/>
          <w:bCs/>
          <w:lang w:val="en-GB"/>
        </w:rPr>
        <w:t>Activity range estimates for 31 individuals</w:t>
      </w:r>
      <w:r>
        <w:rPr>
          <w:lang w:val="en-GB"/>
        </w:rPr>
        <w:t xml:space="preserve">. Coloured lines represent the 50% Utilization Distribution (UD) for different individuals. Water bodies are shown in blue, anthropogenic structures such as buildings and roads are shown in black. The different shades of grey illustrate changes in elevation. For visualization purposes one individual is not shown. </w:t>
      </w:r>
    </w:p>
    <w:p>
      <w:pPr>
        <w:rPr>
          <w:lang w:val="en-GB"/>
        </w:rPr>
      </w:pPr>
    </w:p>
    <w:p>
      <w:pPr>
        <w:rPr>
          <w:lang w:val="en-GB"/>
        </w:rPr>
      </w:pPr>
    </w:p>
    <w:p>
      <w:pPr>
        <w:rPr>
          <w:lang w:val="en-GB"/>
        </w:rPr>
      </w:pPr>
    </w:p>
    <w:p>
      <w:pPr>
        <w:rPr>
          <w:lang w:val="en-GB"/>
        </w:rPr>
      </w:pPr>
    </w:p>
    <w:p>
      <w:pPr>
        <w:rPr>
          <w:lang w:val="en-GB"/>
        </w:rPr>
      </w:pPr>
    </w:p>
    <w:p>
      <w:pPr>
        <w:rPr>
          <w:lang w:val="en-GB"/>
        </w:rPr>
      </w:pPr>
    </w:p>
    <w:p>
      <w:pPr>
        <w:rPr>
          <w:lang w:val="en-GB"/>
        </w:rPr>
      </w:pPr>
      <w:r>
        <w:rPr>
          <w:noProof/>
        </w:rPr>
        <w:lastRenderedPageBreak/>
        <w:drawing>
          <wp:anchor distT="0" distB="0" distL="114300" distR="114300" simplePos="0" relativeHeight="251658240" behindDoc="0" locked="0" layoutInCell="1" allowOverlap="1">
            <wp:simplePos x="0" y="0"/>
            <wp:positionH relativeFrom="margin">
              <wp:align>left</wp:align>
            </wp:positionH>
            <wp:positionV relativeFrom="paragraph">
              <wp:posOffset>0</wp:posOffset>
            </wp:positionV>
            <wp:extent cx="3937000" cy="6379210"/>
            <wp:effectExtent l="0" t="0" r="6350" b="254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42453" cy="6388168"/>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lang w:val="en-GB"/>
        </w:rPr>
        <w:t>Figure S4</w:t>
      </w:r>
      <w:r>
        <w:rPr>
          <w:lang w:val="en-GB"/>
        </w:rPr>
        <w:t xml:space="preserve">. </w:t>
      </w:r>
      <w:r>
        <w:rPr>
          <w:rFonts w:cstheme="minorHAnsi"/>
          <w:b/>
          <w:bCs/>
          <w:lang w:val="en-GB"/>
        </w:rPr>
        <w:t>Map showing frequently revisited sites</w:t>
      </w:r>
      <w:r>
        <w:rPr>
          <w:rFonts w:cstheme="minorHAnsi"/>
          <w:lang w:val="en-GB"/>
        </w:rPr>
        <w:t xml:space="preserve">. Polygons show the 100% MCPs inferred from the 50% top revisited sites for each individual (different colours for each individual). Water bodies are shown in blue, anthropogenic structures such as buildings and roads are shown in black. The different shades of grey illustrate changes in elevation. </w:t>
      </w:r>
    </w:p>
    <w:p>
      <w:pPr>
        <w:rPr>
          <w:lang w:val="en-GB"/>
        </w:rPr>
      </w:pPr>
    </w:p>
    <w:p>
      <w:pPr>
        <w:rPr>
          <w:lang w:val="en-GB"/>
        </w:rPr>
      </w:pPr>
    </w:p>
    <w:p>
      <w:pPr>
        <w:rPr>
          <w:lang w:val="en-GB"/>
        </w:rPr>
      </w:pPr>
    </w:p>
    <w:p>
      <w:pPr>
        <w:rPr>
          <w:lang w:val="en-GB"/>
        </w:rPr>
      </w:pPr>
    </w:p>
    <w:p>
      <w:pPr>
        <w:rPr>
          <w:lang w:val="en-GB"/>
        </w:rPr>
      </w:pPr>
    </w:p>
    <w:p>
      <w:pPr>
        <w:rPr>
          <w:lang w:val="en-GB"/>
        </w:rPr>
      </w:pPr>
    </w:p>
    <w:p>
      <w:pPr>
        <w:rPr>
          <w:lang w:val="en-GB"/>
        </w:rPr>
      </w:pPr>
    </w:p>
    <w:p>
      <w:pPr>
        <w:rPr>
          <w:lang w:val="en-GB"/>
        </w:rPr>
      </w:pPr>
    </w:p>
    <w:p>
      <w:pPr>
        <w:rPr>
          <w:lang w:val="en-GB"/>
        </w:rPr>
      </w:pPr>
    </w:p>
    <w:p>
      <w:pPr>
        <w:rPr>
          <w:lang w:val="en-GB"/>
        </w:rPr>
      </w:pPr>
    </w:p>
    <w:p>
      <w:pPr>
        <w:rPr>
          <w:lang w:val="en-GB"/>
        </w:rPr>
      </w:pPr>
    </w:p>
    <w:p>
      <w:pPr>
        <w:rPr>
          <w:lang w:val="en-GB"/>
        </w:rPr>
      </w:pPr>
      <w:r>
        <w:rPr>
          <w:noProof/>
          <w:lang w:val="en-GB"/>
        </w:rPr>
        <w:lastRenderedPageBreak/>
        <w:drawing>
          <wp:inline distT="0" distB="0" distL="0" distR="0">
            <wp:extent cx="5731510" cy="3820795"/>
            <wp:effectExtent l="0" t="0" r="254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pPr>
        <w:rPr>
          <w:lang w:val="en-GB"/>
        </w:rPr>
      </w:pPr>
      <w:r>
        <w:rPr>
          <w:b/>
          <w:bCs/>
          <w:lang w:val="en-GB"/>
        </w:rPr>
        <w:t>Figure S5.</w:t>
      </w:r>
      <w:r>
        <w:rPr>
          <w:lang w:val="en-GB"/>
        </w:rPr>
        <w:t xml:space="preserve"> </w:t>
      </w:r>
      <w:r>
        <w:rPr>
          <w:b/>
          <w:bCs/>
          <w:lang w:val="en-GB"/>
        </w:rPr>
        <w:t>Visitation order across the four main human resources</w:t>
      </w:r>
      <w:r>
        <w:rPr>
          <w:lang w:val="en-GB"/>
        </w:rPr>
        <w:t xml:space="preserve">. Shown are the visitation order across one month for four individuals (A-C). Colour represents the four different human resources (A=red, B=green, C=blue, D=lilac). </w:t>
      </w:r>
    </w:p>
    <w:p>
      <w:pPr>
        <w:rPr>
          <w:lang w:val="en-GB"/>
        </w:rPr>
      </w:pPr>
    </w:p>
    <w:p>
      <w:pPr>
        <w:rPr>
          <w:lang w:val="en-GB"/>
        </w:rPr>
      </w:pPr>
    </w:p>
    <w:p>
      <w:pPr>
        <w:rPr>
          <w:lang w:val="en-GB"/>
        </w:rPr>
      </w:pPr>
    </w:p>
    <w:p>
      <w:pPr>
        <w:rPr>
          <w:lang w:val="en-GB"/>
        </w:rPr>
      </w:pPr>
    </w:p>
    <w:p>
      <w:pPr>
        <w:rPr>
          <w:lang w:val="en-GB"/>
        </w:rPr>
      </w:pPr>
    </w:p>
    <w:p>
      <w:pPr>
        <w:spacing w:line="360" w:lineRule="auto"/>
        <w:rPr>
          <w:lang w:val="en-GB"/>
        </w:rPr>
      </w:pPr>
      <w:r>
        <w:rPr>
          <w:b/>
          <w:bCs/>
          <w:lang w:val="en-GB"/>
        </w:rPr>
        <w:t>Table S1.</w:t>
      </w:r>
      <w:r>
        <w:rPr>
          <w:lang w:val="en-GB"/>
        </w:rPr>
        <w:t xml:space="preserve"> Frequency of site revisitations by Alpine choughs, showing the number of times each location (A–D) was visited in first, second, third, and fourth order across revisitation sequences. </w:t>
      </w:r>
    </w:p>
    <w:tbl>
      <w:tblPr>
        <w:tblW w:w="7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6"/>
        <w:gridCol w:w="1508"/>
        <w:gridCol w:w="1508"/>
        <w:gridCol w:w="1508"/>
        <w:gridCol w:w="1510"/>
      </w:tblGrid>
      <w:tr>
        <w:trPr>
          <w:trHeight w:val="280"/>
        </w:trPr>
        <w:tc>
          <w:tcPr>
            <w:tcW w:w="1856" w:type="dxa"/>
            <w:shd w:val="clear" w:color="auto" w:fill="auto"/>
            <w:noWrap/>
            <w:vAlign w:val="center"/>
            <w:hideMark/>
          </w:tcPr>
          <w:p>
            <w:pPr>
              <w:spacing w:after="0" w:line="360" w:lineRule="auto"/>
              <w:rPr>
                <w:rFonts w:ascii="Times New Roman" w:eastAsia="Times New Roman" w:hAnsi="Times New Roman" w:cs="Times New Roman"/>
                <w:sz w:val="24"/>
                <w:szCs w:val="24"/>
                <w:lang w:val="en-GB" w:eastAsia="en-DE"/>
              </w:rPr>
            </w:pPr>
          </w:p>
        </w:tc>
        <w:tc>
          <w:tcPr>
            <w:tcW w:w="6034" w:type="dxa"/>
            <w:gridSpan w:val="4"/>
            <w:shd w:val="clear" w:color="auto" w:fill="auto"/>
            <w:noWrap/>
            <w:vAlign w:val="bottom"/>
            <w:hideMark/>
          </w:tcPr>
          <w:p>
            <w:pPr>
              <w:spacing w:after="0" w:line="360" w:lineRule="auto"/>
              <w:jc w:val="center"/>
              <w:rPr>
                <w:rFonts w:ascii="Times New Roman" w:eastAsia="Times New Roman" w:hAnsi="Times New Roman" w:cs="Times New Roman"/>
                <w:b/>
                <w:bCs/>
                <w:sz w:val="20"/>
                <w:szCs w:val="20"/>
                <w:lang w:val="en-GB" w:eastAsia="en-DE"/>
              </w:rPr>
            </w:pPr>
            <w:r>
              <w:rPr>
                <w:rFonts w:ascii="Calibri" w:eastAsia="Times New Roman" w:hAnsi="Calibri" w:cs="Calibri"/>
                <w:b/>
                <w:bCs/>
                <w:color w:val="000000"/>
                <w:lang w:val="en-GB" w:eastAsia="en-DE"/>
              </w:rPr>
              <w:t>Order</w:t>
            </w:r>
          </w:p>
        </w:tc>
      </w:tr>
      <w:tr>
        <w:trPr>
          <w:trHeight w:val="280"/>
        </w:trPr>
        <w:tc>
          <w:tcPr>
            <w:tcW w:w="1856" w:type="dxa"/>
            <w:shd w:val="clear" w:color="auto" w:fill="auto"/>
            <w:noWrap/>
            <w:vAlign w:val="center"/>
            <w:hideMark/>
          </w:tcPr>
          <w:p>
            <w:pPr>
              <w:spacing w:after="0" w:line="360" w:lineRule="auto"/>
              <w:jc w:val="center"/>
              <w:rPr>
                <w:rFonts w:eastAsia="Times New Roman" w:cstheme="minorHAnsi"/>
                <w:b/>
                <w:bCs/>
                <w:color w:val="000000"/>
                <w:lang w:val="en-GB" w:eastAsia="en-DE"/>
              </w:rPr>
            </w:pPr>
            <w:r>
              <w:rPr>
                <w:rFonts w:eastAsia="Times New Roman" w:cstheme="minorHAnsi"/>
                <w:b/>
                <w:bCs/>
                <w:color w:val="000000"/>
                <w:lang w:val="en-GB" w:eastAsia="en-DE"/>
              </w:rPr>
              <w:t>Location</w:t>
            </w:r>
          </w:p>
        </w:tc>
        <w:tc>
          <w:tcPr>
            <w:tcW w:w="1508" w:type="dxa"/>
            <w:shd w:val="clear" w:color="auto" w:fill="auto"/>
            <w:noWrap/>
            <w:vAlign w:val="bottom"/>
            <w:hideMark/>
          </w:tcPr>
          <w:p>
            <w:pPr>
              <w:spacing w:after="0" w:line="360" w:lineRule="auto"/>
              <w:jc w:val="center"/>
              <w:rPr>
                <w:rFonts w:ascii="Calibri" w:eastAsia="Times New Roman" w:hAnsi="Calibri" w:cs="Calibri"/>
                <w:b/>
                <w:bCs/>
                <w:color w:val="000000"/>
                <w:lang w:val="en-GB" w:eastAsia="en-DE"/>
              </w:rPr>
            </w:pPr>
            <w:r>
              <w:rPr>
                <w:rFonts w:ascii="Calibri" w:eastAsia="Times New Roman" w:hAnsi="Calibri" w:cs="Calibri"/>
                <w:b/>
                <w:bCs/>
                <w:color w:val="000000"/>
                <w:lang w:val="en-GB" w:eastAsia="en-DE"/>
              </w:rPr>
              <w:t>1</w:t>
            </w:r>
          </w:p>
        </w:tc>
        <w:tc>
          <w:tcPr>
            <w:tcW w:w="1508" w:type="dxa"/>
            <w:shd w:val="clear" w:color="auto" w:fill="auto"/>
            <w:noWrap/>
            <w:vAlign w:val="bottom"/>
            <w:hideMark/>
          </w:tcPr>
          <w:p>
            <w:pPr>
              <w:spacing w:after="0" w:line="360" w:lineRule="auto"/>
              <w:jc w:val="center"/>
              <w:rPr>
                <w:rFonts w:ascii="Calibri" w:eastAsia="Times New Roman" w:hAnsi="Calibri" w:cs="Calibri"/>
                <w:b/>
                <w:bCs/>
                <w:color w:val="000000"/>
                <w:lang w:val="en-GB" w:eastAsia="en-DE"/>
              </w:rPr>
            </w:pPr>
            <w:r>
              <w:rPr>
                <w:rFonts w:ascii="Calibri" w:eastAsia="Times New Roman" w:hAnsi="Calibri" w:cs="Calibri"/>
                <w:b/>
                <w:bCs/>
                <w:color w:val="000000"/>
                <w:lang w:val="en-GB" w:eastAsia="en-DE"/>
              </w:rPr>
              <w:t>2</w:t>
            </w:r>
          </w:p>
        </w:tc>
        <w:tc>
          <w:tcPr>
            <w:tcW w:w="1508" w:type="dxa"/>
            <w:shd w:val="clear" w:color="auto" w:fill="auto"/>
            <w:noWrap/>
            <w:vAlign w:val="bottom"/>
            <w:hideMark/>
          </w:tcPr>
          <w:p>
            <w:pPr>
              <w:spacing w:after="0" w:line="360" w:lineRule="auto"/>
              <w:jc w:val="center"/>
              <w:rPr>
                <w:rFonts w:ascii="Calibri" w:eastAsia="Times New Roman" w:hAnsi="Calibri" w:cs="Calibri"/>
                <w:b/>
                <w:bCs/>
                <w:color w:val="000000"/>
                <w:lang w:val="en-GB" w:eastAsia="en-DE"/>
              </w:rPr>
            </w:pPr>
            <w:r>
              <w:rPr>
                <w:rFonts w:ascii="Calibri" w:eastAsia="Times New Roman" w:hAnsi="Calibri" w:cs="Calibri"/>
                <w:b/>
                <w:bCs/>
                <w:color w:val="000000"/>
                <w:lang w:val="en-GB" w:eastAsia="en-DE"/>
              </w:rPr>
              <w:t>3</w:t>
            </w:r>
          </w:p>
        </w:tc>
        <w:tc>
          <w:tcPr>
            <w:tcW w:w="1508" w:type="dxa"/>
            <w:shd w:val="clear" w:color="auto" w:fill="auto"/>
            <w:noWrap/>
            <w:vAlign w:val="bottom"/>
            <w:hideMark/>
          </w:tcPr>
          <w:p>
            <w:pPr>
              <w:spacing w:after="0" w:line="360" w:lineRule="auto"/>
              <w:jc w:val="center"/>
              <w:rPr>
                <w:rFonts w:ascii="Calibri" w:eastAsia="Times New Roman" w:hAnsi="Calibri" w:cs="Calibri"/>
                <w:b/>
                <w:bCs/>
                <w:color w:val="000000"/>
                <w:lang w:val="en-GB" w:eastAsia="en-DE"/>
              </w:rPr>
            </w:pPr>
            <w:r>
              <w:rPr>
                <w:rFonts w:ascii="Calibri" w:eastAsia="Times New Roman" w:hAnsi="Calibri" w:cs="Calibri"/>
                <w:b/>
                <w:bCs/>
                <w:color w:val="000000"/>
                <w:lang w:val="en-GB" w:eastAsia="en-DE"/>
              </w:rPr>
              <w:t>4</w:t>
            </w:r>
          </w:p>
        </w:tc>
      </w:tr>
      <w:tr>
        <w:trPr>
          <w:trHeight w:val="280"/>
        </w:trPr>
        <w:tc>
          <w:tcPr>
            <w:tcW w:w="1856" w:type="dxa"/>
            <w:shd w:val="clear" w:color="auto" w:fill="auto"/>
            <w:noWrap/>
            <w:vAlign w:val="center"/>
            <w:hideMark/>
          </w:tcPr>
          <w:p>
            <w:pPr>
              <w:spacing w:after="0" w:line="360" w:lineRule="auto"/>
              <w:jc w:val="center"/>
              <w:rPr>
                <w:rFonts w:eastAsia="Times New Roman" w:cstheme="minorHAnsi"/>
                <w:b/>
                <w:bCs/>
                <w:color w:val="000000"/>
                <w:lang w:val="en-GB" w:eastAsia="en-DE"/>
              </w:rPr>
            </w:pPr>
            <w:r>
              <w:rPr>
                <w:rFonts w:eastAsia="Times New Roman" w:cstheme="minorHAnsi"/>
                <w:b/>
                <w:bCs/>
                <w:color w:val="000000"/>
                <w:lang w:val="en-GB" w:eastAsia="en-DE"/>
              </w:rPr>
              <w:t>A</w:t>
            </w:r>
          </w:p>
        </w:tc>
        <w:tc>
          <w:tcPr>
            <w:tcW w:w="1508" w:type="dxa"/>
            <w:shd w:val="clear" w:color="auto" w:fill="auto"/>
            <w:noWrap/>
            <w:vAlign w:val="bottom"/>
            <w:hideMark/>
          </w:tcPr>
          <w:p>
            <w:pPr>
              <w:spacing w:after="0" w:line="360" w:lineRule="auto"/>
              <w:jc w:val="center"/>
              <w:rPr>
                <w:rFonts w:ascii="Calibri" w:eastAsia="Times New Roman" w:hAnsi="Calibri" w:cs="Calibri"/>
                <w:color w:val="000000"/>
                <w:lang w:val="en-GB" w:eastAsia="en-DE"/>
              </w:rPr>
            </w:pPr>
            <w:r>
              <w:rPr>
                <w:rFonts w:ascii="Calibri" w:eastAsia="Times New Roman" w:hAnsi="Calibri" w:cs="Calibri"/>
                <w:color w:val="000000"/>
                <w:lang w:val="en-GB" w:eastAsia="en-DE"/>
              </w:rPr>
              <w:t>463 (90%)</w:t>
            </w:r>
          </w:p>
        </w:tc>
        <w:tc>
          <w:tcPr>
            <w:tcW w:w="1508" w:type="dxa"/>
            <w:shd w:val="clear" w:color="auto" w:fill="auto"/>
            <w:noWrap/>
            <w:vAlign w:val="bottom"/>
            <w:hideMark/>
          </w:tcPr>
          <w:p>
            <w:pPr>
              <w:spacing w:after="0" w:line="360" w:lineRule="auto"/>
              <w:jc w:val="center"/>
              <w:rPr>
                <w:rFonts w:ascii="Calibri" w:eastAsia="Times New Roman" w:hAnsi="Calibri" w:cs="Calibri"/>
                <w:color w:val="000000"/>
                <w:lang w:val="en-GB" w:eastAsia="en-DE"/>
              </w:rPr>
            </w:pPr>
            <w:r>
              <w:rPr>
                <w:rFonts w:ascii="Calibri" w:eastAsia="Times New Roman" w:hAnsi="Calibri" w:cs="Calibri"/>
                <w:color w:val="000000"/>
                <w:lang w:val="en-GB" w:eastAsia="en-DE"/>
              </w:rPr>
              <w:t>6 (2%)</w:t>
            </w:r>
          </w:p>
        </w:tc>
        <w:tc>
          <w:tcPr>
            <w:tcW w:w="1508" w:type="dxa"/>
            <w:shd w:val="clear" w:color="auto" w:fill="auto"/>
            <w:noWrap/>
            <w:vAlign w:val="bottom"/>
            <w:hideMark/>
          </w:tcPr>
          <w:p>
            <w:pPr>
              <w:spacing w:after="0" w:line="360" w:lineRule="auto"/>
              <w:jc w:val="center"/>
              <w:rPr>
                <w:rFonts w:ascii="Calibri" w:eastAsia="Times New Roman" w:hAnsi="Calibri" w:cs="Calibri"/>
                <w:color w:val="000000"/>
                <w:lang w:val="en-GB" w:eastAsia="en-DE"/>
              </w:rPr>
            </w:pPr>
            <w:r>
              <w:rPr>
                <w:rFonts w:ascii="Calibri" w:eastAsia="Times New Roman" w:hAnsi="Calibri" w:cs="Calibri"/>
                <w:color w:val="000000"/>
                <w:lang w:val="en-GB" w:eastAsia="en-DE"/>
              </w:rPr>
              <w:t xml:space="preserve">0 </w:t>
            </w:r>
          </w:p>
        </w:tc>
        <w:tc>
          <w:tcPr>
            <w:tcW w:w="1508" w:type="dxa"/>
            <w:shd w:val="clear" w:color="auto" w:fill="auto"/>
            <w:noWrap/>
            <w:vAlign w:val="bottom"/>
            <w:hideMark/>
          </w:tcPr>
          <w:p>
            <w:pPr>
              <w:spacing w:after="0" w:line="360" w:lineRule="auto"/>
              <w:jc w:val="center"/>
              <w:rPr>
                <w:rFonts w:ascii="Calibri" w:eastAsia="Times New Roman" w:hAnsi="Calibri" w:cs="Calibri"/>
                <w:color w:val="000000"/>
                <w:lang w:val="en-GB" w:eastAsia="en-DE"/>
              </w:rPr>
            </w:pPr>
            <w:r>
              <w:rPr>
                <w:rFonts w:ascii="Calibri" w:eastAsia="Times New Roman" w:hAnsi="Calibri" w:cs="Calibri"/>
                <w:color w:val="000000"/>
                <w:lang w:val="en-GB" w:eastAsia="en-DE"/>
              </w:rPr>
              <w:t>0</w:t>
            </w:r>
          </w:p>
        </w:tc>
      </w:tr>
      <w:tr>
        <w:trPr>
          <w:trHeight w:val="280"/>
        </w:trPr>
        <w:tc>
          <w:tcPr>
            <w:tcW w:w="1856" w:type="dxa"/>
            <w:shd w:val="clear" w:color="auto" w:fill="auto"/>
            <w:noWrap/>
            <w:vAlign w:val="center"/>
            <w:hideMark/>
          </w:tcPr>
          <w:p>
            <w:pPr>
              <w:spacing w:after="0" w:line="360" w:lineRule="auto"/>
              <w:jc w:val="center"/>
              <w:rPr>
                <w:rFonts w:eastAsia="Times New Roman" w:cstheme="minorHAnsi"/>
                <w:b/>
                <w:bCs/>
                <w:color w:val="000000"/>
                <w:lang w:val="en-GB" w:eastAsia="en-DE"/>
              </w:rPr>
            </w:pPr>
            <w:r>
              <w:rPr>
                <w:rFonts w:eastAsia="Times New Roman" w:cstheme="minorHAnsi"/>
                <w:b/>
                <w:bCs/>
                <w:color w:val="000000"/>
                <w:lang w:val="en-GB" w:eastAsia="en-DE"/>
              </w:rPr>
              <w:t>B</w:t>
            </w:r>
          </w:p>
        </w:tc>
        <w:tc>
          <w:tcPr>
            <w:tcW w:w="1508" w:type="dxa"/>
            <w:shd w:val="clear" w:color="auto" w:fill="auto"/>
            <w:noWrap/>
            <w:vAlign w:val="bottom"/>
            <w:hideMark/>
          </w:tcPr>
          <w:p>
            <w:pPr>
              <w:spacing w:after="0" w:line="360" w:lineRule="auto"/>
              <w:jc w:val="center"/>
              <w:rPr>
                <w:rFonts w:ascii="Calibri" w:eastAsia="Times New Roman" w:hAnsi="Calibri" w:cs="Calibri"/>
                <w:color w:val="000000"/>
                <w:lang w:val="en-GB" w:eastAsia="en-DE"/>
              </w:rPr>
            </w:pPr>
            <w:r>
              <w:rPr>
                <w:rFonts w:ascii="Calibri" w:eastAsia="Times New Roman" w:hAnsi="Calibri" w:cs="Calibri"/>
                <w:color w:val="000000"/>
                <w:lang w:val="en-GB" w:eastAsia="en-DE"/>
              </w:rPr>
              <w:t>33 (6%)</w:t>
            </w:r>
          </w:p>
        </w:tc>
        <w:tc>
          <w:tcPr>
            <w:tcW w:w="1508" w:type="dxa"/>
            <w:shd w:val="clear" w:color="auto" w:fill="auto"/>
            <w:noWrap/>
            <w:vAlign w:val="bottom"/>
            <w:hideMark/>
          </w:tcPr>
          <w:p>
            <w:pPr>
              <w:spacing w:after="0" w:line="360" w:lineRule="auto"/>
              <w:jc w:val="center"/>
              <w:rPr>
                <w:rFonts w:ascii="Calibri" w:eastAsia="Times New Roman" w:hAnsi="Calibri" w:cs="Calibri"/>
                <w:color w:val="000000"/>
                <w:lang w:val="en-GB" w:eastAsia="en-DE"/>
              </w:rPr>
            </w:pPr>
            <w:r>
              <w:rPr>
                <w:rFonts w:ascii="Calibri" w:eastAsia="Times New Roman" w:hAnsi="Calibri" w:cs="Calibri"/>
                <w:color w:val="000000"/>
                <w:lang w:val="en-GB" w:eastAsia="en-DE"/>
              </w:rPr>
              <w:t>326 (79%)</w:t>
            </w:r>
          </w:p>
        </w:tc>
        <w:tc>
          <w:tcPr>
            <w:tcW w:w="1508" w:type="dxa"/>
            <w:shd w:val="clear" w:color="auto" w:fill="auto"/>
            <w:noWrap/>
            <w:vAlign w:val="bottom"/>
            <w:hideMark/>
          </w:tcPr>
          <w:p>
            <w:pPr>
              <w:spacing w:after="0" w:line="360" w:lineRule="auto"/>
              <w:jc w:val="center"/>
              <w:rPr>
                <w:rFonts w:ascii="Calibri" w:eastAsia="Times New Roman" w:hAnsi="Calibri" w:cs="Calibri"/>
                <w:color w:val="000000"/>
                <w:lang w:val="en-GB" w:eastAsia="en-DE"/>
              </w:rPr>
            </w:pPr>
            <w:r>
              <w:rPr>
                <w:rFonts w:ascii="Calibri" w:eastAsia="Times New Roman" w:hAnsi="Calibri" w:cs="Calibri"/>
                <w:color w:val="000000"/>
                <w:lang w:val="en-GB" w:eastAsia="en-DE"/>
              </w:rPr>
              <w:t>2 (1%)</w:t>
            </w:r>
          </w:p>
        </w:tc>
        <w:tc>
          <w:tcPr>
            <w:tcW w:w="1508" w:type="dxa"/>
            <w:shd w:val="clear" w:color="auto" w:fill="auto"/>
            <w:noWrap/>
            <w:vAlign w:val="bottom"/>
            <w:hideMark/>
          </w:tcPr>
          <w:p>
            <w:pPr>
              <w:spacing w:after="0" w:line="360" w:lineRule="auto"/>
              <w:jc w:val="center"/>
              <w:rPr>
                <w:rFonts w:ascii="Calibri" w:eastAsia="Times New Roman" w:hAnsi="Calibri" w:cs="Calibri"/>
                <w:color w:val="000000"/>
                <w:lang w:val="en-GB" w:eastAsia="en-DE"/>
              </w:rPr>
            </w:pPr>
            <w:r>
              <w:rPr>
                <w:rFonts w:ascii="Calibri" w:eastAsia="Times New Roman" w:hAnsi="Calibri" w:cs="Calibri"/>
                <w:color w:val="000000"/>
                <w:lang w:val="en-GB" w:eastAsia="en-DE"/>
              </w:rPr>
              <w:t>0</w:t>
            </w:r>
          </w:p>
        </w:tc>
      </w:tr>
      <w:tr>
        <w:trPr>
          <w:trHeight w:val="280"/>
        </w:trPr>
        <w:tc>
          <w:tcPr>
            <w:tcW w:w="1856" w:type="dxa"/>
            <w:shd w:val="clear" w:color="auto" w:fill="auto"/>
            <w:noWrap/>
            <w:vAlign w:val="center"/>
            <w:hideMark/>
          </w:tcPr>
          <w:p>
            <w:pPr>
              <w:spacing w:after="0" w:line="360" w:lineRule="auto"/>
              <w:jc w:val="center"/>
              <w:rPr>
                <w:rFonts w:eastAsia="Times New Roman" w:cstheme="minorHAnsi"/>
                <w:b/>
                <w:bCs/>
                <w:color w:val="000000"/>
                <w:lang w:val="en-GB" w:eastAsia="en-DE"/>
              </w:rPr>
            </w:pPr>
            <w:r>
              <w:rPr>
                <w:rFonts w:eastAsia="Times New Roman" w:cstheme="minorHAnsi"/>
                <w:b/>
                <w:bCs/>
                <w:color w:val="000000"/>
                <w:lang w:val="en-GB" w:eastAsia="en-DE"/>
              </w:rPr>
              <w:t>C</w:t>
            </w:r>
          </w:p>
        </w:tc>
        <w:tc>
          <w:tcPr>
            <w:tcW w:w="1508" w:type="dxa"/>
            <w:shd w:val="clear" w:color="auto" w:fill="auto"/>
            <w:noWrap/>
            <w:vAlign w:val="bottom"/>
            <w:hideMark/>
          </w:tcPr>
          <w:p>
            <w:pPr>
              <w:spacing w:after="0" w:line="360" w:lineRule="auto"/>
              <w:jc w:val="center"/>
              <w:rPr>
                <w:rFonts w:ascii="Calibri" w:eastAsia="Times New Roman" w:hAnsi="Calibri" w:cs="Calibri"/>
                <w:color w:val="000000"/>
                <w:lang w:val="en-GB" w:eastAsia="en-DE"/>
              </w:rPr>
            </w:pPr>
            <w:r>
              <w:rPr>
                <w:rFonts w:ascii="Calibri" w:eastAsia="Times New Roman" w:hAnsi="Calibri" w:cs="Calibri"/>
                <w:color w:val="000000"/>
                <w:lang w:val="en-GB" w:eastAsia="en-DE"/>
              </w:rPr>
              <w:t>13 (3%)</w:t>
            </w:r>
          </w:p>
        </w:tc>
        <w:tc>
          <w:tcPr>
            <w:tcW w:w="1508" w:type="dxa"/>
            <w:shd w:val="clear" w:color="auto" w:fill="auto"/>
            <w:noWrap/>
            <w:vAlign w:val="bottom"/>
            <w:hideMark/>
          </w:tcPr>
          <w:p>
            <w:pPr>
              <w:spacing w:after="0" w:line="360" w:lineRule="auto"/>
              <w:jc w:val="center"/>
              <w:rPr>
                <w:rFonts w:ascii="Calibri" w:eastAsia="Times New Roman" w:hAnsi="Calibri" w:cs="Calibri"/>
                <w:color w:val="000000"/>
                <w:lang w:val="en-GB" w:eastAsia="en-DE"/>
              </w:rPr>
            </w:pPr>
            <w:r>
              <w:rPr>
                <w:rFonts w:ascii="Calibri" w:eastAsia="Times New Roman" w:hAnsi="Calibri" w:cs="Calibri"/>
                <w:color w:val="000000"/>
                <w:lang w:val="en-GB" w:eastAsia="en-DE"/>
              </w:rPr>
              <w:t>30 (7%)</w:t>
            </w:r>
          </w:p>
        </w:tc>
        <w:tc>
          <w:tcPr>
            <w:tcW w:w="1508" w:type="dxa"/>
            <w:shd w:val="clear" w:color="auto" w:fill="auto"/>
            <w:noWrap/>
            <w:vAlign w:val="bottom"/>
            <w:hideMark/>
          </w:tcPr>
          <w:p>
            <w:pPr>
              <w:spacing w:after="0" w:line="360" w:lineRule="auto"/>
              <w:jc w:val="center"/>
              <w:rPr>
                <w:rFonts w:ascii="Calibri" w:eastAsia="Times New Roman" w:hAnsi="Calibri" w:cs="Calibri"/>
                <w:color w:val="000000"/>
                <w:lang w:val="en-GB" w:eastAsia="en-DE"/>
              </w:rPr>
            </w:pPr>
            <w:r>
              <w:rPr>
                <w:rFonts w:ascii="Calibri" w:eastAsia="Times New Roman" w:hAnsi="Calibri" w:cs="Calibri"/>
                <w:color w:val="000000"/>
                <w:lang w:val="en-GB" w:eastAsia="en-DE"/>
              </w:rPr>
              <w:t>89 (63%)</w:t>
            </w:r>
          </w:p>
        </w:tc>
        <w:tc>
          <w:tcPr>
            <w:tcW w:w="1508" w:type="dxa"/>
            <w:shd w:val="clear" w:color="auto" w:fill="auto"/>
            <w:noWrap/>
            <w:vAlign w:val="bottom"/>
            <w:hideMark/>
          </w:tcPr>
          <w:p>
            <w:pPr>
              <w:spacing w:after="0" w:line="360" w:lineRule="auto"/>
              <w:jc w:val="center"/>
              <w:rPr>
                <w:rFonts w:ascii="Calibri" w:eastAsia="Times New Roman" w:hAnsi="Calibri" w:cs="Calibri"/>
                <w:color w:val="000000"/>
                <w:lang w:val="en-GB" w:eastAsia="en-DE"/>
              </w:rPr>
            </w:pPr>
            <w:r>
              <w:rPr>
                <w:rFonts w:ascii="Calibri" w:eastAsia="Times New Roman" w:hAnsi="Calibri" w:cs="Calibri"/>
                <w:color w:val="000000"/>
                <w:lang w:val="en-GB" w:eastAsia="en-DE"/>
              </w:rPr>
              <w:t>20 (95%)</w:t>
            </w:r>
          </w:p>
        </w:tc>
      </w:tr>
      <w:tr>
        <w:trPr>
          <w:trHeight w:val="280"/>
        </w:trPr>
        <w:tc>
          <w:tcPr>
            <w:tcW w:w="1856" w:type="dxa"/>
            <w:shd w:val="clear" w:color="auto" w:fill="auto"/>
            <w:noWrap/>
            <w:vAlign w:val="center"/>
            <w:hideMark/>
          </w:tcPr>
          <w:p>
            <w:pPr>
              <w:spacing w:after="0" w:line="360" w:lineRule="auto"/>
              <w:jc w:val="center"/>
              <w:rPr>
                <w:rFonts w:eastAsia="Times New Roman" w:cstheme="minorHAnsi"/>
                <w:b/>
                <w:bCs/>
                <w:color w:val="000000"/>
                <w:lang w:val="en-GB" w:eastAsia="en-DE"/>
              </w:rPr>
            </w:pPr>
            <w:r>
              <w:rPr>
                <w:rFonts w:eastAsia="Times New Roman" w:cstheme="minorHAnsi"/>
                <w:b/>
                <w:bCs/>
                <w:color w:val="000000"/>
                <w:lang w:val="en-GB" w:eastAsia="en-DE"/>
              </w:rPr>
              <w:t>D</w:t>
            </w:r>
          </w:p>
        </w:tc>
        <w:tc>
          <w:tcPr>
            <w:tcW w:w="1508" w:type="dxa"/>
            <w:shd w:val="clear" w:color="auto" w:fill="auto"/>
            <w:noWrap/>
            <w:vAlign w:val="bottom"/>
            <w:hideMark/>
          </w:tcPr>
          <w:p>
            <w:pPr>
              <w:spacing w:after="0" w:line="360" w:lineRule="auto"/>
              <w:jc w:val="center"/>
              <w:rPr>
                <w:rFonts w:ascii="Calibri" w:eastAsia="Times New Roman" w:hAnsi="Calibri" w:cs="Calibri"/>
                <w:color w:val="000000"/>
                <w:lang w:val="en-GB" w:eastAsia="en-DE"/>
              </w:rPr>
            </w:pPr>
            <w:r>
              <w:rPr>
                <w:rFonts w:ascii="Calibri" w:eastAsia="Times New Roman" w:hAnsi="Calibri" w:cs="Calibri"/>
                <w:color w:val="000000"/>
                <w:lang w:val="en-GB" w:eastAsia="en-DE"/>
              </w:rPr>
              <w:t>8 (1%)</w:t>
            </w:r>
          </w:p>
        </w:tc>
        <w:tc>
          <w:tcPr>
            <w:tcW w:w="1508" w:type="dxa"/>
            <w:shd w:val="clear" w:color="auto" w:fill="auto"/>
            <w:noWrap/>
            <w:vAlign w:val="bottom"/>
            <w:hideMark/>
          </w:tcPr>
          <w:p>
            <w:pPr>
              <w:spacing w:after="0" w:line="360" w:lineRule="auto"/>
              <w:jc w:val="center"/>
              <w:rPr>
                <w:rFonts w:ascii="Calibri" w:eastAsia="Times New Roman" w:hAnsi="Calibri" w:cs="Calibri"/>
                <w:color w:val="000000"/>
                <w:lang w:val="en-GB" w:eastAsia="en-DE"/>
              </w:rPr>
            </w:pPr>
            <w:r>
              <w:rPr>
                <w:rFonts w:ascii="Calibri" w:eastAsia="Times New Roman" w:hAnsi="Calibri" w:cs="Calibri"/>
                <w:color w:val="000000"/>
                <w:lang w:val="en-GB" w:eastAsia="en-DE"/>
              </w:rPr>
              <w:t>50 (12%)</w:t>
            </w:r>
          </w:p>
        </w:tc>
        <w:tc>
          <w:tcPr>
            <w:tcW w:w="1508" w:type="dxa"/>
            <w:shd w:val="clear" w:color="auto" w:fill="auto"/>
            <w:noWrap/>
            <w:vAlign w:val="bottom"/>
            <w:hideMark/>
          </w:tcPr>
          <w:p>
            <w:pPr>
              <w:spacing w:after="0" w:line="360" w:lineRule="auto"/>
              <w:jc w:val="center"/>
              <w:rPr>
                <w:rFonts w:ascii="Calibri" w:eastAsia="Times New Roman" w:hAnsi="Calibri" w:cs="Calibri"/>
                <w:color w:val="000000"/>
                <w:lang w:val="en-GB" w:eastAsia="en-DE"/>
              </w:rPr>
            </w:pPr>
            <w:r>
              <w:rPr>
                <w:rFonts w:ascii="Calibri" w:eastAsia="Times New Roman" w:hAnsi="Calibri" w:cs="Calibri"/>
                <w:color w:val="000000"/>
                <w:lang w:val="en-GB" w:eastAsia="en-DE"/>
              </w:rPr>
              <w:t>50 (36%)</w:t>
            </w:r>
          </w:p>
        </w:tc>
        <w:tc>
          <w:tcPr>
            <w:tcW w:w="1508" w:type="dxa"/>
            <w:shd w:val="clear" w:color="auto" w:fill="auto"/>
            <w:noWrap/>
            <w:vAlign w:val="bottom"/>
            <w:hideMark/>
          </w:tcPr>
          <w:p>
            <w:pPr>
              <w:spacing w:after="0" w:line="360" w:lineRule="auto"/>
              <w:jc w:val="center"/>
              <w:rPr>
                <w:rFonts w:ascii="Calibri" w:eastAsia="Times New Roman" w:hAnsi="Calibri" w:cs="Calibri"/>
                <w:color w:val="000000"/>
                <w:lang w:val="en-GB" w:eastAsia="en-DE"/>
              </w:rPr>
            </w:pPr>
            <w:r>
              <w:rPr>
                <w:rFonts w:ascii="Calibri" w:eastAsia="Times New Roman" w:hAnsi="Calibri" w:cs="Calibri"/>
                <w:color w:val="000000"/>
                <w:lang w:val="en-GB" w:eastAsia="en-DE"/>
              </w:rPr>
              <w:t>1 (5%)</w:t>
            </w:r>
          </w:p>
        </w:tc>
      </w:tr>
    </w:tbl>
    <w:p>
      <w:pPr>
        <w:rPr>
          <w:highlight w:val="yellow"/>
          <w:lang w:val="en-GB"/>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6E0936-B13C-46E4-8933-919572CD0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DE"/>
    </w:r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lang w:val="en-DE" w:eastAsia="en-DE"/>
    </w:rPr>
  </w:style>
  <w:style w:type="character" w:customStyle="1" w:styleId="gnvwddmdl3b">
    <w:name w:val="gnvwddmdl3b"/>
    <w:basedOn w:val="DefaultParagraphFont"/>
  </w:style>
  <w:style w:type="paragraph" w:styleId="NormalWeb">
    <w:name w:val="Normal (Web)"/>
    <w:basedOn w:val="Normal"/>
    <w:uiPriority w:val="99"/>
    <w:semiHidden/>
    <w:unhideWhenUsed/>
    <w:rPr>
      <w:rFonts w:ascii="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050951">
      <w:bodyDiv w:val="1"/>
      <w:marLeft w:val="0"/>
      <w:marRight w:val="0"/>
      <w:marTop w:val="0"/>
      <w:marBottom w:val="0"/>
      <w:divBdr>
        <w:top w:val="none" w:sz="0" w:space="0" w:color="auto"/>
        <w:left w:val="none" w:sz="0" w:space="0" w:color="auto"/>
        <w:bottom w:val="none" w:sz="0" w:space="0" w:color="auto"/>
        <w:right w:val="none" w:sz="0" w:space="0" w:color="auto"/>
      </w:divBdr>
    </w:div>
    <w:div w:id="1675719487">
      <w:bodyDiv w:val="1"/>
      <w:marLeft w:val="0"/>
      <w:marRight w:val="0"/>
      <w:marTop w:val="0"/>
      <w:marBottom w:val="0"/>
      <w:divBdr>
        <w:top w:val="none" w:sz="0" w:space="0" w:color="auto"/>
        <w:left w:val="none" w:sz="0" w:space="0" w:color="auto"/>
        <w:bottom w:val="none" w:sz="0" w:space="0" w:color="auto"/>
        <w:right w:val="none" w:sz="0" w:space="0" w:color="auto"/>
      </w:divBdr>
    </w:div>
    <w:div w:id="1807501748">
      <w:bodyDiv w:val="1"/>
      <w:marLeft w:val="0"/>
      <w:marRight w:val="0"/>
      <w:marTop w:val="0"/>
      <w:marBottom w:val="0"/>
      <w:divBdr>
        <w:top w:val="none" w:sz="0" w:space="0" w:color="auto"/>
        <w:left w:val="none" w:sz="0" w:space="0" w:color="auto"/>
        <w:bottom w:val="none" w:sz="0" w:space="0" w:color="auto"/>
        <w:right w:val="none" w:sz="0" w:space="0" w:color="auto"/>
      </w:divBdr>
      <w:divsChild>
        <w:div w:id="1859074321">
          <w:marLeft w:val="0"/>
          <w:marRight w:val="0"/>
          <w:marTop w:val="0"/>
          <w:marBottom w:val="0"/>
          <w:divBdr>
            <w:top w:val="none" w:sz="0" w:space="0" w:color="auto"/>
            <w:left w:val="none" w:sz="0" w:space="0" w:color="auto"/>
            <w:bottom w:val="none" w:sz="0" w:space="0" w:color="auto"/>
            <w:right w:val="none" w:sz="0" w:space="0" w:color="auto"/>
          </w:divBdr>
        </w:div>
        <w:div w:id="1733694010">
          <w:marLeft w:val="0"/>
          <w:marRight w:val="0"/>
          <w:marTop w:val="0"/>
          <w:marBottom w:val="0"/>
          <w:divBdr>
            <w:top w:val="none" w:sz="0" w:space="0" w:color="auto"/>
            <w:left w:val="none" w:sz="0" w:space="0" w:color="auto"/>
            <w:bottom w:val="none" w:sz="0" w:space="0" w:color="auto"/>
            <w:right w:val="none" w:sz="0" w:space="0" w:color="auto"/>
          </w:divBdr>
        </w:div>
        <w:div w:id="988289017">
          <w:marLeft w:val="0"/>
          <w:marRight w:val="0"/>
          <w:marTop w:val="0"/>
          <w:marBottom w:val="0"/>
          <w:divBdr>
            <w:top w:val="none" w:sz="0" w:space="0" w:color="auto"/>
            <w:left w:val="none" w:sz="0" w:space="0" w:color="auto"/>
            <w:bottom w:val="none" w:sz="0" w:space="0" w:color="auto"/>
            <w:right w:val="none" w:sz="0" w:space="0" w:color="auto"/>
          </w:divBdr>
        </w:div>
        <w:div w:id="1108083625">
          <w:marLeft w:val="0"/>
          <w:marRight w:val="0"/>
          <w:marTop w:val="0"/>
          <w:marBottom w:val="0"/>
          <w:divBdr>
            <w:top w:val="none" w:sz="0" w:space="0" w:color="auto"/>
            <w:left w:val="none" w:sz="0" w:space="0" w:color="auto"/>
            <w:bottom w:val="none" w:sz="0" w:space="0" w:color="auto"/>
            <w:right w:val="none" w:sz="0" w:space="0" w:color="auto"/>
          </w:divBdr>
        </w:div>
        <w:div w:id="32507641">
          <w:marLeft w:val="0"/>
          <w:marRight w:val="0"/>
          <w:marTop w:val="0"/>
          <w:marBottom w:val="0"/>
          <w:divBdr>
            <w:top w:val="none" w:sz="0" w:space="0" w:color="auto"/>
            <w:left w:val="none" w:sz="0" w:space="0" w:color="auto"/>
            <w:bottom w:val="none" w:sz="0" w:space="0" w:color="auto"/>
            <w:right w:val="none" w:sz="0" w:space="0" w:color="auto"/>
          </w:divBdr>
        </w:div>
        <w:div w:id="420759220">
          <w:marLeft w:val="0"/>
          <w:marRight w:val="0"/>
          <w:marTop w:val="0"/>
          <w:marBottom w:val="0"/>
          <w:divBdr>
            <w:top w:val="none" w:sz="0" w:space="0" w:color="auto"/>
            <w:left w:val="none" w:sz="0" w:space="0" w:color="auto"/>
            <w:bottom w:val="none" w:sz="0" w:space="0" w:color="auto"/>
            <w:right w:val="none" w:sz="0" w:space="0" w:color="auto"/>
          </w:divBdr>
        </w:div>
        <w:div w:id="2033919529">
          <w:marLeft w:val="0"/>
          <w:marRight w:val="0"/>
          <w:marTop w:val="0"/>
          <w:marBottom w:val="0"/>
          <w:divBdr>
            <w:top w:val="none" w:sz="0" w:space="0" w:color="auto"/>
            <w:left w:val="none" w:sz="0" w:space="0" w:color="auto"/>
            <w:bottom w:val="none" w:sz="0" w:space="0" w:color="auto"/>
            <w:right w:val="none" w:sz="0" w:space="0" w:color="auto"/>
          </w:divBdr>
        </w:div>
        <w:div w:id="74785748">
          <w:marLeft w:val="0"/>
          <w:marRight w:val="0"/>
          <w:marTop w:val="0"/>
          <w:marBottom w:val="0"/>
          <w:divBdr>
            <w:top w:val="none" w:sz="0" w:space="0" w:color="auto"/>
            <w:left w:val="none" w:sz="0" w:space="0" w:color="auto"/>
            <w:bottom w:val="none" w:sz="0" w:space="0" w:color="auto"/>
            <w:right w:val="none" w:sz="0" w:space="0" w:color="auto"/>
          </w:divBdr>
        </w:div>
        <w:div w:id="67316015">
          <w:marLeft w:val="0"/>
          <w:marRight w:val="0"/>
          <w:marTop w:val="0"/>
          <w:marBottom w:val="0"/>
          <w:divBdr>
            <w:top w:val="none" w:sz="0" w:space="0" w:color="auto"/>
            <w:left w:val="none" w:sz="0" w:space="0" w:color="auto"/>
            <w:bottom w:val="none" w:sz="0" w:space="0" w:color="auto"/>
            <w:right w:val="none" w:sz="0" w:space="0" w:color="auto"/>
          </w:divBdr>
        </w:div>
        <w:div w:id="194004763">
          <w:marLeft w:val="0"/>
          <w:marRight w:val="0"/>
          <w:marTop w:val="0"/>
          <w:marBottom w:val="0"/>
          <w:divBdr>
            <w:top w:val="none" w:sz="0" w:space="0" w:color="auto"/>
            <w:left w:val="none" w:sz="0" w:space="0" w:color="auto"/>
            <w:bottom w:val="none" w:sz="0" w:space="0" w:color="auto"/>
            <w:right w:val="none" w:sz="0" w:space="0" w:color="auto"/>
          </w:divBdr>
        </w:div>
        <w:div w:id="1709597471">
          <w:marLeft w:val="0"/>
          <w:marRight w:val="0"/>
          <w:marTop w:val="0"/>
          <w:marBottom w:val="0"/>
          <w:divBdr>
            <w:top w:val="none" w:sz="0" w:space="0" w:color="auto"/>
            <w:left w:val="none" w:sz="0" w:space="0" w:color="auto"/>
            <w:bottom w:val="none" w:sz="0" w:space="0" w:color="auto"/>
            <w:right w:val="none" w:sz="0" w:space="0" w:color="auto"/>
          </w:divBdr>
        </w:div>
        <w:div w:id="1212770570">
          <w:marLeft w:val="0"/>
          <w:marRight w:val="0"/>
          <w:marTop w:val="0"/>
          <w:marBottom w:val="0"/>
          <w:divBdr>
            <w:top w:val="none" w:sz="0" w:space="0" w:color="auto"/>
            <w:left w:val="none" w:sz="0" w:space="0" w:color="auto"/>
            <w:bottom w:val="none" w:sz="0" w:space="0" w:color="auto"/>
            <w:right w:val="none" w:sz="0" w:space="0" w:color="auto"/>
          </w:divBdr>
        </w:div>
        <w:div w:id="1555895170">
          <w:marLeft w:val="0"/>
          <w:marRight w:val="0"/>
          <w:marTop w:val="0"/>
          <w:marBottom w:val="0"/>
          <w:divBdr>
            <w:top w:val="none" w:sz="0" w:space="0" w:color="auto"/>
            <w:left w:val="none" w:sz="0" w:space="0" w:color="auto"/>
            <w:bottom w:val="none" w:sz="0" w:space="0" w:color="auto"/>
            <w:right w:val="none" w:sz="0" w:space="0" w:color="auto"/>
          </w:divBdr>
        </w:div>
        <w:div w:id="1979069077">
          <w:marLeft w:val="0"/>
          <w:marRight w:val="0"/>
          <w:marTop w:val="0"/>
          <w:marBottom w:val="0"/>
          <w:divBdr>
            <w:top w:val="none" w:sz="0" w:space="0" w:color="auto"/>
            <w:left w:val="none" w:sz="0" w:space="0" w:color="auto"/>
            <w:bottom w:val="none" w:sz="0" w:space="0" w:color="auto"/>
            <w:right w:val="none" w:sz="0" w:space="0" w:color="auto"/>
          </w:divBdr>
        </w:div>
        <w:div w:id="634916630">
          <w:marLeft w:val="0"/>
          <w:marRight w:val="0"/>
          <w:marTop w:val="0"/>
          <w:marBottom w:val="0"/>
          <w:divBdr>
            <w:top w:val="none" w:sz="0" w:space="0" w:color="auto"/>
            <w:left w:val="none" w:sz="0" w:space="0" w:color="auto"/>
            <w:bottom w:val="none" w:sz="0" w:space="0" w:color="auto"/>
            <w:right w:val="none" w:sz="0" w:space="0" w:color="auto"/>
          </w:divBdr>
        </w:div>
        <w:div w:id="1054281628">
          <w:marLeft w:val="0"/>
          <w:marRight w:val="0"/>
          <w:marTop w:val="0"/>
          <w:marBottom w:val="0"/>
          <w:divBdr>
            <w:top w:val="none" w:sz="0" w:space="0" w:color="auto"/>
            <w:left w:val="none" w:sz="0" w:space="0" w:color="auto"/>
            <w:bottom w:val="none" w:sz="0" w:space="0" w:color="auto"/>
            <w:right w:val="none" w:sz="0" w:space="0" w:color="auto"/>
          </w:divBdr>
        </w:div>
        <w:div w:id="1693067393">
          <w:marLeft w:val="0"/>
          <w:marRight w:val="0"/>
          <w:marTop w:val="0"/>
          <w:marBottom w:val="0"/>
          <w:divBdr>
            <w:top w:val="none" w:sz="0" w:space="0" w:color="auto"/>
            <w:left w:val="none" w:sz="0" w:space="0" w:color="auto"/>
            <w:bottom w:val="none" w:sz="0" w:space="0" w:color="auto"/>
            <w:right w:val="none" w:sz="0" w:space="0" w:color="auto"/>
          </w:divBdr>
        </w:div>
        <w:div w:id="36469079">
          <w:marLeft w:val="0"/>
          <w:marRight w:val="0"/>
          <w:marTop w:val="0"/>
          <w:marBottom w:val="0"/>
          <w:divBdr>
            <w:top w:val="none" w:sz="0" w:space="0" w:color="auto"/>
            <w:left w:val="none" w:sz="0" w:space="0" w:color="auto"/>
            <w:bottom w:val="none" w:sz="0" w:space="0" w:color="auto"/>
            <w:right w:val="none" w:sz="0" w:space="0" w:color="auto"/>
          </w:divBdr>
        </w:div>
        <w:div w:id="974529769">
          <w:marLeft w:val="0"/>
          <w:marRight w:val="0"/>
          <w:marTop w:val="0"/>
          <w:marBottom w:val="0"/>
          <w:divBdr>
            <w:top w:val="none" w:sz="0" w:space="0" w:color="auto"/>
            <w:left w:val="none" w:sz="0" w:space="0" w:color="auto"/>
            <w:bottom w:val="none" w:sz="0" w:space="0" w:color="auto"/>
            <w:right w:val="none" w:sz="0" w:space="0" w:color="auto"/>
          </w:divBdr>
        </w:div>
        <w:div w:id="119616923">
          <w:marLeft w:val="0"/>
          <w:marRight w:val="0"/>
          <w:marTop w:val="0"/>
          <w:marBottom w:val="0"/>
          <w:divBdr>
            <w:top w:val="none" w:sz="0" w:space="0" w:color="auto"/>
            <w:left w:val="none" w:sz="0" w:space="0" w:color="auto"/>
            <w:bottom w:val="none" w:sz="0" w:space="0" w:color="auto"/>
            <w:right w:val="none" w:sz="0" w:space="0" w:color="auto"/>
          </w:divBdr>
        </w:div>
        <w:div w:id="255022130">
          <w:marLeft w:val="0"/>
          <w:marRight w:val="0"/>
          <w:marTop w:val="0"/>
          <w:marBottom w:val="0"/>
          <w:divBdr>
            <w:top w:val="none" w:sz="0" w:space="0" w:color="auto"/>
            <w:left w:val="none" w:sz="0" w:space="0" w:color="auto"/>
            <w:bottom w:val="none" w:sz="0" w:space="0" w:color="auto"/>
            <w:right w:val="none" w:sz="0" w:space="0" w:color="auto"/>
          </w:divBdr>
        </w:div>
        <w:div w:id="795679676">
          <w:marLeft w:val="0"/>
          <w:marRight w:val="0"/>
          <w:marTop w:val="0"/>
          <w:marBottom w:val="0"/>
          <w:divBdr>
            <w:top w:val="none" w:sz="0" w:space="0" w:color="auto"/>
            <w:left w:val="none" w:sz="0" w:space="0" w:color="auto"/>
            <w:bottom w:val="none" w:sz="0" w:space="0" w:color="auto"/>
            <w:right w:val="none" w:sz="0" w:space="0" w:color="auto"/>
          </w:divBdr>
        </w:div>
        <w:div w:id="2080907104">
          <w:marLeft w:val="0"/>
          <w:marRight w:val="0"/>
          <w:marTop w:val="0"/>
          <w:marBottom w:val="0"/>
          <w:divBdr>
            <w:top w:val="none" w:sz="0" w:space="0" w:color="auto"/>
            <w:left w:val="none" w:sz="0" w:space="0" w:color="auto"/>
            <w:bottom w:val="none" w:sz="0" w:space="0" w:color="auto"/>
            <w:right w:val="none" w:sz="0" w:space="0" w:color="auto"/>
          </w:divBdr>
        </w:div>
        <w:div w:id="860896843">
          <w:marLeft w:val="0"/>
          <w:marRight w:val="0"/>
          <w:marTop w:val="0"/>
          <w:marBottom w:val="0"/>
          <w:divBdr>
            <w:top w:val="none" w:sz="0" w:space="0" w:color="auto"/>
            <w:left w:val="none" w:sz="0" w:space="0" w:color="auto"/>
            <w:bottom w:val="none" w:sz="0" w:space="0" w:color="auto"/>
            <w:right w:val="none" w:sz="0" w:space="0" w:color="auto"/>
          </w:divBdr>
        </w:div>
        <w:div w:id="1616594046">
          <w:marLeft w:val="0"/>
          <w:marRight w:val="0"/>
          <w:marTop w:val="0"/>
          <w:marBottom w:val="0"/>
          <w:divBdr>
            <w:top w:val="none" w:sz="0" w:space="0" w:color="auto"/>
            <w:left w:val="none" w:sz="0" w:space="0" w:color="auto"/>
            <w:bottom w:val="none" w:sz="0" w:space="0" w:color="auto"/>
            <w:right w:val="none" w:sz="0" w:space="0" w:color="auto"/>
          </w:divBdr>
        </w:div>
        <w:div w:id="681737261">
          <w:marLeft w:val="0"/>
          <w:marRight w:val="0"/>
          <w:marTop w:val="0"/>
          <w:marBottom w:val="0"/>
          <w:divBdr>
            <w:top w:val="none" w:sz="0" w:space="0" w:color="auto"/>
            <w:left w:val="none" w:sz="0" w:space="0" w:color="auto"/>
            <w:bottom w:val="none" w:sz="0" w:space="0" w:color="auto"/>
            <w:right w:val="none" w:sz="0" w:space="0" w:color="auto"/>
          </w:divBdr>
        </w:div>
        <w:div w:id="1992561103">
          <w:marLeft w:val="0"/>
          <w:marRight w:val="0"/>
          <w:marTop w:val="0"/>
          <w:marBottom w:val="0"/>
          <w:divBdr>
            <w:top w:val="none" w:sz="0" w:space="0" w:color="auto"/>
            <w:left w:val="none" w:sz="0" w:space="0" w:color="auto"/>
            <w:bottom w:val="none" w:sz="0" w:space="0" w:color="auto"/>
            <w:right w:val="none" w:sz="0" w:space="0" w:color="auto"/>
          </w:divBdr>
        </w:div>
        <w:div w:id="812480376">
          <w:marLeft w:val="0"/>
          <w:marRight w:val="0"/>
          <w:marTop w:val="0"/>
          <w:marBottom w:val="0"/>
          <w:divBdr>
            <w:top w:val="none" w:sz="0" w:space="0" w:color="auto"/>
            <w:left w:val="none" w:sz="0" w:space="0" w:color="auto"/>
            <w:bottom w:val="none" w:sz="0" w:space="0" w:color="auto"/>
            <w:right w:val="none" w:sz="0" w:space="0" w:color="auto"/>
          </w:divBdr>
        </w:div>
        <w:div w:id="1823740875">
          <w:marLeft w:val="0"/>
          <w:marRight w:val="0"/>
          <w:marTop w:val="0"/>
          <w:marBottom w:val="0"/>
          <w:divBdr>
            <w:top w:val="none" w:sz="0" w:space="0" w:color="auto"/>
            <w:left w:val="none" w:sz="0" w:space="0" w:color="auto"/>
            <w:bottom w:val="none" w:sz="0" w:space="0" w:color="auto"/>
            <w:right w:val="none" w:sz="0" w:space="0" w:color="auto"/>
          </w:divBdr>
        </w:div>
        <w:div w:id="1432359612">
          <w:marLeft w:val="0"/>
          <w:marRight w:val="0"/>
          <w:marTop w:val="0"/>
          <w:marBottom w:val="0"/>
          <w:divBdr>
            <w:top w:val="none" w:sz="0" w:space="0" w:color="auto"/>
            <w:left w:val="none" w:sz="0" w:space="0" w:color="auto"/>
            <w:bottom w:val="none" w:sz="0" w:space="0" w:color="auto"/>
            <w:right w:val="none" w:sz="0" w:space="0" w:color="auto"/>
          </w:divBdr>
        </w:div>
        <w:div w:id="1335571973">
          <w:marLeft w:val="0"/>
          <w:marRight w:val="0"/>
          <w:marTop w:val="0"/>
          <w:marBottom w:val="0"/>
          <w:divBdr>
            <w:top w:val="none" w:sz="0" w:space="0" w:color="auto"/>
            <w:left w:val="none" w:sz="0" w:space="0" w:color="auto"/>
            <w:bottom w:val="none" w:sz="0" w:space="0" w:color="auto"/>
            <w:right w:val="none" w:sz="0" w:space="0" w:color="auto"/>
          </w:divBdr>
        </w:div>
        <w:div w:id="1932817220">
          <w:marLeft w:val="0"/>
          <w:marRight w:val="0"/>
          <w:marTop w:val="0"/>
          <w:marBottom w:val="0"/>
          <w:divBdr>
            <w:top w:val="none" w:sz="0" w:space="0" w:color="auto"/>
            <w:left w:val="none" w:sz="0" w:space="0" w:color="auto"/>
            <w:bottom w:val="none" w:sz="0" w:space="0" w:color="auto"/>
            <w:right w:val="none" w:sz="0" w:space="0" w:color="auto"/>
          </w:divBdr>
        </w:div>
        <w:div w:id="566959955">
          <w:marLeft w:val="0"/>
          <w:marRight w:val="0"/>
          <w:marTop w:val="0"/>
          <w:marBottom w:val="0"/>
          <w:divBdr>
            <w:top w:val="none" w:sz="0" w:space="0" w:color="auto"/>
            <w:left w:val="none" w:sz="0" w:space="0" w:color="auto"/>
            <w:bottom w:val="none" w:sz="0" w:space="0" w:color="auto"/>
            <w:right w:val="none" w:sz="0" w:space="0" w:color="auto"/>
          </w:divBdr>
        </w:div>
        <w:div w:id="856818773">
          <w:marLeft w:val="0"/>
          <w:marRight w:val="0"/>
          <w:marTop w:val="0"/>
          <w:marBottom w:val="0"/>
          <w:divBdr>
            <w:top w:val="none" w:sz="0" w:space="0" w:color="auto"/>
            <w:left w:val="none" w:sz="0" w:space="0" w:color="auto"/>
            <w:bottom w:val="none" w:sz="0" w:space="0" w:color="auto"/>
            <w:right w:val="none" w:sz="0" w:space="0" w:color="auto"/>
          </w:divBdr>
        </w:div>
        <w:div w:id="857738962">
          <w:marLeft w:val="0"/>
          <w:marRight w:val="0"/>
          <w:marTop w:val="0"/>
          <w:marBottom w:val="0"/>
          <w:divBdr>
            <w:top w:val="none" w:sz="0" w:space="0" w:color="auto"/>
            <w:left w:val="none" w:sz="0" w:space="0" w:color="auto"/>
            <w:bottom w:val="none" w:sz="0" w:space="0" w:color="auto"/>
            <w:right w:val="none" w:sz="0" w:space="0" w:color="auto"/>
          </w:divBdr>
        </w:div>
        <w:div w:id="736628408">
          <w:marLeft w:val="0"/>
          <w:marRight w:val="0"/>
          <w:marTop w:val="0"/>
          <w:marBottom w:val="0"/>
          <w:divBdr>
            <w:top w:val="none" w:sz="0" w:space="0" w:color="auto"/>
            <w:left w:val="none" w:sz="0" w:space="0" w:color="auto"/>
            <w:bottom w:val="none" w:sz="0" w:space="0" w:color="auto"/>
            <w:right w:val="none" w:sz="0" w:space="0" w:color="auto"/>
          </w:divBdr>
        </w:div>
        <w:div w:id="831290209">
          <w:marLeft w:val="0"/>
          <w:marRight w:val="0"/>
          <w:marTop w:val="0"/>
          <w:marBottom w:val="0"/>
          <w:divBdr>
            <w:top w:val="none" w:sz="0" w:space="0" w:color="auto"/>
            <w:left w:val="none" w:sz="0" w:space="0" w:color="auto"/>
            <w:bottom w:val="none" w:sz="0" w:space="0" w:color="auto"/>
            <w:right w:val="none" w:sz="0" w:space="0" w:color="auto"/>
          </w:divBdr>
        </w:div>
        <w:div w:id="1968117530">
          <w:marLeft w:val="0"/>
          <w:marRight w:val="0"/>
          <w:marTop w:val="0"/>
          <w:marBottom w:val="0"/>
          <w:divBdr>
            <w:top w:val="none" w:sz="0" w:space="0" w:color="auto"/>
            <w:left w:val="none" w:sz="0" w:space="0" w:color="auto"/>
            <w:bottom w:val="none" w:sz="0" w:space="0" w:color="auto"/>
            <w:right w:val="none" w:sz="0" w:space="0" w:color="auto"/>
          </w:divBdr>
        </w:div>
        <w:div w:id="1155150984">
          <w:marLeft w:val="0"/>
          <w:marRight w:val="0"/>
          <w:marTop w:val="0"/>
          <w:marBottom w:val="0"/>
          <w:divBdr>
            <w:top w:val="none" w:sz="0" w:space="0" w:color="auto"/>
            <w:left w:val="none" w:sz="0" w:space="0" w:color="auto"/>
            <w:bottom w:val="none" w:sz="0" w:space="0" w:color="auto"/>
            <w:right w:val="none" w:sz="0" w:space="0" w:color="auto"/>
          </w:divBdr>
        </w:div>
        <w:div w:id="1673215718">
          <w:marLeft w:val="0"/>
          <w:marRight w:val="0"/>
          <w:marTop w:val="0"/>
          <w:marBottom w:val="0"/>
          <w:divBdr>
            <w:top w:val="none" w:sz="0" w:space="0" w:color="auto"/>
            <w:left w:val="none" w:sz="0" w:space="0" w:color="auto"/>
            <w:bottom w:val="none" w:sz="0" w:space="0" w:color="auto"/>
            <w:right w:val="none" w:sz="0" w:space="0" w:color="auto"/>
          </w:divBdr>
        </w:div>
        <w:div w:id="237789117">
          <w:marLeft w:val="0"/>
          <w:marRight w:val="0"/>
          <w:marTop w:val="0"/>
          <w:marBottom w:val="0"/>
          <w:divBdr>
            <w:top w:val="none" w:sz="0" w:space="0" w:color="auto"/>
            <w:left w:val="none" w:sz="0" w:space="0" w:color="auto"/>
            <w:bottom w:val="none" w:sz="0" w:space="0" w:color="auto"/>
            <w:right w:val="none" w:sz="0" w:space="0" w:color="auto"/>
          </w:divBdr>
        </w:div>
        <w:div w:id="209998404">
          <w:marLeft w:val="0"/>
          <w:marRight w:val="0"/>
          <w:marTop w:val="0"/>
          <w:marBottom w:val="0"/>
          <w:divBdr>
            <w:top w:val="none" w:sz="0" w:space="0" w:color="auto"/>
            <w:left w:val="none" w:sz="0" w:space="0" w:color="auto"/>
            <w:bottom w:val="none" w:sz="0" w:space="0" w:color="auto"/>
            <w:right w:val="none" w:sz="0" w:space="0" w:color="auto"/>
          </w:divBdr>
        </w:div>
        <w:div w:id="275910056">
          <w:marLeft w:val="0"/>
          <w:marRight w:val="0"/>
          <w:marTop w:val="0"/>
          <w:marBottom w:val="0"/>
          <w:divBdr>
            <w:top w:val="none" w:sz="0" w:space="0" w:color="auto"/>
            <w:left w:val="none" w:sz="0" w:space="0" w:color="auto"/>
            <w:bottom w:val="none" w:sz="0" w:space="0" w:color="auto"/>
            <w:right w:val="none" w:sz="0" w:space="0" w:color="auto"/>
          </w:divBdr>
        </w:div>
        <w:div w:id="1616674540">
          <w:marLeft w:val="0"/>
          <w:marRight w:val="0"/>
          <w:marTop w:val="0"/>
          <w:marBottom w:val="0"/>
          <w:divBdr>
            <w:top w:val="none" w:sz="0" w:space="0" w:color="auto"/>
            <w:left w:val="none" w:sz="0" w:space="0" w:color="auto"/>
            <w:bottom w:val="none" w:sz="0" w:space="0" w:color="auto"/>
            <w:right w:val="none" w:sz="0" w:space="0" w:color="auto"/>
          </w:divBdr>
        </w:div>
        <w:div w:id="1629891425">
          <w:marLeft w:val="0"/>
          <w:marRight w:val="0"/>
          <w:marTop w:val="0"/>
          <w:marBottom w:val="0"/>
          <w:divBdr>
            <w:top w:val="none" w:sz="0" w:space="0" w:color="auto"/>
            <w:left w:val="none" w:sz="0" w:space="0" w:color="auto"/>
            <w:bottom w:val="none" w:sz="0" w:space="0" w:color="auto"/>
            <w:right w:val="none" w:sz="0" w:space="0" w:color="auto"/>
          </w:divBdr>
        </w:div>
        <w:div w:id="822694473">
          <w:marLeft w:val="0"/>
          <w:marRight w:val="0"/>
          <w:marTop w:val="0"/>
          <w:marBottom w:val="0"/>
          <w:divBdr>
            <w:top w:val="none" w:sz="0" w:space="0" w:color="auto"/>
            <w:left w:val="none" w:sz="0" w:space="0" w:color="auto"/>
            <w:bottom w:val="none" w:sz="0" w:space="0" w:color="auto"/>
            <w:right w:val="none" w:sz="0" w:space="0" w:color="auto"/>
          </w:divBdr>
        </w:div>
        <w:div w:id="1790002802">
          <w:marLeft w:val="0"/>
          <w:marRight w:val="0"/>
          <w:marTop w:val="0"/>
          <w:marBottom w:val="0"/>
          <w:divBdr>
            <w:top w:val="none" w:sz="0" w:space="0" w:color="auto"/>
            <w:left w:val="none" w:sz="0" w:space="0" w:color="auto"/>
            <w:bottom w:val="none" w:sz="0" w:space="0" w:color="auto"/>
            <w:right w:val="none" w:sz="0" w:space="0" w:color="auto"/>
          </w:divBdr>
        </w:div>
        <w:div w:id="802188397">
          <w:marLeft w:val="0"/>
          <w:marRight w:val="0"/>
          <w:marTop w:val="0"/>
          <w:marBottom w:val="0"/>
          <w:divBdr>
            <w:top w:val="none" w:sz="0" w:space="0" w:color="auto"/>
            <w:left w:val="none" w:sz="0" w:space="0" w:color="auto"/>
            <w:bottom w:val="none" w:sz="0" w:space="0" w:color="auto"/>
            <w:right w:val="none" w:sz="0" w:space="0" w:color="auto"/>
          </w:divBdr>
        </w:div>
        <w:div w:id="907568807">
          <w:marLeft w:val="0"/>
          <w:marRight w:val="0"/>
          <w:marTop w:val="0"/>
          <w:marBottom w:val="0"/>
          <w:divBdr>
            <w:top w:val="none" w:sz="0" w:space="0" w:color="auto"/>
            <w:left w:val="none" w:sz="0" w:space="0" w:color="auto"/>
            <w:bottom w:val="none" w:sz="0" w:space="0" w:color="auto"/>
            <w:right w:val="none" w:sz="0" w:space="0" w:color="auto"/>
          </w:divBdr>
        </w:div>
        <w:div w:id="1181313158">
          <w:marLeft w:val="0"/>
          <w:marRight w:val="0"/>
          <w:marTop w:val="0"/>
          <w:marBottom w:val="0"/>
          <w:divBdr>
            <w:top w:val="none" w:sz="0" w:space="0" w:color="auto"/>
            <w:left w:val="none" w:sz="0" w:space="0" w:color="auto"/>
            <w:bottom w:val="none" w:sz="0" w:space="0" w:color="auto"/>
            <w:right w:val="none" w:sz="0" w:space="0" w:color="auto"/>
          </w:divBdr>
        </w:div>
        <w:div w:id="1906794004">
          <w:marLeft w:val="0"/>
          <w:marRight w:val="0"/>
          <w:marTop w:val="0"/>
          <w:marBottom w:val="0"/>
          <w:divBdr>
            <w:top w:val="none" w:sz="0" w:space="0" w:color="auto"/>
            <w:left w:val="none" w:sz="0" w:space="0" w:color="auto"/>
            <w:bottom w:val="none" w:sz="0" w:space="0" w:color="auto"/>
            <w:right w:val="none" w:sz="0" w:space="0" w:color="auto"/>
          </w:divBdr>
        </w:div>
        <w:div w:id="1082794388">
          <w:marLeft w:val="0"/>
          <w:marRight w:val="0"/>
          <w:marTop w:val="0"/>
          <w:marBottom w:val="0"/>
          <w:divBdr>
            <w:top w:val="none" w:sz="0" w:space="0" w:color="auto"/>
            <w:left w:val="none" w:sz="0" w:space="0" w:color="auto"/>
            <w:bottom w:val="none" w:sz="0" w:space="0" w:color="auto"/>
            <w:right w:val="none" w:sz="0" w:space="0" w:color="auto"/>
          </w:divBdr>
        </w:div>
        <w:div w:id="935551795">
          <w:marLeft w:val="0"/>
          <w:marRight w:val="0"/>
          <w:marTop w:val="0"/>
          <w:marBottom w:val="0"/>
          <w:divBdr>
            <w:top w:val="none" w:sz="0" w:space="0" w:color="auto"/>
            <w:left w:val="none" w:sz="0" w:space="0" w:color="auto"/>
            <w:bottom w:val="none" w:sz="0" w:space="0" w:color="auto"/>
            <w:right w:val="none" w:sz="0" w:space="0" w:color="auto"/>
          </w:divBdr>
        </w:div>
        <w:div w:id="967319448">
          <w:marLeft w:val="0"/>
          <w:marRight w:val="0"/>
          <w:marTop w:val="0"/>
          <w:marBottom w:val="0"/>
          <w:divBdr>
            <w:top w:val="none" w:sz="0" w:space="0" w:color="auto"/>
            <w:left w:val="none" w:sz="0" w:space="0" w:color="auto"/>
            <w:bottom w:val="none" w:sz="0" w:space="0" w:color="auto"/>
            <w:right w:val="none" w:sz="0" w:space="0" w:color="auto"/>
          </w:divBdr>
        </w:div>
        <w:div w:id="609706822">
          <w:marLeft w:val="0"/>
          <w:marRight w:val="0"/>
          <w:marTop w:val="0"/>
          <w:marBottom w:val="0"/>
          <w:divBdr>
            <w:top w:val="none" w:sz="0" w:space="0" w:color="auto"/>
            <w:left w:val="none" w:sz="0" w:space="0" w:color="auto"/>
            <w:bottom w:val="none" w:sz="0" w:space="0" w:color="auto"/>
            <w:right w:val="none" w:sz="0" w:space="0" w:color="auto"/>
          </w:divBdr>
        </w:div>
        <w:div w:id="409236709">
          <w:marLeft w:val="0"/>
          <w:marRight w:val="0"/>
          <w:marTop w:val="0"/>
          <w:marBottom w:val="0"/>
          <w:divBdr>
            <w:top w:val="none" w:sz="0" w:space="0" w:color="auto"/>
            <w:left w:val="none" w:sz="0" w:space="0" w:color="auto"/>
            <w:bottom w:val="none" w:sz="0" w:space="0" w:color="auto"/>
            <w:right w:val="none" w:sz="0" w:space="0" w:color="auto"/>
          </w:divBdr>
        </w:div>
        <w:div w:id="548997343">
          <w:marLeft w:val="0"/>
          <w:marRight w:val="0"/>
          <w:marTop w:val="0"/>
          <w:marBottom w:val="0"/>
          <w:divBdr>
            <w:top w:val="none" w:sz="0" w:space="0" w:color="auto"/>
            <w:left w:val="none" w:sz="0" w:space="0" w:color="auto"/>
            <w:bottom w:val="none" w:sz="0" w:space="0" w:color="auto"/>
            <w:right w:val="none" w:sz="0" w:space="0" w:color="auto"/>
          </w:divBdr>
        </w:div>
        <w:div w:id="1821728524">
          <w:marLeft w:val="0"/>
          <w:marRight w:val="0"/>
          <w:marTop w:val="0"/>
          <w:marBottom w:val="0"/>
          <w:divBdr>
            <w:top w:val="none" w:sz="0" w:space="0" w:color="auto"/>
            <w:left w:val="none" w:sz="0" w:space="0" w:color="auto"/>
            <w:bottom w:val="none" w:sz="0" w:space="0" w:color="auto"/>
            <w:right w:val="none" w:sz="0" w:space="0" w:color="auto"/>
          </w:divBdr>
        </w:div>
        <w:div w:id="1660696856">
          <w:marLeft w:val="0"/>
          <w:marRight w:val="0"/>
          <w:marTop w:val="0"/>
          <w:marBottom w:val="0"/>
          <w:divBdr>
            <w:top w:val="none" w:sz="0" w:space="0" w:color="auto"/>
            <w:left w:val="none" w:sz="0" w:space="0" w:color="auto"/>
            <w:bottom w:val="none" w:sz="0" w:space="0" w:color="auto"/>
            <w:right w:val="none" w:sz="0" w:space="0" w:color="auto"/>
          </w:divBdr>
        </w:div>
        <w:div w:id="1647129027">
          <w:marLeft w:val="0"/>
          <w:marRight w:val="0"/>
          <w:marTop w:val="0"/>
          <w:marBottom w:val="0"/>
          <w:divBdr>
            <w:top w:val="none" w:sz="0" w:space="0" w:color="auto"/>
            <w:left w:val="none" w:sz="0" w:space="0" w:color="auto"/>
            <w:bottom w:val="none" w:sz="0" w:space="0" w:color="auto"/>
            <w:right w:val="none" w:sz="0" w:space="0" w:color="auto"/>
          </w:divBdr>
        </w:div>
        <w:div w:id="575744038">
          <w:marLeft w:val="0"/>
          <w:marRight w:val="0"/>
          <w:marTop w:val="0"/>
          <w:marBottom w:val="0"/>
          <w:divBdr>
            <w:top w:val="none" w:sz="0" w:space="0" w:color="auto"/>
            <w:left w:val="none" w:sz="0" w:space="0" w:color="auto"/>
            <w:bottom w:val="none" w:sz="0" w:space="0" w:color="auto"/>
            <w:right w:val="none" w:sz="0" w:space="0" w:color="auto"/>
          </w:divBdr>
        </w:div>
        <w:div w:id="1050035120">
          <w:marLeft w:val="0"/>
          <w:marRight w:val="0"/>
          <w:marTop w:val="0"/>
          <w:marBottom w:val="0"/>
          <w:divBdr>
            <w:top w:val="none" w:sz="0" w:space="0" w:color="auto"/>
            <w:left w:val="none" w:sz="0" w:space="0" w:color="auto"/>
            <w:bottom w:val="none" w:sz="0" w:space="0" w:color="auto"/>
            <w:right w:val="none" w:sz="0" w:space="0" w:color="auto"/>
          </w:divBdr>
        </w:div>
        <w:div w:id="1347176597">
          <w:marLeft w:val="0"/>
          <w:marRight w:val="0"/>
          <w:marTop w:val="0"/>
          <w:marBottom w:val="0"/>
          <w:divBdr>
            <w:top w:val="none" w:sz="0" w:space="0" w:color="auto"/>
            <w:left w:val="none" w:sz="0" w:space="0" w:color="auto"/>
            <w:bottom w:val="none" w:sz="0" w:space="0" w:color="auto"/>
            <w:right w:val="none" w:sz="0" w:space="0" w:color="auto"/>
          </w:divBdr>
        </w:div>
        <w:div w:id="622420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357</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Beck</dc:creator>
  <cp:keywords/>
  <dc:description/>
  <cp:lastModifiedBy>Kristina Beck</cp:lastModifiedBy>
  <cp:revision>12</cp:revision>
  <dcterms:created xsi:type="dcterms:W3CDTF">2025-06-20T14:10:00Z</dcterms:created>
  <dcterms:modified xsi:type="dcterms:W3CDTF">2026-08-24T07:50:00Z</dcterms:modified>
</cp:coreProperties>
</file>