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385CC" w14:textId="77777777" w:rsidR="00376E9B" w:rsidRPr="00376E9B" w:rsidRDefault="00376E9B" w:rsidP="00376E9B">
      <w:pPr>
        <w:rPr>
          <w:rFonts w:cstheme="minorHAnsi"/>
          <w:b/>
          <w:bCs/>
          <w:i/>
          <w:iCs/>
          <w:sz w:val="20"/>
          <w:szCs w:val="20"/>
        </w:rPr>
      </w:pPr>
      <w:r w:rsidRPr="00376E9B">
        <w:rPr>
          <w:rFonts w:cstheme="minorHAnsi"/>
          <w:b/>
          <w:bCs/>
          <w:i/>
          <w:iCs/>
          <w:sz w:val="20"/>
          <w:szCs w:val="20"/>
        </w:rPr>
        <w:t>Supplementary table 1.</w:t>
      </w:r>
      <w:r w:rsidRPr="00376E9B">
        <w:rPr>
          <w:rFonts w:cstheme="minorHAnsi"/>
        </w:rPr>
        <w:t xml:space="preserve"> </w:t>
      </w:r>
      <w:r w:rsidRPr="00376E9B">
        <w:rPr>
          <w:rFonts w:cstheme="minorHAnsi"/>
          <w:b/>
          <w:bCs/>
          <w:i/>
          <w:iCs/>
          <w:sz w:val="20"/>
          <w:szCs w:val="20"/>
        </w:rPr>
        <w:t xml:space="preserve">Sensitivity analysis of GPS completeness threshold on movement models. </w:t>
      </w:r>
    </w:p>
    <w:tbl>
      <w:tblPr>
        <w:tblStyle w:val="PlainTable2"/>
        <w:tblW w:w="9026" w:type="dxa"/>
        <w:tblLayout w:type="fixed"/>
        <w:tblLook w:val="04A0" w:firstRow="1" w:lastRow="0" w:firstColumn="1" w:lastColumn="0" w:noHBand="0" w:noVBand="1"/>
      </w:tblPr>
      <w:tblGrid>
        <w:gridCol w:w="1701"/>
        <w:gridCol w:w="21"/>
        <w:gridCol w:w="1397"/>
        <w:gridCol w:w="992"/>
        <w:gridCol w:w="1275"/>
        <w:gridCol w:w="1844"/>
        <w:gridCol w:w="1098"/>
        <w:gridCol w:w="698"/>
      </w:tblGrid>
      <w:tr w:rsidR="00376E9B" w:rsidRPr="00B92197" w14:paraId="0140CEA8" w14:textId="77777777" w:rsidTr="00D9304C">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01" w:type="dxa"/>
            <w:noWrap/>
            <w:vAlign w:val="center"/>
          </w:tcPr>
          <w:p w14:paraId="4A60C87D" w14:textId="77777777" w:rsidR="00376E9B" w:rsidRPr="00B92197" w:rsidRDefault="00376E9B" w:rsidP="00D9304C">
            <w:pPr>
              <w:rPr>
                <w:rFonts w:cstheme="minorHAnsi"/>
                <w:b w:val="0"/>
                <w:bCs w:val="0"/>
                <w:i/>
                <w:iCs/>
                <w:sz w:val="20"/>
                <w:szCs w:val="20"/>
              </w:rPr>
            </w:pPr>
            <w:r w:rsidRPr="00B92197">
              <w:rPr>
                <w:rFonts w:cstheme="minorHAnsi"/>
                <w:i/>
                <w:iCs/>
                <w:sz w:val="20"/>
                <w:szCs w:val="20"/>
              </w:rPr>
              <w:br/>
              <w:t>Movement Metric</w:t>
            </w:r>
          </w:p>
        </w:tc>
        <w:tc>
          <w:tcPr>
            <w:tcW w:w="1418" w:type="dxa"/>
            <w:gridSpan w:val="2"/>
            <w:noWrap/>
            <w:vAlign w:val="center"/>
          </w:tcPr>
          <w:p w14:paraId="7DF84B08"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Completeness Threshold</w:t>
            </w:r>
          </w:p>
        </w:tc>
        <w:tc>
          <w:tcPr>
            <w:tcW w:w="992" w:type="dxa"/>
            <w:noWrap/>
            <w:vAlign w:val="center"/>
          </w:tcPr>
          <w:p w14:paraId="39637A20"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Sample Size</w:t>
            </w:r>
          </w:p>
        </w:tc>
        <w:tc>
          <w:tcPr>
            <w:tcW w:w="1275" w:type="dxa"/>
            <w:noWrap/>
            <w:vAlign w:val="center"/>
          </w:tcPr>
          <w:p w14:paraId="38510028"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Focal individuals</w:t>
            </w:r>
          </w:p>
        </w:tc>
        <w:tc>
          <w:tcPr>
            <w:tcW w:w="1844" w:type="dxa"/>
            <w:noWrap/>
            <w:vAlign w:val="center"/>
          </w:tcPr>
          <w:p w14:paraId="167FD2E7"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Estimate Time In Association</w:t>
            </w:r>
          </w:p>
        </w:tc>
        <w:tc>
          <w:tcPr>
            <w:tcW w:w="1098" w:type="dxa"/>
            <w:noWrap/>
            <w:vAlign w:val="center"/>
          </w:tcPr>
          <w:p w14:paraId="40CAAFA0"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SE</w:t>
            </w:r>
          </w:p>
        </w:tc>
        <w:tc>
          <w:tcPr>
            <w:tcW w:w="698" w:type="dxa"/>
            <w:noWrap/>
            <w:vAlign w:val="center"/>
          </w:tcPr>
          <w:p w14:paraId="3AC06072" w14:textId="77777777" w:rsidR="00376E9B" w:rsidRPr="00B92197" w:rsidRDefault="00376E9B" w:rsidP="00D9304C">
            <w:pPr>
              <w:jc w:val="right"/>
              <w:cnfStyle w:val="100000000000" w:firstRow="1" w:lastRow="0" w:firstColumn="0" w:lastColumn="0" w:oddVBand="0" w:evenVBand="0" w:oddHBand="0" w:evenHBand="0" w:firstRowFirstColumn="0" w:firstRowLastColumn="0" w:lastRowFirstColumn="0" w:lastRowLastColumn="0"/>
              <w:rPr>
                <w:rFonts w:cstheme="minorHAnsi"/>
                <w:b w:val="0"/>
                <w:bCs w:val="0"/>
                <w:i/>
                <w:iCs/>
                <w:sz w:val="20"/>
                <w:szCs w:val="20"/>
              </w:rPr>
            </w:pPr>
            <w:r w:rsidRPr="00B92197">
              <w:rPr>
                <w:rFonts w:cstheme="minorHAnsi"/>
                <w:i/>
                <w:iCs/>
                <w:sz w:val="20"/>
                <w:szCs w:val="20"/>
              </w:rPr>
              <w:t>t value</w:t>
            </w:r>
          </w:p>
        </w:tc>
      </w:tr>
      <w:tr w:rsidR="00376E9B" w:rsidRPr="00B92197" w14:paraId="3B550C29" w14:textId="77777777" w:rsidTr="00D9304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2E44C352"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Daily path length</w:t>
            </w:r>
          </w:p>
        </w:tc>
        <w:tc>
          <w:tcPr>
            <w:tcW w:w="1397" w:type="dxa"/>
            <w:noWrap/>
            <w:hideMark/>
          </w:tcPr>
          <w:p w14:paraId="1F05F4CA"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≥25%</w:t>
            </w:r>
          </w:p>
        </w:tc>
        <w:tc>
          <w:tcPr>
            <w:tcW w:w="992" w:type="dxa"/>
            <w:noWrap/>
            <w:hideMark/>
          </w:tcPr>
          <w:p w14:paraId="428C99C0"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1169</w:t>
            </w:r>
          </w:p>
        </w:tc>
        <w:tc>
          <w:tcPr>
            <w:tcW w:w="1275" w:type="dxa"/>
            <w:noWrap/>
            <w:hideMark/>
          </w:tcPr>
          <w:p w14:paraId="26F32AF6"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85</w:t>
            </w:r>
          </w:p>
        </w:tc>
        <w:tc>
          <w:tcPr>
            <w:tcW w:w="1844" w:type="dxa"/>
            <w:noWrap/>
            <w:hideMark/>
          </w:tcPr>
          <w:p w14:paraId="59C3F72F"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63.5400</w:t>
            </w:r>
          </w:p>
        </w:tc>
        <w:tc>
          <w:tcPr>
            <w:tcW w:w="1098" w:type="dxa"/>
            <w:noWrap/>
            <w:hideMark/>
          </w:tcPr>
          <w:p w14:paraId="4DEE9B6B"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32.3600</w:t>
            </w:r>
          </w:p>
        </w:tc>
        <w:tc>
          <w:tcPr>
            <w:tcW w:w="698" w:type="dxa"/>
            <w:noWrap/>
            <w:hideMark/>
          </w:tcPr>
          <w:p w14:paraId="55CD2D70"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1.96</w:t>
            </w:r>
          </w:p>
        </w:tc>
      </w:tr>
      <w:tr w:rsidR="00376E9B" w:rsidRPr="00B92197" w14:paraId="5E352372" w14:textId="77777777" w:rsidTr="00D9304C">
        <w:trPr>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48C05F01"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Daily path length</w:t>
            </w:r>
          </w:p>
        </w:tc>
        <w:tc>
          <w:tcPr>
            <w:tcW w:w="1397" w:type="dxa"/>
            <w:noWrap/>
            <w:hideMark/>
          </w:tcPr>
          <w:p w14:paraId="1709889A"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≥50%</w:t>
            </w:r>
          </w:p>
        </w:tc>
        <w:tc>
          <w:tcPr>
            <w:tcW w:w="992" w:type="dxa"/>
            <w:noWrap/>
            <w:hideMark/>
          </w:tcPr>
          <w:p w14:paraId="63CA2A40"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1139</w:t>
            </w:r>
          </w:p>
        </w:tc>
        <w:tc>
          <w:tcPr>
            <w:tcW w:w="1275" w:type="dxa"/>
            <w:noWrap/>
            <w:hideMark/>
          </w:tcPr>
          <w:p w14:paraId="5DC3BCD4"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82</w:t>
            </w:r>
          </w:p>
        </w:tc>
        <w:tc>
          <w:tcPr>
            <w:tcW w:w="1844" w:type="dxa"/>
            <w:noWrap/>
            <w:hideMark/>
          </w:tcPr>
          <w:p w14:paraId="392FFA37"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63.5400</w:t>
            </w:r>
          </w:p>
        </w:tc>
        <w:tc>
          <w:tcPr>
            <w:tcW w:w="1098" w:type="dxa"/>
            <w:noWrap/>
            <w:hideMark/>
          </w:tcPr>
          <w:p w14:paraId="009EEAB9"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32.3600</w:t>
            </w:r>
          </w:p>
        </w:tc>
        <w:tc>
          <w:tcPr>
            <w:tcW w:w="698" w:type="dxa"/>
            <w:noWrap/>
            <w:hideMark/>
          </w:tcPr>
          <w:p w14:paraId="6B9F6D68"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1.96</w:t>
            </w:r>
          </w:p>
        </w:tc>
      </w:tr>
      <w:tr w:rsidR="00376E9B" w:rsidRPr="00B92197" w14:paraId="1F9FD104" w14:textId="77777777" w:rsidTr="00D9304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379DAAC0"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Daily path length</w:t>
            </w:r>
          </w:p>
        </w:tc>
        <w:tc>
          <w:tcPr>
            <w:tcW w:w="1397" w:type="dxa"/>
            <w:noWrap/>
            <w:hideMark/>
          </w:tcPr>
          <w:p w14:paraId="36AC5587"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≥75%</w:t>
            </w:r>
          </w:p>
        </w:tc>
        <w:tc>
          <w:tcPr>
            <w:tcW w:w="992" w:type="dxa"/>
            <w:noWrap/>
            <w:hideMark/>
          </w:tcPr>
          <w:p w14:paraId="0C59E45A"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981</w:t>
            </w:r>
          </w:p>
        </w:tc>
        <w:tc>
          <w:tcPr>
            <w:tcW w:w="1275" w:type="dxa"/>
            <w:noWrap/>
            <w:hideMark/>
          </w:tcPr>
          <w:p w14:paraId="6F9A0F08"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72</w:t>
            </w:r>
          </w:p>
        </w:tc>
        <w:tc>
          <w:tcPr>
            <w:tcW w:w="1844" w:type="dxa"/>
            <w:noWrap/>
            <w:hideMark/>
          </w:tcPr>
          <w:p w14:paraId="043FAAE8"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63.5400</w:t>
            </w:r>
          </w:p>
        </w:tc>
        <w:tc>
          <w:tcPr>
            <w:tcW w:w="1098" w:type="dxa"/>
            <w:noWrap/>
            <w:hideMark/>
          </w:tcPr>
          <w:p w14:paraId="198C49A5"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32.3600</w:t>
            </w:r>
          </w:p>
        </w:tc>
        <w:tc>
          <w:tcPr>
            <w:tcW w:w="698" w:type="dxa"/>
            <w:noWrap/>
            <w:hideMark/>
          </w:tcPr>
          <w:p w14:paraId="35F1FDBB"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1.96</w:t>
            </w:r>
          </w:p>
        </w:tc>
      </w:tr>
      <w:tr w:rsidR="00376E9B" w:rsidRPr="00B92197" w14:paraId="64FC26E9" w14:textId="77777777" w:rsidTr="00D9304C">
        <w:trPr>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51225760"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Daily path length</w:t>
            </w:r>
          </w:p>
        </w:tc>
        <w:tc>
          <w:tcPr>
            <w:tcW w:w="1397" w:type="dxa"/>
            <w:noWrap/>
            <w:hideMark/>
          </w:tcPr>
          <w:p w14:paraId="2D7EDE4F"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100%</w:t>
            </w:r>
          </w:p>
        </w:tc>
        <w:tc>
          <w:tcPr>
            <w:tcW w:w="992" w:type="dxa"/>
            <w:noWrap/>
            <w:hideMark/>
          </w:tcPr>
          <w:p w14:paraId="77234DC5"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437</w:t>
            </w:r>
          </w:p>
        </w:tc>
        <w:tc>
          <w:tcPr>
            <w:tcW w:w="1275" w:type="dxa"/>
            <w:noWrap/>
            <w:hideMark/>
          </w:tcPr>
          <w:p w14:paraId="206B6CF0"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52</w:t>
            </w:r>
          </w:p>
        </w:tc>
        <w:tc>
          <w:tcPr>
            <w:tcW w:w="1844" w:type="dxa"/>
            <w:noWrap/>
            <w:hideMark/>
          </w:tcPr>
          <w:p w14:paraId="543EFC18"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81.1700</w:t>
            </w:r>
          </w:p>
        </w:tc>
        <w:tc>
          <w:tcPr>
            <w:tcW w:w="1098" w:type="dxa"/>
            <w:noWrap/>
            <w:hideMark/>
          </w:tcPr>
          <w:p w14:paraId="0F59F472"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46.9700</w:t>
            </w:r>
          </w:p>
        </w:tc>
        <w:tc>
          <w:tcPr>
            <w:tcW w:w="698" w:type="dxa"/>
            <w:noWrap/>
            <w:hideMark/>
          </w:tcPr>
          <w:p w14:paraId="09037715"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1.73</w:t>
            </w:r>
          </w:p>
        </w:tc>
      </w:tr>
      <w:tr w:rsidR="00376E9B" w:rsidRPr="00B92197" w14:paraId="470280BC" w14:textId="77777777" w:rsidTr="00D9304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386DA105"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Path sinuosity</w:t>
            </w:r>
          </w:p>
        </w:tc>
        <w:tc>
          <w:tcPr>
            <w:tcW w:w="1397" w:type="dxa"/>
            <w:noWrap/>
            <w:hideMark/>
          </w:tcPr>
          <w:p w14:paraId="60C717A1"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≥25%</w:t>
            </w:r>
          </w:p>
        </w:tc>
        <w:tc>
          <w:tcPr>
            <w:tcW w:w="992" w:type="dxa"/>
            <w:noWrap/>
            <w:hideMark/>
          </w:tcPr>
          <w:p w14:paraId="50E25B05"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1169</w:t>
            </w:r>
          </w:p>
        </w:tc>
        <w:tc>
          <w:tcPr>
            <w:tcW w:w="1275" w:type="dxa"/>
            <w:noWrap/>
            <w:hideMark/>
          </w:tcPr>
          <w:p w14:paraId="16CABF5D"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85</w:t>
            </w:r>
          </w:p>
        </w:tc>
        <w:tc>
          <w:tcPr>
            <w:tcW w:w="1844" w:type="dxa"/>
            <w:noWrap/>
            <w:hideMark/>
          </w:tcPr>
          <w:p w14:paraId="7B1BFF84"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-0.0097</w:t>
            </w:r>
          </w:p>
        </w:tc>
        <w:tc>
          <w:tcPr>
            <w:tcW w:w="1098" w:type="dxa"/>
            <w:noWrap/>
            <w:hideMark/>
          </w:tcPr>
          <w:p w14:paraId="7C2655A6"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0.0036</w:t>
            </w:r>
          </w:p>
        </w:tc>
        <w:tc>
          <w:tcPr>
            <w:tcW w:w="698" w:type="dxa"/>
            <w:noWrap/>
            <w:hideMark/>
          </w:tcPr>
          <w:p w14:paraId="65B0B451"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-2.70</w:t>
            </w:r>
          </w:p>
        </w:tc>
      </w:tr>
      <w:tr w:rsidR="00376E9B" w:rsidRPr="00B92197" w14:paraId="1DA86A49" w14:textId="77777777" w:rsidTr="00D9304C">
        <w:trPr>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4611890F"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Path sinuosity</w:t>
            </w:r>
          </w:p>
        </w:tc>
        <w:tc>
          <w:tcPr>
            <w:tcW w:w="1397" w:type="dxa"/>
            <w:noWrap/>
            <w:hideMark/>
          </w:tcPr>
          <w:p w14:paraId="29C3D958"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≥50%</w:t>
            </w:r>
          </w:p>
        </w:tc>
        <w:tc>
          <w:tcPr>
            <w:tcW w:w="992" w:type="dxa"/>
            <w:noWrap/>
            <w:hideMark/>
          </w:tcPr>
          <w:p w14:paraId="5975D717"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1139</w:t>
            </w:r>
          </w:p>
        </w:tc>
        <w:tc>
          <w:tcPr>
            <w:tcW w:w="1275" w:type="dxa"/>
            <w:noWrap/>
            <w:hideMark/>
          </w:tcPr>
          <w:p w14:paraId="18C96A32"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82</w:t>
            </w:r>
          </w:p>
        </w:tc>
        <w:tc>
          <w:tcPr>
            <w:tcW w:w="1844" w:type="dxa"/>
            <w:noWrap/>
            <w:hideMark/>
          </w:tcPr>
          <w:p w14:paraId="01FBB5AB"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-0.0095</w:t>
            </w:r>
          </w:p>
        </w:tc>
        <w:tc>
          <w:tcPr>
            <w:tcW w:w="1098" w:type="dxa"/>
            <w:noWrap/>
            <w:hideMark/>
          </w:tcPr>
          <w:p w14:paraId="307508C2"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0.0036</w:t>
            </w:r>
          </w:p>
        </w:tc>
        <w:tc>
          <w:tcPr>
            <w:tcW w:w="698" w:type="dxa"/>
            <w:noWrap/>
            <w:hideMark/>
          </w:tcPr>
          <w:p w14:paraId="14DDD7B1"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-2.63</w:t>
            </w:r>
          </w:p>
        </w:tc>
      </w:tr>
      <w:tr w:rsidR="00376E9B" w:rsidRPr="00B92197" w14:paraId="7EC49DA0" w14:textId="77777777" w:rsidTr="00D9304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610222D9"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Path sinuosity</w:t>
            </w:r>
          </w:p>
        </w:tc>
        <w:tc>
          <w:tcPr>
            <w:tcW w:w="1397" w:type="dxa"/>
            <w:noWrap/>
            <w:hideMark/>
          </w:tcPr>
          <w:p w14:paraId="29FFBEBE"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≥75%</w:t>
            </w:r>
          </w:p>
        </w:tc>
        <w:tc>
          <w:tcPr>
            <w:tcW w:w="992" w:type="dxa"/>
            <w:noWrap/>
            <w:hideMark/>
          </w:tcPr>
          <w:p w14:paraId="534545AE"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981</w:t>
            </w:r>
          </w:p>
        </w:tc>
        <w:tc>
          <w:tcPr>
            <w:tcW w:w="1275" w:type="dxa"/>
            <w:noWrap/>
            <w:hideMark/>
          </w:tcPr>
          <w:p w14:paraId="238F0911"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72</w:t>
            </w:r>
          </w:p>
        </w:tc>
        <w:tc>
          <w:tcPr>
            <w:tcW w:w="1844" w:type="dxa"/>
            <w:noWrap/>
            <w:hideMark/>
          </w:tcPr>
          <w:p w14:paraId="415B9762"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-0.0073</w:t>
            </w:r>
          </w:p>
        </w:tc>
        <w:tc>
          <w:tcPr>
            <w:tcW w:w="1098" w:type="dxa"/>
            <w:noWrap/>
            <w:hideMark/>
          </w:tcPr>
          <w:p w14:paraId="71CB6C01"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0.0039</w:t>
            </w:r>
          </w:p>
        </w:tc>
        <w:tc>
          <w:tcPr>
            <w:tcW w:w="698" w:type="dxa"/>
            <w:noWrap/>
            <w:hideMark/>
          </w:tcPr>
          <w:p w14:paraId="23FB67AA" w14:textId="77777777" w:rsidR="00376E9B" w:rsidRPr="00B92197" w:rsidRDefault="00376E9B" w:rsidP="00D9304C">
            <w:pPr>
              <w:spacing w:after="160" w:line="259" w:lineRule="auto"/>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92197">
              <w:rPr>
                <w:rFonts w:cstheme="minorHAnsi"/>
                <w:sz w:val="20"/>
                <w:szCs w:val="20"/>
              </w:rPr>
              <w:t>-1.86</w:t>
            </w:r>
          </w:p>
        </w:tc>
      </w:tr>
      <w:tr w:rsidR="00376E9B" w:rsidRPr="00B92197" w14:paraId="094743EA" w14:textId="77777777" w:rsidTr="00D9304C">
        <w:trPr>
          <w:trHeight w:val="344"/>
        </w:trPr>
        <w:tc>
          <w:tcPr>
            <w:cnfStyle w:val="001000000000" w:firstRow="0" w:lastRow="0" w:firstColumn="1" w:lastColumn="0" w:oddVBand="0" w:evenVBand="0" w:oddHBand="0" w:evenHBand="0" w:firstRowFirstColumn="0" w:firstRowLastColumn="0" w:lastRowFirstColumn="0" w:lastRowLastColumn="0"/>
            <w:tcW w:w="1722" w:type="dxa"/>
            <w:gridSpan w:val="2"/>
            <w:noWrap/>
            <w:hideMark/>
          </w:tcPr>
          <w:p w14:paraId="57DFFE28" w14:textId="77777777" w:rsidR="00376E9B" w:rsidRPr="00B92197" w:rsidRDefault="00376E9B" w:rsidP="00D9304C">
            <w:pPr>
              <w:spacing w:after="160" w:line="259" w:lineRule="auto"/>
              <w:rPr>
                <w:rFonts w:cstheme="minorHAnsi"/>
                <w:b w:val="0"/>
                <w:bCs w:val="0"/>
                <w:sz w:val="20"/>
                <w:szCs w:val="20"/>
              </w:rPr>
            </w:pPr>
            <w:r w:rsidRPr="00B92197">
              <w:rPr>
                <w:rFonts w:cstheme="minorHAnsi"/>
                <w:b w:val="0"/>
                <w:bCs w:val="0"/>
                <w:sz w:val="20"/>
                <w:szCs w:val="20"/>
              </w:rPr>
              <w:t>Path sinuosity</w:t>
            </w:r>
          </w:p>
        </w:tc>
        <w:tc>
          <w:tcPr>
            <w:tcW w:w="1397" w:type="dxa"/>
            <w:noWrap/>
            <w:hideMark/>
          </w:tcPr>
          <w:p w14:paraId="47262843"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100%</w:t>
            </w:r>
          </w:p>
        </w:tc>
        <w:tc>
          <w:tcPr>
            <w:tcW w:w="992" w:type="dxa"/>
            <w:noWrap/>
            <w:hideMark/>
          </w:tcPr>
          <w:p w14:paraId="1DE3631D"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437</w:t>
            </w:r>
          </w:p>
        </w:tc>
        <w:tc>
          <w:tcPr>
            <w:tcW w:w="1275" w:type="dxa"/>
            <w:noWrap/>
            <w:hideMark/>
          </w:tcPr>
          <w:p w14:paraId="375E2208"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52</w:t>
            </w:r>
          </w:p>
        </w:tc>
        <w:tc>
          <w:tcPr>
            <w:tcW w:w="1844" w:type="dxa"/>
            <w:noWrap/>
            <w:hideMark/>
          </w:tcPr>
          <w:p w14:paraId="314C6639"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-0.0058</w:t>
            </w:r>
          </w:p>
        </w:tc>
        <w:tc>
          <w:tcPr>
            <w:tcW w:w="1098" w:type="dxa"/>
            <w:noWrap/>
            <w:hideMark/>
          </w:tcPr>
          <w:p w14:paraId="5AFA5FF6"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0.0059</w:t>
            </w:r>
          </w:p>
        </w:tc>
        <w:tc>
          <w:tcPr>
            <w:tcW w:w="698" w:type="dxa"/>
            <w:noWrap/>
            <w:hideMark/>
          </w:tcPr>
          <w:p w14:paraId="5240569A" w14:textId="77777777" w:rsidR="00376E9B" w:rsidRPr="00B92197" w:rsidRDefault="00376E9B" w:rsidP="00D9304C">
            <w:pPr>
              <w:spacing w:after="160" w:line="259" w:lineRule="auto"/>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B92197">
              <w:rPr>
                <w:rFonts w:cstheme="minorHAnsi"/>
                <w:sz w:val="20"/>
                <w:szCs w:val="20"/>
              </w:rPr>
              <w:t>-1.00</w:t>
            </w:r>
          </w:p>
        </w:tc>
      </w:tr>
    </w:tbl>
    <w:p w14:paraId="0E05260D" w14:textId="77777777" w:rsidR="00376E9B" w:rsidRPr="00B92197" w:rsidRDefault="00376E9B" w:rsidP="00376E9B">
      <w:pPr>
        <w:rPr>
          <w:rFonts w:cstheme="minorHAnsi"/>
          <w:b/>
          <w:bCs/>
          <w:i/>
          <w:iCs/>
          <w:sz w:val="20"/>
          <w:szCs w:val="20"/>
        </w:rPr>
      </w:pPr>
    </w:p>
    <w:p w14:paraId="7691837B" w14:textId="77777777" w:rsidR="00376E9B" w:rsidRPr="00B92197" w:rsidRDefault="00376E9B" w:rsidP="00376E9B">
      <w:pPr>
        <w:spacing w:line="480" w:lineRule="auto"/>
        <w:jc w:val="both"/>
        <w:rPr>
          <w:rFonts w:cstheme="minorHAnsi"/>
          <w:sz w:val="20"/>
          <w:szCs w:val="20"/>
        </w:rPr>
      </w:pPr>
      <w:r w:rsidRPr="00B92197">
        <w:rPr>
          <w:rFonts w:cstheme="minorHAnsi"/>
          <w:sz w:val="20"/>
          <w:szCs w:val="20"/>
        </w:rPr>
        <w:t>Missing GPS locations can influence movement estimates, particularly metrics based on path geometry, such as sinuosity. To evaluate which GPS completeness threshold to use in the main analyses, we repeated the daily path length and path sinuosity models using alternative GPS completeness criteria (≥25%, ≥50%, ≥75%, and 100%). For each threshold, we refitted the models using the same model structures as the main analyses (Model1_DPL and Model1_Sin</w:t>
      </w:r>
      <w:r w:rsidRPr="00A761BA">
        <w:rPr>
          <w:rFonts w:cstheme="minorHAnsi"/>
          <w:i/>
          <w:iCs/>
          <w:sz w:val="20"/>
          <w:szCs w:val="20"/>
        </w:rPr>
        <w:t xml:space="preserve">; see </w:t>
      </w:r>
      <w:r w:rsidRPr="00B92197">
        <w:rPr>
          <w:rFonts w:cstheme="minorHAnsi"/>
          <w:i/>
          <w:iCs/>
          <w:sz w:val="20"/>
          <w:szCs w:val="20"/>
        </w:rPr>
        <w:t>Supplementary table 2</w:t>
      </w:r>
      <w:r w:rsidRPr="00B92197">
        <w:rPr>
          <w:rFonts w:cstheme="minorHAnsi"/>
          <w:sz w:val="20"/>
          <w:szCs w:val="20"/>
        </w:rPr>
        <w:t>). Effects remained consistent across thresholds.</w:t>
      </w:r>
    </w:p>
    <w:p w14:paraId="476DFFD1" w14:textId="77777777" w:rsidR="00376E9B" w:rsidRPr="00B92197" w:rsidRDefault="00376E9B" w:rsidP="00376E9B">
      <w:pPr>
        <w:spacing w:line="480" w:lineRule="auto"/>
        <w:jc w:val="both"/>
        <w:rPr>
          <w:rFonts w:cstheme="minorHAnsi"/>
          <w:sz w:val="20"/>
          <w:szCs w:val="20"/>
        </w:rPr>
      </w:pPr>
      <w:r w:rsidRPr="00B92197">
        <w:rPr>
          <w:rFonts w:cstheme="minorHAnsi"/>
          <w:sz w:val="20"/>
          <w:szCs w:val="20"/>
        </w:rPr>
        <w:t xml:space="preserve">Increasing the completeness threshold reduced the available sample size. For daily path length analyses, the dataset decreased from 1,169 follow-days involving 85 focal individuals at the ≥25% threshold to 981 follow-days involving 72 focal individuals at the ≥75% threshold, representing a loss of 188 follow-days (16.1%) and 13 focal individuals (15.3%). Requiring complete GPS data (100% completeness) resulted in a substantially greater reduction, leaving 437 follow-days from 52 focal individuals, corresponding to losses of 732 follow-days (62.6%) and 33 focal individuals (38.8%) relative to the ≥25% threshold. </w:t>
      </w:r>
    </w:p>
    <w:p w14:paraId="61FBD1C3" w14:textId="77777777" w:rsidR="00376E9B" w:rsidRPr="00B92197" w:rsidRDefault="00376E9B" w:rsidP="00376E9B">
      <w:pPr>
        <w:spacing w:line="480" w:lineRule="auto"/>
        <w:jc w:val="both"/>
        <w:rPr>
          <w:rFonts w:cstheme="minorHAnsi"/>
          <w:sz w:val="20"/>
          <w:szCs w:val="20"/>
        </w:rPr>
      </w:pPr>
      <w:r w:rsidRPr="00B92197">
        <w:rPr>
          <w:rFonts w:cstheme="minorHAnsi"/>
          <w:sz w:val="20"/>
          <w:szCs w:val="20"/>
        </w:rPr>
        <w:t>Despite reductions in sample size, the estimated effect of time spent in association on daily path length was highly consistent across completeness thresholds. The estimated increase in daily path length associated with time spent in association was 63.5 m at the ≥25%, ≥50%, and ≥75% thresholds. The 100% completeness threshold produced a slightly larger estimate (81.2 m), but this was accompanied by increased uncertainty, likely reflecting the substantially reduced sample size (</w:t>
      </w:r>
      <w:r w:rsidRPr="00B92197">
        <w:rPr>
          <w:rFonts w:cstheme="minorHAnsi"/>
          <w:i/>
          <w:iCs/>
          <w:sz w:val="20"/>
          <w:szCs w:val="20"/>
        </w:rPr>
        <w:t>Supplementary table 1</w:t>
      </w:r>
      <w:r w:rsidRPr="00B92197">
        <w:rPr>
          <w:rFonts w:cstheme="minorHAnsi"/>
          <w:sz w:val="20"/>
          <w:szCs w:val="20"/>
        </w:rPr>
        <w:t>).</w:t>
      </w:r>
    </w:p>
    <w:p w14:paraId="14AB01B4" w14:textId="77777777" w:rsidR="00376E9B" w:rsidRPr="00B92197" w:rsidRDefault="00376E9B" w:rsidP="00376E9B">
      <w:pPr>
        <w:spacing w:line="480" w:lineRule="auto"/>
        <w:jc w:val="both"/>
        <w:rPr>
          <w:rFonts w:cstheme="minorHAnsi"/>
          <w:sz w:val="20"/>
          <w:szCs w:val="20"/>
        </w:rPr>
      </w:pPr>
      <w:r w:rsidRPr="00B92197">
        <w:rPr>
          <w:rFonts w:cstheme="minorHAnsi"/>
          <w:sz w:val="20"/>
          <w:szCs w:val="20"/>
        </w:rPr>
        <w:lastRenderedPageBreak/>
        <w:t>For path sinuosity, the estimated relationship between time spent in association and sinuosity remained negative across all completeness thresholds. However, the strength of this association decreased with increasingly strict completeness criteria, and uncertainty increased as sample sizes declined, particularly under the 100% completeness threshold (</w:t>
      </w:r>
      <w:r w:rsidRPr="00B92197">
        <w:rPr>
          <w:rFonts w:cstheme="minorHAnsi"/>
          <w:i/>
          <w:iCs/>
          <w:sz w:val="20"/>
          <w:szCs w:val="20"/>
        </w:rPr>
        <w:t>Supplementary table 1</w:t>
      </w:r>
      <w:r w:rsidRPr="00B92197">
        <w:rPr>
          <w:rFonts w:cstheme="minorHAnsi"/>
          <w:sz w:val="20"/>
          <w:szCs w:val="20"/>
        </w:rPr>
        <w:t>).</w:t>
      </w:r>
    </w:p>
    <w:p w14:paraId="7F6D2463" w14:textId="77777777" w:rsidR="00376E9B" w:rsidRPr="00B92197" w:rsidRDefault="00376E9B" w:rsidP="00376E9B">
      <w:pPr>
        <w:spacing w:line="480" w:lineRule="auto"/>
        <w:jc w:val="both"/>
        <w:rPr>
          <w:rFonts w:cstheme="minorHAnsi"/>
          <w:sz w:val="20"/>
          <w:szCs w:val="20"/>
        </w:rPr>
      </w:pPr>
      <w:r w:rsidRPr="00B92197">
        <w:rPr>
          <w:rFonts w:cstheme="minorHAnsi"/>
          <w:sz w:val="20"/>
          <w:szCs w:val="20"/>
        </w:rPr>
        <w:t>Together, these sensitivity analyses indicate that the ≥75% GPS completeness threshold provided a suitable balance between reducing potential bias from incomplete movement trajectories and retaining sufficient sampling effort and individual representation for robust statistical inference.</w:t>
      </w:r>
    </w:p>
    <w:p w14:paraId="3172255E" w14:textId="77777777" w:rsidR="00EF667E" w:rsidRDefault="00EF667E"/>
    <w:sectPr w:rsidR="00EF667E" w:rsidSect="00477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9B"/>
    <w:rsid w:val="00253FD6"/>
    <w:rsid w:val="003322AC"/>
    <w:rsid w:val="00376E9B"/>
    <w:rsid w:val="00477863"/>
    <w:rsid w:val="006335A2"/>
    <w:rsid w:val="00793623"/>
    <w:rsid w:val="008C6063"/>
    <w:rsid w:val="00D90524"/>
    <w:rsid w:val="00EB4FF5"/>
    <w:rsid w:val="00EF667E"/>
    <w:rsid w:val="00F6623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44A6"/>
  <w15:chartTrackingRefBased/>
  <w15:docId w15:val="{643E24E0-1E1C-4B92-B7D6-26EBACBF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E9B"/>
    <w:rPr>
      <w:kern w:val="0"/>
      <w14:ligatures w14:val="none"/>
    </w:rPr>
  </w:style>
  <w:style w:type="paragraph" w:styleId="Heading1">
    <w:name w:val="heading 1"/>
    <w:basedOn w:val="Normal"/>
    <w:next w:val="Normal"/>
    <w:link w:val="Heading1Char"/>
    <w:uiPriority w:val="9"/>
    <w:qFormat/>
    <w:rsid w:val="00376E9B"/>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6E9B"/>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6E9B"/>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6E9B"/>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76E9B"/>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76E9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76E9B"/>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76E9B"/>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76E9B"/>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E9B"/>
    <w:rPr>
      <w:rFonts w:eastAsiaTheme="majorEastAsia" w:cstheme="majorBidi"/>
      <w:color w:val="272727" w:themeColor="text1" w:themeTint="D8"/>
    </w:rPr>
  </w:style>
  <w:style w:type="paragraph" w:styleId="Title">
    <w:name w:val="Title"/>
    <w:basedOn w:val="Normal"/>
    <w:next w:val="Normal"/>
    <w:link w:val="TitleChar"/>
    <w:uiPriority w:val="10"/>
    <w:qFormat/>
    <w:rsid w:val="00376E9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6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E9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6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E9B"/>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76E9B"/>
    <w:rPr>
      <w:i/>
      <w:iCs/>
      <w:color w:val="404040" w:themeColor="text1" w:themeTint="BF"/>
    </w:rPr>
  </w:style>
  <w:style w:type="paragraph" w:styleId="ListParagraph">
    <w:name w:val="List Paragraph"/>
    <w:basedOn w:val="Normal"/>
    <w:uiPriority w:val="34"/>
    <w:qFormat/>
    <w:rsid w:val="00376E9B"/>
    <w:pPr>
      <w:ind w:left="720"/>
      <w:contextualSpacing/>
    </w:pPr>
    <w:rPr>
      <w:kern w:val="2"/>
      <w14:ligatures w14:val="standardContextual"/>
    </w:rPr>
  </w:style>
  <w:style w:type="character" w:styleId="IntenseEmphasis">
    <w:name w:val="Intense Emphasis"/>
    <w:basedOn w:val="DefaultParagraphFont"/>
    <w:uiPriority w:val="21"/>
    <w:qFormat/>
    <w:rsid w:val="00376E9B"/>
    <w:rPr>
      <w:i/>
      <w:iCs/>
      <w:color w:val="0F4761" w:themeColor="accent1" w:themeShade="BF"/>
    </w:rPr>
  </w:style>
  <w:style w:type="paragraph" w:styleId="IntenseQuote">
    <w:name w:val="Intense Quote"/>
    <w:basedOn w:val="Normal"/>
    <w:next w:val="Normal"/>
    <w:link w:val="IntenseQuoteChar"/>
    <w:uiPriority w:val="30"/>
    <w:qFormat/>
    <w:rsid w:val="00376E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76E9B"/>
    <w:rPr>
      <w:i/>
      <w:iCs/>
      <w:color w:val="0F4761" w:themeColor="accent1" w:themeShade="BF"/>
    </w:rPr>
  </w:style>
  <w:style w:type="character" w:styleId="IntenseReference">
    <w:name w:val="Intense Reference"/>
    <w:basedOn w:val="DefaultParagraphFont"/>
    <w:uiPriority w:val="32"/>
    <w:qFormat/>
    <w:rsid w:val="00376E9B"/>
    <w:rPr>
      <w:b/>
      <w:bCs/>
      <w:smallCaps/>
      <w:color w:val="0F4761" w:themeColor="accent1" w:themeShade="BF"/>
      <w:spacing w:val="5"/>
    </w:rPr>
  </w:style>
  <w:style w:type="table" w:styleId="PlainTable2">
    <w:name w:val="Plain Table 2"/>
    <w:basedOn w:val="TableNormal"/>
    <w:uiPriority w:val="42"/>
    <w:rsid w:val="00376E9B"/>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2499</Characters>
  <Application>Microsoft Office Word</Application>
  <DocSecurity>0</DocSecurity>
  <Lines>20</Lines>
  <Paragraphs>5</Paragraphs>
  <ScaleCrop>false</ScaleCrop>
  <Company>MPIAB</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Lokuciejewski</dc:creator>
  <cp:keywords/>
  <dc:description/>
  <cp:lastModifiedBy>Emma Lokuciejewski</cp:lastModifiedBy>
  <cp:revision>1</cp:revision>
  <dcterms:created xsi:type="dcterms:W3CDTF">2026-08-08T05:54:00Z</dcterms:created>
  <dcterms:modified xsi:type="dcterms:W3CDTF">2026-08-08T05:54:00Z</dcterms:modified>
</cp:coreProperties>
</file>