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D00" w:rsidRPr="00662AA9" w:rsidRDefault="00AB2D00" w:rsidP="00AB2D00">
      <w:pPr>
        <w:pStyle w:val="EndNoteBibliography"/>
        <w:ind w:left="720" w:hanging="720"/>
        <w:jc w:val="left"/>
        <w:rPr>
          <w:rFonts w:asciiTheme="majorBidi" w:hAnsiTheme="majorBidi" w:cstheme="majorBidi"/>
          <w:sz w:val="24"/>
          <w:szCs w:val="24"/>
        </w:rPr>
      </w:pPr>
      <w:r w:rsidRPr="00662AA9">
        <w:rPr>
          <w:rFonts w:asciiTheme="majorBidi" w:hAnsiTheme="majorBidi" w:cstheme="majorBidi"/>
          <w:sz w:val="24"/>
          <w:szCs w:val="24"/>
        </w:rPr>
        <w:fldChar w:fldCharType="begin"/>
      </w:r>
      <w:r w:rsidRPr="00662AA9">
        <w:rPr>
          <w:rFonts w:asciiTheme="majorBidi" w:hAnsiTheme="majorBidi" w:cstheme="majorBidi"/>
          <w:sz w:val="24"/>
          <w:szCs w:val="24"/>
        </w:rPr>
        <w:instrText xml:space="preserve"> ADDIN EN.REFLIST </w:instrText>
      </w:r>
      <w:r w:rsidRPr="00662AA9">
        <w:rPr>
          <w:rFonts w:asciiTheme="majorBidi" w:hAnsiTheme="majorBidi" w:cstheme="majorBidi"/>
          <w:sz w:val="24"/>
          <w:szCs w:val="24"/>
        </w:rPr>
        <w:fldChar w:fldCharType="separate"/>
      </w:r>
      <w:r w:rsidRPr="00662AA9">
        <w:rPr>
          <w:rFonts w:asciiTheme="majorBidi" w:hAnsiTheme="majorBidi" w:cstheme="majorBidi"/>
          <w:sz w:val="24"/>
          <w:szCs w:val="24"/>
        </w:rPr>
        <w:t xml:space="preserve">Borja, L. A., Soto, S. T., &amp; Sanchez, T. X. (2015). Differentiating instruction for EFL learners. </w:t>
      </w:r>
      <w:r w:rsidRPr="00662AA9">
        <w:rPr>
          <w:rFonts w:asciiTheme="majorBidi" w:hAnsiTheme="majorBidi" w:cstheme="majorBidi"/>
          <w:i/>
          <w:sz w:val="24"/>
          <w:szCs w:val="24"/>
        </w:rPr>
        <w:t>International Journal of Humanities and Social Science, 5</w:t>
      </w:r>
      <w:r w:rsidRPr="00662AA9">
        <w:rPr>
          <w:rFonts w:asciiTheme="majorBidi" w:hAnsiTheme="majorBidi" w:cstheme="majorBidi"/>
          <w:sz w:val="24"/>
          <w:szCs w:val="24"/>
        </w:rPr>
        <w:t xml:space="preserve">(8), 30-36. </w:t>
      </w:r>
    </w:p>
    <w:p w:rsidR="00AB2D00" w:rsidRPr="00662AA9" w:rsidRDefault="00AB2D00" w:rsidP="00AB2D00">
      <w:pPr>
        <w:pStyle w:val="EndNoteBibliography"/>
        <w:ind w:left="720" w:hanging="720"/>
        <w:jc w:val="left"/>
        <w:rPr>
          <w:rFonts w:asciiTheme="majorBidi" w:hAnsiTheme="majorBidi" w:cstheme="majorBidi"/>
          <w:sz w:val="24"/>
          <w:szCs w:val="24"/>
        </w:rPr>
      </w:pPr>
      <w:r w:rsidRPr="00662AA9">
        <w:rPr>
          <w:rFonts w:asciiTheme="majorBidi" w:hAnsiTheme="majorBidi" w:cstheme="majorBidi"/>
          <w:sz w:val="24"/>
          <w:szCs w:val="24"/>
        </w:rPr>
        <w:t xml:space="preserve">Byrne, B. M. (2010). </w:t>
      </w:r>
      <w:r w:rsidRPr="00662AA9">
        <w:rPr>
          <w:rFonts w:asciiTheme="majorBidi" w:hAnsiTheme="majorBidi" w:cstheme="majorBidi"/>
          <w:i/>
          <w:iCs/>
          <w:sz w:val="24"/>
          <w:szCs w:val="24"/>
        </w:rPr>
        <w:t>Structural equation modeling with AMOS: Basic concepts, applications, and programming (2</w:t>
      </w:r>
      <w:r w:rsidRPr="00662AA9">
        <w:rPr>
          <w:rFonts w:asciiTheme="majorBidi" w:hAnsiTheme="majorBidi" w:cstheme="majorBidi"/>
          <w:i/>
          <w:iCs/>
          <w:sz w:val="24"/>
          <w:szCs w:val="24"/>
          <w:vertAlign w:val="superscript"/>
        </w:rPr>
        <w:t>nd</w:t>
      </w:r>
      <w:r w:rsidRPr="00662AA9">
        <w:rPr>
          <w:rFonts w:asciiTheme="majorBidi" w:hAnsiTheme="majorBidi" w:cstheme="majorBidi"/>
          <w:i/>
          <w:iCs/>
          <w:sz w:val="24"/>
          <w:szCs w:val="24"/>
        </w:rPr>
        <w:t xml:space="preserve"> ed.).</w:t>
      </w:r>
      <w:r w:rsidRPr="00662AA9">
        <w:rPr>
          <w:rFonts w:asciiTheme="majorBidi" w:hAnsiTheme="majorBidi" w:cstheme="majorBidi"/>
          <w:sz w:val="24"/>
          <w:szCs w:val="24"/>
        </w:rPr>
        <w:t xml:space="preserve"> Routledge Taylor &amp; Francis Group.</w:t>
      </w:r>
    </w:p>
    <w:p w:rsidR="00AB2D00" w:rsidRPr="00662AA9" w:rsidRDefault="00AB2D00" w:rsidP="00AB2D00">
      <w:pPr>
        <w:pStyle w:val="EndNoteBibliography"/>
        <w:ind w:left="720" w:hanging="720"/>
        <w:jc w:val="left"/>
        <w:rPr>
          <w:rFonts w:asciiTheme="majorBidi" w:hAnsiTheme="majorBidi" w:cstheme="majorBidi"/>
          <w:sz w:val="24"/>
          <w:szCs w:val="24"/>
        </w:rPr>
      </w:pPr>
      <w:r w:rsidRPr="00662AA9">
        <w:rPr>
          <w:rFonts w:asciiTheme="majorBidi" w:hAnsiTheme="majorBidi" w:cstheme="majorBidi"/>
          <w:sz w:val="24"/>
          <w:szCs w:val="24"/>
        </w:rPr>
        <w:t xml:space="preserve">Chen, Y.-u. H. (2007). </w:t>
      </w:r>
      <w:r w:rsidRPr="00662AA9">
        <w:rPr>
          <w:rFonts w:asciiTheme="majorBidi" w:hAnsiTheme="majorBidi" w:cstheme="majorBidi"/>
          <w:i/>
          <w:sz w:val="24"/>
          <w:szCs w:val="24"/>
        </w:rPr>
        <w:t>Exploring the assessment aspect of differentiated instruction: College EFL learners' perspectives on tiered performance tasks.</w:t>
      </w:r>
      <w:r w:rsidRPr="00662AA9">
        <w:rPr>
          <w:rFonts w:asciiTheme="majorBidi" w:hAnsiTheme="majorBidi" w:cstheme="majorBidi"/>
          <w:sz w:val="24"/>
          <w:szCs w:val="24"/>
        </w:rPr>
        <w:t xml:space="preserve"> University of New Orleans</w:t>
      </w:r>
      <w:r w:rsidRPr="00662AA9">
        <w:t xml:space="preserve"> </w:t>
      </w:r>
      <w:r w:rsidRPr="00662AA9">
        <w:rPr>
          <w:rFonts w:asciiTheme="majorBidi" w:hAnsiTheme="majorBidi" w:cstheme="majorBidi"/>
          <w:sz w:val="24"/>
          <w:szCs w:val="24"/>
        </w:rPr>
        <w:t>University of New Orleans Theses and Dissertations. 837.</w:t>
      </w:r>
    </w:p>
    <w:p w:rsidR="00AB2D00" w:rsidRPr="00662AA9" w:rsidRDefault="00AB2D00" w:rsidP="00AB2D00">
      <w:pPr>
        <w:pStyle w:val="EndNoteBibliography"/>
        <w:ind w:left="720" w:hanging="720"/>
        <w:jc w:val="left"/>
        <w:rPr>
          <w:rFonts w:asciiTheme="majorBidi" w:hAnsiTheme="majorBidi" w:cstheme="majorBidi"/>
          <w:sz w:val="24"/>
          <w:szCs w:val="24"/>
        </w:rPr>
      </w:pPr>
      <w:r w:rsidRPr="00662AA9">
        <w:rPr>
          <w:rFonts w:asciiTheme="majorBidi" w:hAnsiTheme="majorBidi" w:cstheme="majorBidi"/>
          <w:sz w:val="24"/>
          <w:szCs w:val="24"/>
        </w:rPr>
        <w:t xml:space="preserve">Csapó, B., &amp; Molnár, G. (2019). Online diagnostic assessment in support of personalized teaching and learning: The eDia system. </w:t>
      </w:r>
      <w:r w:rsidRPr="00662AA9">
        <w:rPr>
          <w:rFonts w:asciiTheme="majorBidi" w:hAnsiTheme="majorBidi" w:cstheme="majorBidi"/>
          <w:i/>
          <w:sz w:val="24"/>
          <w:szCs w:val="24"/>
        </w:rPr>
        <w:t xml:space="preserve">Frontiers in </w:t>
      </w:r>
      <w:r>
        <w:rPr>
          <w:rFonts w:asciiTheme="majorBidi" w:hAnsiTheme="majorBidi" w:cstheme="majorBidi"/>
          <w:i/>
          <w:sz w:val="24"/>
          <w:szCs w:val="24"/>
        </w:rPr>
        <w:t>P</w:t>
      </w:r>
      <w:r w:rsidRPr="00662AA9">
        <w:rPr>
          <w:rFonts w:asciiTheme="majorBidi" w:hAnsiTheme="majorBidi" w:cstheme="majorBidi"/>
          <w:i/>
          <w:sz w:val="24"/>
          <w:szCs w:val="24"/>
        </w:rPr>
        <w:t>sychology, 10</w:t>
      </w:r>
      <w:r w:rsidRPr="00662AA9">
        <w:rPr>
          <w:rFonts w:asciiTheme="majorBidi" w:hAnsiTheme="majorBidi" w:cstheme="majorBidi"/>
          <w:sz w:val="24"/>
          <w:szCs w:val="24"/>
        </w:rPr>
        <w:t xml:space="preserve">, 1522. </w:t>
      </w:r>
      <w:r w:rsidRPr="001A0D18">
        <w:rPr>
          <w:rFonts w:asciiTheme="majorBidi" w:hAnsiTheme="majorBidi" w:cstheme="majorBidi"/>
          <w:sz w:val="24"/>
          <w:szCs w:val="24"/>
        </w:rPr>
        <w:t>https://doi.org/</w:t>
      </w:r>
      <w:r w:rsidRPr="00662AA9">
        <w:rPr>
          <w:rFonts w:asciiTheme="majorBidi" w:hAnsiTheme="majorBidi" w:cstheme="majorBidi"/>
          <w:sz w:val="24"/>
          <w:szCs w:val="24"/>
        </w:rPr>
        <w:t>10.3389/fpsyg.2019.01522</w:t>
      </w:r>
    </w:p>
    <w:p w:rsidR="00AB2D00" w:rsidRPr="00662AA9" w:rsidRDefault="00AB2D00" w:rsidP="00AB2D00">
      <w:pPr>
        <w:pStyle w:val="EndNoteBibliography"/>
        <w:ind w:left="720" w:hanging="720"/>
        <w:jc w:val="left"/>
        <w:rPr>
          <w:rStyle w:val="fontstyle01"/>
          <w:sz w:val="24"/>
          <w:szCs w:val="24"/>
        </w:rPr>
      </w:pPr>
      <w:r w:rsidRPr="00C0703E">
        <w:rPr>
          <w:rFonts w:ascii="Berkeley-Book" w:hAnsi="Berkeley-Book"/>
          <w:sz w:val="24"/>
          <w:szCs w:val="24"/>
          <w:lang w:val="ru-RU"/>
        </w:rPr>
        <w:t>Diagnosis. (20</w:t>
      </w:r>
      <w:r w:rsidRPr="00C0703E">
        <w:rPr>
          <w:rFonts w:ascii="Berkeley-Book" w:hAnsi="Berkeley-Book"/>
          <w:sz w:val="24"/>
          <w:szCs w:val="24"/>
        </w:rPr>
        <w:t>22</w:t>
      </w:r>
      <w:r w:rsidRPr="00C0703E">
        <w:rPr>
          <w:rFonts w:ascii="Berkeley-Book" w:hAnsi="Berkeley-Book"/>
          <w:sz w:val="24"/>
          <w:szCs w:val="24"/>
          <w:lang w:val="ru-RU"/>
        </w:rPr>
        <w:t xml:space="preserve">). In </w:t>
      </w:r>
      <w:r w:rsidRPr="00C0703E">
        <w:rPr>
          <w:rFonts w:ascii="Berkeley-Book" w:hAnsi="Berkeley-Book"/>
          <w:i/>
          <w:iCs/>
          <w:sz w:val="24"/>
          <w:szCs w:val="24"/>
          <w:lang w:val="ru-RU"/>
        </w:rPr>
        <w:t>The Merriam-Webster Online Dictionary</w:t>
      </w:r>
      <w:r w:rsidRPr="00C0703E">
        <w:rPr>
          <w:rFonts w:ascii="Berkeley-Book" w:hAnsi="Berkeley-Book"/>
          <w:sz w:val="24"/>
          <w:szCs w:val="24"/>
          <w:lang w:val="ru-RU"/>
        </w:rPr>
        <w:t xml:space="preserve">. Retrieved </w:t>
      </w:r>
      <w:r w:rsidRPr="00C0703E">
        <w:rPr>
          <w:rFonts w:ascii="Berkeley-Book" w:hAnsi="Berkeley-Book"/>
          <w:sz w:val="24"/>
          <w:szCs w:val="24"/>
        </w:rPr>
        <w:t>March 9</w:t>
      </w:r>
      <w:r w:rsidRPr="00C0703E">
        <w:rPr>
          <w:rFonts w:ascii="Berkeley-Book" w:hAnsi="Berkeley-Book"/>
          <w:sz w:val="24"/>
          <w:szCs w:val="24"/>
          <w:lang w:val="ru-RU"/>
        </w:rPr>
        <w:t>, 202</w:t>
      </w:r>
      <w:r w:rsidRPr="00C0703E">
        <w:rPr>
          <w:rFonts w:ascii="Berkeley-Book" w:hAnsi="Berkeley-Book"/>
          <w:sz w:val="24"/>
          <w:szCs w:val="24"/>
        </w:rPr>
        <w:t>2</w:t>
      </w:r>
      <w:r w:rsidRPr="00C0703E">
        <w:rPr>
          <w:rFonts w:ascii="Berkeley-Book" w:hAnsi="Berkeley-Book"/>
          <w:sz w:val="24"/>
          <w:szCs w:val="24"/>
          <w:lang w:val="ru-RU"/>
        </w:rPr>
        <w:t>, from www.merriam-webster.com/dictionary/diagnosis</w:t>
      </w:r>
      <w:r w:rsidRPr="00C0703E">
        <w:rPr>
          <w:rFonts w:ascii="Berkeley-Book" w:hAnsi="Berkeley-Book"/>
          <w:sz w:val="24"/>
          <w:szCs w:val="24"/>
        </w:rPr>
        <w:t xml:space="preserve">. </w:t>
      </w:r>
    </w:p>
    <w:p w:rsidR="00AB2D00" w:rsidRPr="00662AA9" w:rsidRDefault="00AB2D00" w:rsidP="00AB2D00">
      <w:pPr>
        <w:pStyle w:val="EndNoteBibliography"/>
        <w:ind w:left="720" w:hanging="720"/>
        <w:jc w:val="left"/>
        <w:rPr>
          <w:rStyle w:val="fontstyle01"/>
          <w:sz w:val="24"/>
          <w:szCs w:val="24"/>
        </w:rPr>
      </w:pPr>
      <w:r w:rsidRPr="00662AA9">
        <w:rPr>
          <w:rFonts w:ascii="Berkeley-Book" w:hAnsi="Berkeley-Book"/>
          <w:sz w:val="24"/>
          <w:szCs w:val="24"/>
        </w:rPr>
        <w:t xml:space="preserve">Donato, R. (1994). Collective scaffolding in second language learning. In J. P. Lantolf &amp; G. Appel (Eds.), </w:t>
      </w:r>
      <w:r w:rsidRPr="00662AA9">
        <w:rPr>
          <w:rFonts w:ascii="Berkeley-Book" w:hAnsi="Berkeley-Book"/>
          <w:i/>
          <w:iCs/>
          <w:sz w:val="24"/>
          <w:szCs w:val="24"/>
        </w:rPr>
        <w:t>Vygotskian approaches to second language research</w:t>
      </w:r>
      <w:r w:rsidRPr="00662AA9">
        <w:rPr>
          <w:rFonts w:ascii="Berkeley-Book" w:hAnsi="Berkeley-Book"/>
          <w:sz w:val="24"/>
          <w:szCs w:val="24"/>
        </w:rPr>
        <w:t xml:space="preserve"> (pp. 33-56). Ablex. </w:t>
      </w:r>
    </w:p>
    <w:p w:rsidR="00AB2D00" w:rsidRPr="00662AA9" w:rsidRDefault="00AB2D00" w:rsidP="00AB2D00">
      <w:pPr>
        <w:pStyle w:val="EndNoteBibliography"/>
        <w:ind w:left="720" w:hanging="720"/>
        <w:jc w:val="left"/>
        <w:rPr>
          <w:rFonts w:asciiTheme="majorBidi" w:hAnsiTheme="majorBidi" w:cstheme="majorBidi"/>
          <w:sz w:val="24"/>
          <w:szCs w:val="24"/>
        </w:rPr>
      </w:pPr>
      <w:r w:rsidRPr="00662AA9">
        <w:rPr>
          <w:rStyle w:val="fontstyle01"/>
          <w:sz w:val="24"/>
          <w:szCs w:val="24"/>
        </w:rPr>
        <w:t xml:space="preserve">Ellis, R. (2012). </w:t>
      </w:r>
      <w:r w:rsidRPr="00662AA9">
        <w:rPr>
          <w:rStyle w:val="fontstyle01"/>
          <w:i/>
          <w:iCs/>
          <w:sz w:val="24"/>
          <w:szCs w:val="24"/>
        </w:rPr>
        <w:t>The study of second language acquisition (2</w:t>
      </w:r>
      <w:r w:rsidRPr="00662AA9">
        <w:rPr>
          <w:rStyle w:val="fontstyle01"/>
          <w:i/>
          <w:iCs/>
          <w:sz w:val="24"/>
          <w:szCs w:val="24"/>
          <w:vertAlign w:val="superscript"/>
        </w:rPr>
        <w:t>nd</w:t>
      </w:r>
      <w:r w:rsidRPr="00662AA9">
        <w:rPr>
          <w:rStyle w:val="fontstyle01"/>
          <w:i/>
          <w:iCs/>
          <w:sz w:val="24"/>
          <w:szCs w:val="24"/>
        </w:rPr>
        <w:t xml:space="preserve"> </w:t>
      </w:r>
      <w:r>
        <w:rPr>
          <w:rStyle w:val="fontstyle01"/>
          <w:i/>
          <w:iCs/>
          <w:sz w:val="24"/>
          <w:szCs w:val="24"/>
        </w:rPr>
        <w:t>e</w:t>
      </w:r>
      <w:r w:rsidRPr="00662AA9">
        <w:rPr>
          <w:rStyle w:val="fontstyle01"/>
          <w:i/>
          <w:iCs/>
          <w:sz w:val="24"/>
          <w:szCs w:val="24"/>
        </w:rPr>
        <w:t>d.)</w:t>
      </w:r>
      <w:r w:rsidRPr="00662AA9">
        <w:rPr>
          <w:rStyle w:val="fontstyle01"/>
          <w:sz w:val="24"/>
          <w:szCs w:val="24"/>
        </w:rPr>
        <w:t xml:space="preserve">. Oxford University Press. </w:t>
      </w:r>
    </w:p>
    <w:p w:rsidR="00AB2D00" w:rsidRPr="00C736CC" w:rsidRDefault="00AB2D00" w:rsidP="00AB2D00">
      <w:pPr>
        <w:pStyle w:val="EndNoteBibliography"/>
        <w:ind w:left="720" w:hanging="720"/>
        <w:jc w:val="left"/>
        <w:rPr>
          <w:rFonts w:asciiTheme="majorBidi" w:hAnsiTheme="majorBidi" w:cstheme="majorBidi"/>
          <w:sz w:val="24"/>
          <w:szCs w:val="24"/>
        </w:rPr>
      </w:pPr>
      <w:r w:rsidRPr="00C736CC">
        <w:rPr>
          <w:rFonts w:asciiTheme="majorBidi" w:hAnsiTheme="majorBidi" w:cstheme="majorBidi"/>
          <w:sz w:val="24"/>
          <w:szCs w:val="24"/>
        </w:rPr>
        <w:t>Esfandiari, R., &amp; Noor, P. (2018). Iranian EFL Raters’ Cognitive Processes in Rating IELTS Speaking Tasks: The Effect of Expertise. </w:t>
      </w:r>
      <w:r w:rsidRPr="00C736CC">
        <w:rPr>
          <w:rFonts w:asciiTheme="majorBidi" w:hAnsiTheme="majorBidi" w:cstheme="majorBidi"/>
          <w:i/>
          <w:iCs/>
          <w:sz w:val="24"/>
          <w:szCs w:val="24"/>
        </w:rPr>
        <w:t>Journal of Modern Research in English Language Studies</w:t>
      </w:r>
      <w:r w:rsidRPr="00C736CC">
        <w:rPr>
          <w:rFonts w:asciiTheme="majorBidi" w:hAnsiTheme="majorBidi" w:cstheme="majorBidi"/>
          <w:sz w:val="24"/>
          <w:szCs w:val="24"/>
        </w:rPr>
        <w:t>, </w:t>
      </w:r>
      <w:r w:rsidRPr="00C736CC">
        <w:rPr>
          <w:rFonts w:asciiTheme="majorBidi" w:hAnsiTheme="majorBidi" w:cstheme="majorBidi"/>
          <w:i/>
          <w:iCs/>
          <w:sz w:val="24"/>
          <w:szCs w:val="24"/>
        </w:rPr>
        <w:t>5</w:t>
      </w:r>
      <w:r w:rsidRPr="00C736CC">
        <w:rPr>
          <w:rFonts w:asciiTheme="majorBidi" w:hAnsiTheme="majorBidi" w:cstheme="majorBidi"/>
          <w:sz w:val="24"/>
          <w:szCs w:val="24"/>
        </w:rPr>
        <w:t>(2), 41-76. https://doi.org/10.30479/jmrels.2019.9383.1248</w:t>
      </w:r>
    </w:p>
    <w:p w:rsidR="00AB2D00" w:rsidRPr="00662AA9" w:rsidRDefault="00AB2D00" w:rsidP="00AB2D00">
      <w:pPr>
        <w:pStyle w:val="EndNoteBibliography"/>
        <w:ind w:left="720" w:hanging="720"/>
        <w:jc w:val="left"/>
        <w:rPr>
          <w:rFonts w:asciiTheme="majorBidi" w:hAnsiTheme="majorBidi" w:cstheme="majorBidi"/>
          <w:sz w:val="24"/>
          <w:szCs w:val="24"/>
        </w:rPr>
      </w:pPr>
      <w:r w:rsidRPr="00662AA9">
        <w:rPr>
          <w:rFonts w:asciiTheme="majorBidi" w:hAnsiTheme="majorBidi" w:cstheme="majorBidi"/>
          <w:sz w:val="24"/>
          <w:szCs w:val="24"/>
        </w:rPr>
        <w:t>Finkelstein, S., Sharma, U., &amp; Furlonger, B. (2019). The inclusive practices of classroom teachers: A scoping review and thematic analysis. I</w:t>
      </w:r>
      <w:r w:rsidRPr="00662AA9">
        <w:rPr>
          <w:rFonts w:asciiTheme="majorBidi" w:hAnsiTheme="majorBidi" w:cstheme="majorBidi"/>
          <w:i/>
          <w:iCs/>
          <w:sz w:val="24"/>
          <w:szCs w:val="24"/>
        </w:rPr>
        <w:t>nternational Journal of Inclusive Education</w:t>
      </w:r>
      <w:r w:rsidRPr="00662AA9">
        <w:rPr>
          <w:rFonts w:asciiTheme="majorBidi" w:hAnsiTheme="majorBidi" w:cstheme="majorBidi"/>
          <w:sz w:val="24"/>
          <w:szCs w:val="24"/>
        </w:rPr>
        <w:t xml:space="preserve">, 1–28. </w:t>
      </w:r>
      <w:r w:rsidRPr="001A0D18">
        <w:rPr>
          <w:rFonts w:asciiTheme="majorBidi" w:hAnsiTheme="majorBidi" w:cstheme="majorBidi"/>
          <w:sz w:val="24"/>
          <w:szCs w:val="24"/>
        </w:rPr>
        <w:t>https://doi.org/</w:t>
      </w:r>
      <w:r w:rsidRPr="00662AA9">
        <w:rPr>
          <w:rFonts w:asciiTheme="majorBidi" w:hAnsiTheme="majorBidi" w:cstheme="majorBidi"/>
          <w:sz w:val="24"/>
          <w:szCs w:val="24"/>
        </w:rPr>
        <w:t>10.1080/13603116.2019.1572232.</w:t>
      </w:r>
    </w:p>
    <w:p w:rsidR="00AB2D00" w:rsidRPr="00662AA9" w:rsidRDefault="00AB2D00" w:rsidP="00AB2D00">
      <w:pPr>
        <w:pStyle w:val="EndNoteBibliography"/>
        <w:ind w:left="720" w:hanging="720"/>
        <w:jc w:val="left"/>
        <w:rPr>
          <w:rFonts w:asciiTheme="majorBidi" w:hAnsiTheme="majorBidi" w:cstheme="majorBidi"/>
          <w:sz w:val="24"/>
          <w:szCs w:val="24"/>
        </w:rPr>
      </w:pPr>
      <w:r w:rsidRPr="00662AA9">
        <w:rPr>
          <w:rFonts w:asciiTheme="majorBidi" w:hAnsiTheme="majorBidi" w:cstheme="majorBidi"/>
          <w:sz w:val="24"/>
          <w:szCs w:val="24"/>
        </w:rPr>
        <w:t xml:space="preserve">Gillies, R. M. (2004). The effects of cooperative learning on junior high school students during small group learning. </w:t>
      </w:r>
      <w:r w:rsidRPr="00662AA9">
        <w:rPr>
          <w:rFonts w:asciiTheme="majorBidi" w:hAnsiTheme="majorBidi" w:cstheme="majorBidi"/>
          <w:i/>
          <w:iCs/>
          <w:sz w:val="24"/>
          <w:szCs w:val="24"/>
        </w:rPr>
        <w:t>Learning and Instruction, 14</w:t>
      </w:r>
      <w:r w:rsidRPr="00662AA9">
        <w:rPr>
          <w:rFonts w:asciiTheme="majorBidi" w:hAnsiTheme="majorBidi" w:cstheme="majorBidi"/>
          <w:sz w:val="24"/>
          <w:szCs w:val="24"/>
        </w:rPr>
        <w:t xml:space="preserve">, 197-213. </w:t>
      </w:r>
      <w:r w:rsidRPr="001A0D18">
        <w:rPr>
          <w:rFonts w:asciiTheme="majorBidi" w:hAnsiTheme="majorBidi" w:cstheme="majorBidi"/>
          <w:sz w:val="24"/>
          <w:szCs w:val="24"/>
        </w:rPr>
        <w:t>https://doi.org/</w:t>
      </w:r>
      <w:r w:rsidRPr="00662AA9">
        <w:rPr>
          <w:rFonts w:asciiTheme="majorBidi" w:hAnsiTheme="majorBidi" w:cstheme="majorBidi"/>
          <w:sz w:val="24"/>
          <w:szCs w:val="24"/>
        </w:rPr>
        <w:t>10.1016/S0959-4752(03)00068-9</w:t>
      </w:r>
    </w:p>
    <w:p w:rsidR="00AB2D00" w:rsidRPr="00662AA9" w:rsidRDefault="00AB2D00" w:rsidP="00AB2D00">
      <w:pPr>
        <w:pStyle w:val="EndNoteBibliography"/>
        <w:ind w:left="720" w:hanging="720"/>
        <w:jc w:val="left"/>
        <w:rPr>
          <w:rFonts w:asciiTheme="majorBidi" w:hAnsiTheme="majorBidi" w:cstheme="majorBidi"/>
          <w:sz w:val="24"/>
          <w:szCs w:val="24"/>
        </w:rPr>
      </w:pPr>
      <w:r w:rsidRPr="00662AA9">
        <w:rPr>
          <w:rFonts w:asciiTheme="majorBidi" w:hAnsiTheme="majorBidi" w:cstheme="majorBidi"/>
          <w:sz w:val="24"/>
          <w:szCs w:val="24"/>
        </w:rPr>
        <w:t xml:space="preserve">Gorin, J. S. (2007). Test Construction and diagnostic testing. In J. Leighton &amp; M. Gierl, </w:t>
      </w:r>
      <w:r w:rsidRPr="00662AA9">
        <w:rPr>
          <w:rFonts w:asciiTheme="majorBidi" w:hAnsiTheme="majorBidi" w:cstheme="majorBidi"/>
          <w:i/>
          <w:iCs/>
          <w:sz w:val="24"/>
          <w:szCs w:val="24"/>
        </w:rPr>
        <w:t>Cognitive diagnostic assessment for education: Theory and applications</w:t>
      </w:r>
      <w:r w:rsidRPr="00662AA9">
        <w:rPr>
          <w:rFonts w:asciiTheme="majorBidi" w:hAnsiTheme="majorBidi" w:cstheme="majorBidi"/>
          <w:sz w:val="24"/>
          <w:szCs w:val="24"/>
        </w:rPr>
        <w:t>, (pp. 173 - 201). Cambridge University Press.</w:t>
      </w:r>
    </w:p>
    <w:p w:rsidR="00AB2D00" w:rsidRPr="00662AA9" w:rsidRDefault="00AB2D00" w:rsidP="00AB2D00">
      <w:pPr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fa-IR"/>
        </w:rPr>
      </w:pPr>
      <w:r w:rsidRPr="0080227F">
        <w:rPr>
          <w:rFonts w:ascii="Times New Roman" w:eastAsia="Times New Roman" w:hAnsi="Times New Roman" w:cs="Times New Roman"/>
          <w:sz w:val="24"/>
          <w:szCs w:val="24"/>
          <w:lang w:val="ru-RU" w:eastAsia="ru-RU" w:bidi="fa-IR"/>
        </w:rPr>
        <w:t>Harding, L., Alderson, C. J., &amp; Brunfaut, T. (2015). Diagnostic assessment of reading and listening in a</w:t>
      </w:r>
      <w:r w:rsidRPr="0080227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fa-IR"/>
        </w:rPr>
        <w:t xml:space="preserve"> </w:t>
      </w:r>
      <w:r w:rsidRPr="0080227F">
        <w:rPr>
          <w:rFonts w:ascii="Times New Roman" w:eastAsia="Times New Roman" w:hAnsi="Times New Roman" w:cs="Times New Roman"/>
          <w:sz w:val="24"/>
          <w:szCs w:val="24"/>
          <w:lang w:val="ru-RU" w:eastAsia="ru-RU" w:bidi="fa-IR"/>
        </w:rPr>
        <w:t>second or foreign language:</w:t>
      </w:r>
      <w:r w:rsidRPr="0080227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fa-IR"/>
        </w:rPr>
        <w:t xml:space="preserve"> </w:t>
      </w:r>
      <w:r w:rsidRPr="0080227F">
        <w:rPr>
          <w:rFonts w:ascii="Times New Roman" w:eastAsia="Times New Roman" w:hAnsi="Times New Roman" w:cs="Times New Roman"/>
          <w:sz w:val="24"/>
          <w:szCs w:val="24"/>
          <w:lang w:val="ru-RU" w:eastAsia="ru-RU" w:bidi="fa-IR"/>
        </w:rPr>
        <w:t>Elaborating on diagnostic</w:t>
      </w:r>
      <w:r w:rsidRPr="0080227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fa-IR"/>
        </w:rPr>
        <w:t xml:space="preserve"> </w:t>
      </w:r>
      <w:r w:rsidRPr="0080227F">
        <w:rPr>
          <w:rFonts w:ascii="Times New Roman" w:eastAsia="Times New Roman" w:hAnsi="Times New Roman" w:cs="Times New Roman"/>
          <w:sz w:val="24"/>
          <w:szCs w:val="24"/>
          <w:lang w:val="ru-RU" w:eastAsia="ru-RU" w:bidi="fa-IR"/>
        </w:rPr>
        <w:t xml:space="preserve">principles. </w:t>
      </w:r>
      <w:r w:rsidRPr="0080227F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 w:bidi="fa-IR"/>
        </w:rPr>
        <w:t xml:space="preserve">Language Testing, </w:t>
      </w:r>
      <w:r w:rsidRPr="0080227F">
        <w:rPr>
          <w:rFonts w:ascii="Times New Roman" w:eastAsia="Times New Roman" w:hAnsi="Times New Roman" w:cs="Times New Roman"/>
          <w:sz w:val="24"/>
          <w:szCs w:val="24"/>
          <w:lang w:val="ru-RU" w:eastAsia="ru-RU" w:bidi="fa-IR"/>
        </w:rPr>
        <w:t>1–20.</w:t>
      </w:r>
      <w:r w:rsidRPr="00662AA9">
        <w:rPr>
          <w:rFonts w:ascii="Times New Roman" w:eastAsia="Times New Roman" w:hAnsi="Times New Roman" w:cs="Times New Roman"/>
          <w:sz w:val="24"/>
          <w:szCs w:val="24"/>
          <w:lang w:eastAsia="ru-RU" w:bidi="fa-IR"/>
        </w:rPr>
        <w:t xml:space="preserve"> </w:t>
      </w:r>
      <w:r w:rsidRPr="001A0D18">
        <w:rPr>
          <w:rFonts w:ascii="Times New Roman" w:eastAsia="Times New Roman" w:hAnsi="Times New Roman" w:cs="Times New Roman"/>
          <w:sz w:val="24"/>
          <w:szCs w:val="24"/>
          <w:lang w:eastAsia="ru-RU" w:bidi="fa-IR"/>
        </w:rPr>
        <w:t>https://doi.org/</w:t>
      </w:r>
      <w:r w:rsidRPr="00662AA9">
        <w:rPr>
          <w:rFonts w:ascii="Times New Roman" w:eastAsia="Times New Roman" w:hAnsi="Times New Roman" w:cs="Times New Roman"/>
          <w:sz w:val="24"/>
          <w:szCs w:val="24"/>
          <w:lang w:eastAsia="ru-RU" w:bidi="fa-IR"/>
        </w:rPr>
        <w:t>10.1177/0265532214564505</w:t>
      </w:r>
    </w:p>
    <w:p w:rsidR="00AB2D00" w:rsidRPr="00662AA9" w:rsidRDefault="00AB2D00" w:rsidP="00AB2D00">
      <w:pPr>
        <w:pStyle w:val="EndNoteBibliography"/>
        <w:ind w:left="720" w:hanging="720"/>
        <w:jc w:val="left"/>
        <w:rPr>
          <w:rFonts w:asciiTheme="majorBidi" w:hAnsiTheme="majorBidi" w:cstheme="majorBidi"/>
          <w:sz w:val="24"/>
          <w:szCs w:val="24"/>
        </w:rPr>
      </w:pPr>
      <w:r w:rsidRPr="00662AA9">
        <w:rPr>
          <w:rFonts w:asciiTheme="majorBidi" w:hAnsiTheme="majorBidi" w:cstheme="majorBidi"/>
          <w:sz w:val="24"/>
          <w:szCs w:val="24"/>
        </w:rPr>
        <w:t xml:space="preserve">Heacox, D. (2012). </w:t>
      </w:r>
      <w:r w:rsidRPr="00662AA9">
        <w:rPr>
          <w:rFonts w:asciiTheme="majorBidi" w:hAnsiTheme="majorBidi" w:cstheme="majorBidi"/>
          <w:i/>
          <w:iCs/>
          <w:sz w:val="24"/>
          <w:szCs w:val="24"/>
        </w:rPr>
        <w:t xml:space="preserve">Differentiating instruction in the regular classroom. </w:t>
      </w:r>
      <w:r w:rsidRPr="00662AA9">
        <w:rPr>
          <w:rFonts w:asciiTheme="majorBidi" w:hAnsiTheme="majorBidi" w:cstheme="majorBidi"/>
          <w:sz w:val="24"/>
          <w:szCs w:val="24"/>
        </w:rPr>
        <w:t>Minneapolis, MN: Free Spirit Publishing.</w:t>
      </w:r>
    </w:p>
    <w:p w:rsidR="00AB2D00" w:rsidRPr="00662AA9" w:rsidRDefault="00AB2D00" w:rsidP="00AB2D00">
      <w:pPr>
        <w:pStyle w:val="EndNoteBibliography"/>
        <w:ind w:left="720" w:hanging="720"/>
        <w:jc w:val="left"/>
        <w:rPr>
          <w:rFonts w:asciiTheme="majorBidi" w:hAnsiTheme="majorBidi" w:cstheme="majorBidi"/>
          <w:sz w:val="24"/>
          <w:szCs w:val="24"/>
        </w:rPr>
      </w:pPr>
      <w:r w:rsidRPr="00662AA9">
        <w:rPr>
          <w:rFonts w:asciiTheme="majorBidi" w:hAnsiTheme="majorBidi" w:cstheme="majorBidi"/>
          <w:sz w:val="24"/>
          <w:szCs w:val="24"/>
        </w:rPr>
        <w:t>Huang, R., Tlili, A., Wang, H., Shi, Y., Bonk, C.J., Yang, J., &amp; Burgos, D. (2021). Emergence of the online-merge-offline (OMO) learning wave in the post-COVID-19 era: A pilot study. </w:t>
      </w:r>
      <w:r w:rsidRPr="00662AA9">
        <w:rPr>
          <w:rFonts w:asciiTheme="majorBidi" w:hAnsiTheme="majorBidi" w:cstheme="majorBidi"/>
          <w:i/>
          <w:iCs/>
          <w:sz w:val="24"/>
          <w:szCs w:val="24"/>
        </w:rPr>
        <w:t>Sustainability</w:t>
      </w:r>
      <w:r w:rsidRPr="00662AA9">
        <w:rPr>
          <w:rFonts w:asciiTheme="majorBidi" w:hAnsiTheme="majorBidi" w:cstheme="majorBidi"/>
          <w:sz w:val="24"/>
          <w:szCs w:val="24"/>
        </w:rPr>
        <w:t>, </w:t>
      </w:r>
      <w:r w:rsidRPr="00662AA9">
        <w:rPr>
          <w:rFonts w:asciiTheme="majorBidi" w:hAnsiTheme="majorBidi" w:cstheme="majorBidi"/>
          <w:i/>
          <w:iCs/>
          <w:sz w:val="24"/>
          <w:szCs w:val="24"/>
        </w:rPr>
        <w:t>13</w:t>
      </w:r>
      <w:r w:rsidRPr="00662AA9">
        <w:rPr>
          <w:rFonts w:asciiTheme="majorBidi" w:hAnsiTheme="majorBidi" w:cstheme="majorBidi"/>
          <w:sz w:val="24"/>
          <w:szCs w:val="24"/>
        </w:rPr>
        <w:t xml:space="preserve">, 3512. </w:t>
      </w:r>
      <w:r w:rsidRPr="001A0D18">
        <w:rPr>
          <w:rFonts w:asciiTheme="majorBidi" w:hAnsiTheme="majorBidi" w:cstheme="majorBidi"/>
          <w:sz w:val="24"/>
          <w:szCs w:val="24"/>
        </w:rPr>
        <w:t>https://doi.org/</w:t>
      </w:r>
      <w:r w:rsidRPr="00662AA9">
        <w:rPr>
          <w:rFonts w:asciiTheme="majorBidi" w:hAnsiTheme="majorBidi" w:cstheme="majorBidi"/>
          <w:sz w:val="24"/>
          <w:szCs w:val="24"/>
        </w:rPr>
        <w:t>10.3390/su13063512</w:t>
      </w:r>
    </w:p>
    <w:p w:rsidR="00AB2D00" w:rsidRPr="00662AA9" w:rsidRDefault="00AB2D00" w:rsidP="00AB2D00">
      <w:pPr>
        <w:pStyle w:val="EndNoteBibliography"/>
        <w:ind w:left="720" w:hanging="720"/>
        <w:jc w:val="left"/>
        <w:rPr>
          <w:rFonts w:asciiTheme="majorBidi" w:hAnsiTheme="majorBidi" w:cstheme="majorBidi"/>
          <w:iCs/>
          <w:sz w:val="24"/>
          <w:szCs w:val="24"/>
        </w:rPr>
      </w:pPr>
      <w:r w:rsidRPr="00662AA9">
        <w:rPr>
          <w:rFonts w:asciiTheme="majorBidi" w:hAnsiTheme="majorBidi" w:cstheme="majorBidi"/>
          <w:sz w:val="24"/>
          <w:szCs w:val="24"/>
        </w:rPr>
        <w:t xml:space="preserve">Ismail, S. A. A., &amp; Al Allaq, K. (2019). The nature of cooperative learning and differentiated instruction practices in English classes. </w:t>
      </w:r>
      <w:r w:rsidRPr="00662AA9">
        <w:rPr>
          <w:rFonts w:asciiTheme="majorBidi" w:hAnsiTheme="majorBidi" w:cstheme="majorBidi"/>
          <w:i/>
          <w:sz w:val="24"/>
          <w:szCs w:val="24"/>
        </w:rPr>
        <w:t xml:space="preserve">SAGE Open, </w:t>
      </w:r>
      <w:r w:rsidRPr="00662AA9">
        <w:rPr>
          <w:rFonts w:asciiTheme="majorBidi" w:hAnsiTheme="majorBidi" w:cstheme="majorBidi"/>
          <w:iCs/>
          <w:sz w:val="24"/>
          <w:szCs w:val="24"/>
        </w:rPr>
        <w:t xml:space="preserve">1-17. </w:t>
      </w:r>
      <w:r w:rsidRPr="001A0D18">
        <w:rPr>
          <w:rFonts w:asciiTheme="majorBidi" w:hAnsiTheme="majorBidi" w:cstheme="majorBidi"/>
          <w:iCs/>
          <w:sz w:val="24"/>
          <w:szCs w:val="24"/>
        </w:rPr>
        <w:t>https://doi.org/</w:t>
      </w:r>
      <w:r w:rsidRPr="00662AA9">
        <w:rPr>
          <w:rFonts w:asciiTheme="majorBidi" w:hAnsiTheme="majorBidi" w:cstheme="majorBidi"/>
          <w:iCs/>
          <w:sz w:val="24"/>
          <w:szCs w:val="24"/>
        </w:rPr>
        <w:t>0.1177/2158244019856</w:t>
      </w:r>
    </w:p>
    <w:p w:rsidR="00AB2D00" w:rsidRPr="00662AA9" w:rsidRDefault="00AB2D00" w:rsidP="00AB2D00">
      <w:pPr>
        <w:pStyle w:val="EndNoteBibliography"/>
        <w:ind w:left="720" w:hanging="720"/>
        <w:jc w:val="left"/>
        <w:rPr>
          <w:rFonts w:asciiTheme="majorBidi" w:hAnsiTheme="majorBidi" w:cstheme="majorBidi"/>
          <w:sz w:val="24"/>
          <w:szCs w:val="24"/>
        </w:rPr>
      </w:pPr>
      <w:r w:rsidRPr="00662AA9">
        <w:rPr>
          <w:rFonts w:asciiTheme="majorBidi" w:hAnsiTheme="majorBidi" w:cstheme="majorBidi"/>
          <w:sz w:val="24"/>
          <w:szCs w:val="24"/>
        </w:rPr>
        <w:lastRenderedPageBreak/>
        <w:t xml:space="preserve">Karatza, Z. (2019). Information and communication technology (ICT) as a tool of differentiated instruction: An informative intervention and a comparative study on educators’ views and extent of ICT use. </w:t>
      </w:r>
      <w:r w:rsidRPr="00662AA9">
        <w:rPr>
          <w:rFonts w:asciiTheme="majorBidi" w:hAnsiTheme="majorBidi" w:cstheme="majorBidi"/>
          <w:i/>
          <w:sz w:val="24"/>
          <w:szCs w:val="24"/>
        </w:rPr>
        <w:t>International Journal of Information and Education Technology, 9</w:t>
      </w:r>
      <w:r w:rsidRPr="00662AA9">
        <w:rPr>
          <w:rFonts w:asciiTheme="majorBidi" w:hAnsiTheme="majorBidi" w:cstheme="majorBidi"/>
          <w:sz w:val="24"/>
          <w:szCs w:val="24"/>
        </w:rPr>
        <w:t xml:space="preserve">(1), 8-15. </w:t>
      </w:r>
      <w:r w:rsidRPr="001A0D18">
        <w:rPr>
          <w:rFonts w:asciiTheme="majorBidi" w:hAnsiTheme="majorBidi" w:cstheme="majorBidi"/>
          <w:sz w:val="24"/>
          <w:szCs w:val="24"/>
        </w:rPr>
        <w:t>https://doi.org/</w:t>
      </w:r>
      <w:r w:rsidRPr="00662AA9">
        <w:rPr>
          <w:rFonts w:asciiTheme="majorBidi" w:hAnsiTheme="majorBidi" w:cstheme="majorBidi"/>
          <w:sz w:val="24"/>
          <w:szCs w:val="24"/>
        </w:rPr>
        <w:t>10.18178/ijiet.2019.9.1.1165</w:t>
      </w:r>
    </w:p>
    <w:p w:rsidR="00AB2D00" w:rsidRPr="00012EDF" w:rsidRDefault="00AB2D00" w:rsidP="00AB2D00">
      <w:pPr>
        <w:pStyle w:val="EndNoteBibliography"/>
        <w:ind w:left="720" w:hanging="720"/>
        <w:jc w:val="left"/>
        <w:rPr>
          <w:rFonts w:asciiTheme="majorBidi" w:hAnsiTheme="majorBidi" w:cstheme="majorBidi"/>
          <w:sz w:val="24"/>
          <w:szCs w:val="24"/>
        </w:rPr>
      </w:pPr>
      <w:r w:rsidRPr="00012EDF">
        <w:rPr>
          <w:rFonts w:asciiTheme="majorBidi" w:hAnsiTheme="majorBidi" w:cstheme="majorBidi"/>
          <w:sz w:val="24"/>
          <w:szCs w:val="24"/>
        </w:rPr>
        <w:t>Kazemi, P., Pourdana, N., Famil Khalili, F., &amp; Nour, P. (2022). Microgenetic analysis of written languaging attributes on form-focused and content-focused e-collaborative writing tasks in Google Docs. </w:t>
      </w:r>
      <w:r w:rsidRPr="00012EDF">
        <w:rPr>
          <w:rFonts w:asciiTheme="majorBidi" w:hAnsiTheme="majorBidi" w:cstheme="majorBidi"/>
          <w:i/>
          <w:iCs/>
          <w:sz w:val="24"/>
          <w:szCs w:val="24"/>
        </w:rPr>
        <w:t>Education and Information Technologies</w:t>
      </w:r>
      <w:r w:rsidRPr="00012EDF">
        <w:rPr>
          <w:rFonts w:asciiTheme="majorBidi" w:hAnsiTheme="majorBidi" w:cstheme="majorBidi"/>
          <w:sz w:val="24"/>
          <w:szCs w:val="24"/>
        </w:rPr>
        <w:t>, 1-24. https://doi.org/10.1007/s10639-022-11039-y</w:t>
      </w:r>
    </w:p>
    <w:p w:rsidR="00AB2D00" w:rsidRPr="00662AA9" w:rsidRDefault="00AB2D00" w:rsidP="00AB2D00">
      <w:pPr>
        <w:pStyle w:val="EndNoteBibliography"/>
        <w:ind w:left="720" w:hanging="720"/>
        <w:jc w:val="left"/>
        <w:rPr>
          <w:rFonts w:asciiTheme="majorBidi" w:hAnsiTheme="majorBidi" w:cstheme="majorBidi"/>
          <w:sz w:val="24"/>
          <w:szCs w:val="24"/>
        </w:rPr>
      </w:pPr>
      <w:r w:rsidRPr="00012EDF">
        <w:rPr>
          <w:rFonts w:asciiTheme="majorBidi" w:hAnsiTheme="majorBidi" w:cstheme="majorBidi"/>
          <w:sz w:val="24"/>
          <w:szCs w:val="24"/>
        </w:rPr>
        <w:t>Keshanchi, E., Pourdana, N., &amp; Famil Khalili, G. (2022). Differential Impacts of pair and self-dynamics on written languaging attributes and translation task performance in EFL context. </w:t>
      </w:r>
      <w:r w:rsidRPr="00012EDF">
        <w:rPr>
          <w:rFonts w:asciiTheme="majorBidi" w:hAnsiTheme="majorBidi" w:cstheme="majorBidi"/>
          <w:i/>
          <w:iCs/>
          <w:sz w:val="24"/>
          <w:szCs w:val="24"/>
        </w:rPr>
        <w:t>English Teaching &amp; Learning</w:t>
      </w:r>
      <w:r w:rsidRPr="00012EDF">
        <w:rPr>
          <w:rFonts w:asciiTheme="majorBidi" w:hAnsiTheme="majorBidi" w:cstheme="majorBidi"/>
          <w:sz w:val="24"/>
          <w:szCs w:val="24"/>
        </w:rPr>
        <w:t>, 1-22. https://doi.org/10.1007/s42321-022-00113-w</w:t>
      </w:r>
    </w:p>
    <w:p w:rsidR="00AB2D00" w:rsidRPr="00662AA9" w:rsidRDefault="00AB2D00" w:rsidP="00AB2D00">
      <w:pPr>
        <w:pStyle w:val="EndNoteBibliography"/>
        <w:ind w:left="720" w:hanging="720"/>
        <w:jc w:val="left"/>
        <w:rPr>
          <w:rFonts w:asciiTheme="majorBidi" w:hAnsiTheme="majorBidi" w:cstheme="majorBidi"/>
          <w:sz w:val="24"/>
          <w:szCs w:val="24"/>
        </w:rPr>
      </w:pPr>
      <w:r w:rsidRPr="00662AA9">
        <w:rPr>
          <w:rFonts w:asciiTheme="majorBidi" w:hAnsiTheme="majorBidi" w:cstheme="majorBidi"/>
          <w:sz w:val="24"/>
          <w:szCs w:val="24"/>
        </w:rPr>
        <w:t xml:space="preserve">Lee, L., Gundersen, E., &amp; Bernard, J. (2011). </w:t>
      </w:r>
      <w:r w:rsidRPr="00662AA9">
        <w:rPr>
          <w:rFonts w:asciiTheme="majorBidi" w:hAnsiTheme="majorBidi" w:cstheme="majorBidi"/>
          <w:i/>
          <w:sz w:val="24"/>
          <w:szCs w:val="24"/>
        </w:rPr>
        <w:t>Select readings</w:t>
      </w:r>
      <w:r w:rsidRPr="00662AA9">
        <w:rPr>
          <w:rFonts w:asciiTheme="majorBidi" w:hAnsiTheme="majorBidi" w:cstheme="majorBidi"/>
          <w:sz w:val="24"/>
          <w:szCs w:val="24"/>
        </w:rPr>
        <w:t xml:space="preserve">: </w:t>
      </w:r>
      <w:r w:rsidRPr="00662AA9">
        <w:rPr>
          <w:rFonts w:asciiTheme="majorBidi" w:hAnsiTheme="majorBidi" w:cstheme="majorBidi"/>
          <w:i/>
          <w:iCs/>
          <w:sz w:val="24"/>
          <w:szCs w:val="24"/>
        </w:rPr>
        <w:t>Intermediate.</w:t>
      </w:r>
      <w:r w:rsidRPr="00662AA9">
        <w:rPr>
          <w:rFonts w:asciiTheme="majorBidi" w:hAnsiTheme="majorBidi" w:cstheme="majorBidi"/>
          <w:sz w:val="24"/>
          <w:szCs w:val="24"/>
        </w:rPr>
        <w:t xml:space="preserve"> Oxford University Press.</w:t>
      </w:r>
    </w:p>
    <w:p w:rsidR="00AB2D00" w:rsidRPr="00662AA9" w:rsidRDefault="00AB2D00" w:rsidP="00AB2D00">
      <w:pPr>
        <w:pStyle w:val="EndNoteBibliography"/>
        <w:ind w:left="720" w:hanging="720"/>
        <w:jc w:val="left"/>
        <w:rPr>
          <w:rFonts w:ascii="Berkeley-Book" w:hAnsi="Berkeley-Book"/>
          <w:sz w:val="24"/>
          <w:szCs w:val="24"/>
          <w:lang w:val="ru-RU"/>
        </w:rPr>
      </w:pPr>
      <w:r w:rsidRPr="00662AA9">
        <w:rPr>
          <w:rFonts w:ascii="Berkeley-Book" w:hAnsi="Berkeley-Book"/>
          <w:sz w:val="24"/>
          <w:szCs w:val="24"/>
          <w:lang w:val="ru-RU"/>
        </w:rPr>
        <w:t xml:space="preserve">Lee, Y. W. (2015). Diagnosing diagnostic language assessment. </w:t>
      </w:r>
      <w:r w:rsidRPr="00662AA9">
        <w:rPr>
          <w:rFonts w:ascii="Berkeley-Book" w:hAnsi="Berkeley-Book"/>
          <w:i/>
          <w:iCs/>
          <w:sz w:val="24"/>
          <w:szCs w:val="24"/>
          <w:lang w:val="ru-RU"/>
        </w:rPr>
        <w:t>Language Testing, 23</w:t>
      </w:r>
      <w:r w:rsidRPr="00662AA9">
        <w:rPr>
          <w:rFonts w:ascii="Berkeley-Book" w:hAnsi="Berkeley-Book"/>
          <w:sz w:val="24"/>
          <w:szCs w:val="24"/>
          <w:lang w:val="ru-RU"/>
        </w:rPr>
        <w:t>(3), 299–316.</w:t>
      </w:r>
      <w:r w:rsidRPr="00662AA9">
        <w:rPr>
          <w:rFonts w:ascii="Berkeley-Book" w:hAnsi="Berkeley-Book"/>
          <w:sz w:val="24"/>
          <w:szCs w:val="24"/>
        </w:rPr>
        <w:t xml:space="preserve"> </w:t>
      </w:r>
      <w:r w:rsidRPr="001A0D18">
        <w:rPr>
          <w:rFonts w:ascii="Berkeley-Book" w:hAnsi="Berkeley-Book"/>
          <w:sz w:val="24"/>
          <w:szCs w:val="24"/>
        </w:rPr>
        <w:t>https://doi.org/</w:t>
      </w:r>
      <w:r w:rsidRPr="00662AA9">
        <w:rPr>
          <w:rFonts w:ascii="Berkeley-Book" w:hAnsi="Berkeley-Book"/>
          <w:sz w:val="24"/>
          <w:szCs w:val="24"/>
          <w:lang w:val="ru-RU"/>
        </w:rPr>
        <w:t xml:space="preserve">10.1177/0265532214565387 </w:t>
      </w:r>
    </w:p>
    <w:p w:rsidR="00AB2D00" w:rsidRPr="00662AA9" w:rsidRDefault="00AB2D00" w:rsidP="00AB2D00">
      <w:pPr>
        <w:pStyle w:val="EndNoteBibliography"/>
        <w:ind w:firstLine="0"/>
        <w:jc w:val="left"/>
        <w:rPr>
          <w:rStyle w:val="fontstyle01"/>
          <w:sz w:val="24"/>
          <w:szCs w:val="24"/>
          <w:lang w:val="ru-RU"/>
        </w:rPr>
      </w:pPr>
      <w:r w:rsidRPr="00662AA9">
        <w:rPr>
          <w:rFonts w:ascii="Berkeley-Book" w:hAnsi="Berkeley-Book"/>
          <w:sz w:val="24"/>
          <w:szCs w:val="24"/>
          <w:lang w:val="ru-RU"/>
        </w:rPr>
        <w:t xml:space="preserve">Lenhard, W., &amp; Lenhard, A. (2016). </w:t>
      </w:r>
      <w:r w:rsidRPr="00662AA9">
        <w:rPr>
          <w:rFonts w:ascii="Berkeley-Book" w:hAnsi="Berkeley-Book"/>
          <w:i/>
          <w:iCs/>
          <w:sz w:val="24"/>
          <w:szCs w:val="24"/>
          <w:lang w:val="ru-RU"/>
        </w:rPr>
        <w:t>Calculation of effect sizes.</w:t>
      </w:r>
      <w:r w:rsidRPr="00662AA9">
        <w:rPr>
          <w:rFonts w:ascii="Berkeley-Book" w:hAnsi="Berkeley-Book"/>
          <w:sz w:val="24"/>
          <w:szCs w:val="24"/>
          <w:lang w:val="ru-RU"/>
        </w:rPr>
        <w:t xml:space="preserve"> Psyhometrica, Bibergau. </w:t>
      </w:r>
    </w:p>
    <w:p w:rsidR="00AB2D00" w:rsidRPr="00662AA9" w:rsidRDefault="00AB2D00" w:rsidP="00AB2D00">
      <w:pPr>
        <w:pStyle w:val="EndNoteBibliography"/>
        <w:ind w:left="720" w:hanging="720"/>
        <w:jc w:val="left"/>
        <w:rPr>
          <w:rStyle w:val="fontstyle01"/>
          <w:sz w:val="24"/>
          <w:szCs w:val="24"/>
        </w:rPr>
      </w:pPr>
      <w:r w:rsidRPr="00662AA9">
        <w:rPr>
          <w:rStyle w:val="fontstyle01"/>
          <w:sz w:val="24"/>
          <w:szCs w:val="24"/>
        </w:rPr>
        <w:t xml:space="preserve">Levis, J., &amp; Pickering, L. (2004). Teaching intonation in discourse using speech visualization technology. </w:t>
      </w:r>
      <w:r w:rsidRPr="00662AA9">
        <w:rPr>
          <w:rStyle w:val="fontstyle01"/>
          <w:i/>
          <w:iCs/>
          <w:sz w:val="24"/>
          <w:szCs w:val="24"/>
        </w:rPr>
        <w:t>System, 32</w:t>
      </w:r>
      <w:r w:rsidRPr="00662AA9">
        <w:rPr>
          <w:rStyle w:val="fontstyle01"/>
          <w:sz w:val="24"/>
          <w:szCs w:val="24"/>
        </w:rPr>
        <w:t>, 505-524.</w:t>
      </w:r>
      <w:r w:rsidRPr="001A0D18">
        <w:t xml:space="preserve"> </w:t>
      </w:r>
      <w:r w:rsidRPr="001A0D18">
        <w:rPr>
          <w:rStyle w:val="fontstyle01"/>
          <w:sz w:val="24"/>
          <w:szCs w:val="24"/>
        </w:rPr>
        <w:t>https://doi.org/</w:t>
      </w:r>
      <w:r w:rsidRPr="00662AA9">
        <w:rPr>
          <w:rStyle w:val="fontstyle01"/>
          <w:sz w:val="24"/>
          <w:szCs w:val="24"/>
        </w:rPr>
        <w:t>10.1016/j.system.2004.09.00</w:t>
      </w:r>
    </w:p>
    <w:p w:rsidR="00AB2D00" w:rsidRPr="00662AA9" w:rsidRDefault="00AB2D00" w:rsidP="00AB2D00">
      <w:pPr>
        <w:pStyle w:val="EndNoteBibliography"/>
        <w:ind w:left="720" w:hanging="720"/>
        <w:jc w:val="left"/>
        <w:rPr>
          <w:rFonts w:asciiTheme="majorBidi" w:hAnsiTheme="majorBidi" w:cstheme="majorBidi"/>
          <w:sz w:val="24"/>
          <w:szCs w:val="24"/>
        </w:rPr>
      </w:pPr>
      <w:r w:rsidRPr="00662AA9">
        <w:rPr>
          <w:rStyle w:val="fontstyle01"/>
          <w:sz w:val="24"/>
          <w:szCs w:val="24"/>
        </w:rPr>
        <w:t>Levy, H. M. (2008). Meeting the needs of all students through differentiated instruction: Helping every child reach and exceed</w:t>
      </w:r>
      <w:r w:rsidRPr="00662AA9">
        <w:rPr>
          <w:rFonts w:ascii="StoneSansStd-Medium" w:hAnsi="StoneSansStd-Medium"/>
          <w:sz w:val="24"/>
          <w:szCs w:val="24"/>
        </w:rPr>
        <w:t xml:space="preserve"> </w:t>
      </w:r>
      <w:r w:rsidRPr="00662AA9">
        <w:rPr>
          <w:rStyle w:val="fontstyle01"/>
          <w:sz w:val="24"/>
          <w:szCs w:val="24"/>
        </w:rPr>
        <w:t xml:space="preserve">standards. </w:t>
      </w:r>
      <w:r w:rsidRPr="00662AA9">
        <w:rPr>
          <w:rStyle w:val="fontstyle21"/>
          <w:sz w:val="24"/>
          <w:szCs w:val="24"/>
        </w:rPr>
        <w:t>Clearing House: A Journal of Educational Strategies,</w:t>
      </w:r>
      <w:r w:rsidRPr="00662AA9">
        <w:rPr>
          <w:rFonts w:ascii="StoneSansStd-MediumItalic" w:hAnsi="StoneSansStd-MediumItalic"/>
          <w:i/>
          <w:iCs/>
          <w:sz w:val="24"/>
          <w:szCs w:val="24"/>
        </w:rPr>
        <w:t xml:space="preserve"> </w:t>
      </w:r>
      <w:r w:rsidRPr="00662AA9">
        <w:rPr>
          <w:rStyle w:val="fontstyle21"/>
          <w:sz w:val="24"/>
          <w:szCs w:val="24"/>
        </w:rPr>
        <w:t>Issues, and Ideas, 81</w:t>
      </w:r>
      <w:r w:rsidRPr="00662AA9">
        <w:rPr>
          <w:rStyle w:val="fontstyle01"/>
          <w:sz w:val="24"/>
          <w:szCs w:val="24"/>
        </w:rPr>
        <w:t>(4), 161–164.</w:t>
      </w:r>
      <w:r w:rsidRPr="001A0D18">
        <w:t xml:space="preserve"> </w:t>
      </w:r>
      <w:r w:rsidRPr="001A0D18">
        <w:rPr>
          <w:rStyle w:val="fontstyle01"/>
          <w:sz w:val="24"/>
          <w:szCs w:val="24"/>
        </w:rPr>
        <w:t>https://doi.org/</w:t>
      </w:r>
      <w:r w:rsidRPr="00662AA9">
        <w:rPr>
          <w:rStyle w:val="fontstyle01"/>
          <w:sz w:val="24"/>
          <w:szCs w:val="24"/>
        </w:rPr>
        <w:t>10.3200/TCHS.81.4.161-164</w:t>
      </w:r>
    </w:p>
    <w:p w:rsidR="00AB2D00" w:rsidRPr="00662AA9" w:rsidRDefault="00AB2D00" w:rsidP="00AB2D00">
      <w:pPr>
        <w:pStyle w:val="EndNoteBibliography"/>
        <w:ind w:left="720" w:hanging="720"/>
        <w:jc w:val="left"/>
        <w:rPr>
          <w:rFonts w:asciiTheme="majorBidi" w:hAnsiTheme="majorBidi" w:cstheme="majorBidi"/>
          <w:sz w:val="24"/>
          <w:szCs w:val="24"/>
        </w:rPr>
      </w:pPr>
      <w:r w:rsidRPr="00662AA9">
        <w:rPr>
          <w:rFonts w:asciiTheme="majorBidi" w:hAnsiTheme="majorBidi" w:cstheme="majorBidi"/>
          <w:sz w:val="24"/>
          <w:szCs w:val="24"/>
        </w:rPr>
        <w:t xml:space="preserve">Lindner, K., &amp; Schwab, S. (2020): Differentiation and individualization in inclusive education: a systematic review and narrative synthesis. </w:t>
      </w:r>
      <w:r w:rsidRPr="00662AA9">
        <w:rPr>
          <w:rFonts w:asciiTheme="majorBidi" w:hAnsiTheme="majorBidi" w:cstheme="majorBidi"/>
          <w:i/>
          <w:iCs/>
          <w:sz w:val="24"/>
          <w:szCs w:val="24"/>
        </w:rPr>
        <w:t>International Journal of Inclusive Education.</w:t>
      </w:r>
      <w:r w:rsidRPr="00662AA9">
        <w:rPr>
          <w:rFonts w:asciiTheme="majorBidi" w:hAnsiTheme="majorBidi" w:cstheme="majorBidi"/>
          <w:sz w:val="24"/>
          <w:szCs w:val="24"/>
        </w:rPr>
        <w:t xml:space="preserve"> </w:t>
      </w:r>
      <w:r w:rsidRPr="001A0D18">
        <w:rPr>
          <w:rFonts w:asciiTheme="majorBidi" w:hAnsiTheme="majorBidi" w:cstheme="majorBidi"/>
          <w:sz w:val="24"/>
          <w:szCs w:val="24"/>
        </w:rPr>
        <w:t>https://doi.org/</w:t>
      </w:r>
      <w:r w:rsidRPr="00662AA9">
        <w:rPr>
          <w:rFonts w:asciiTheme="majorBidi" w:hAnsiTheme="majorBidi" w:cstheme="majorBidi"/>
          <w:sz w:val="24"/>
          <w:szCs w:val="24"/>
        </w:rPr>
        <w:t>10.1080/13603116.2020.1813450</w:t>
      </w:r>
    </w:p>
    <w:p w:rsidR="00AB2D00" w:rsidRPr="00C736CC" w:rsidRDefault="00AB2D00" w:rsidP="00AB2D00">
      <w:pPr>
        <w:pStyle w:val="EndNoteBibliography"/>
        <w:ind w:left="720" w:hanging="720"/>
        <w:jc w:val="left"/>
        <w:rPr>
          <w:rFonts w:asciiTheme="majorBidi" w:hAnsiTheme="majorBidi" w:cstheme="majorBidi"/>
          <w:sz w:val="24"/>
          <w:szCs w:val="24"/>
        </w:rPr>
      </w:pPr>
      <w:r w:rsidRPr="00C736CC">
        <w:rPr>
          <w:rFonts w:asciiTheme="majorBidi" w:hAnsiTheme="majorBidi" w:cstheme="majorBidi"/>
          <w:sz w:val="24"/>
          <w:szCs w:val="24"/>
        </w:rPr>
        <w:t>Nour, P., Esfandiari, R., &amp; Zarei, A.A. (2021). Development and validation of a metamemory maturity questionnaire in the context of English as a foreign language. </w:t>
      </w:r>
      <w:r w:rsidRPr="00C736CC">
        <w:rPr>
          <w:rFonts w:asciiTheme="majorBidi" w:hAnsiTheme="majorBidi" w:cstheme="majorBidi"/>
          <w:i/>
          <w:iCs/>
          <w:sz w:val="24"/>
          <w:szCs w:val="24"/>
        </w:rPr>
        <w:t>Language Testing in Asia,</w:t>
      </w:r>
      <w:r w:rsidRPr="00C736CC">
        <w:rPr>
          <w:rFonts w:asciiTheme="majorBidi" w:hAnsiTheme="majorBidi" w:cstheme="majorBidi"/>
          <w:sz w:val="24"/>
          <w:szCs w:val="24"/>
        </w:rPr>
        <w:t> </w:t>
      </w:r>
      <w:r w:rsidRPr="00C736CC">
        <w:rPr>
          <w:rFonts w:asciiTheme="majorBidi" w:hAnsiTheme="majorBidi" w:cstheme="majorBidi"/>
          <w:i/>
          <w:iCs/>
          <w:sz w:val="24"/>
          <w:szCs w:val="24"/>
        </w:rPr>
        <w:t>11</w:t>
      </w:r>
      <w:r w:rsidRPr="00C736CC">
        <w:rPr>
          <w:rFonts w:asciiTheme="majorBidi" w:hAnsiTheme="majorBidi" w:cstheme="majorBidi"/>
          <w:sz w:val="24"/>
          <w:szCs w:val="24"/>
        </w:rPr>
        <w:t>, 24. doi:10.1186/s40468-021-00141-6</w:t>
      </w:r>
    </w:p>
    <w:p w:rsidR="00AB2D00" w:rsidRPr="00662AA9" w:rsidRDefault="00AB2D00" w:rsidP="00AB2D00">
      <w:pPr>
        <w:pStyle w:val="EndNoteBibliography"/>
        <w:ind w:left="720" w:hanging="720"/>
        <w:jc w:val="left"/>
        <w:rPr>
          <w:rFonts w:asciiTheme="majorBidi" w:hAnsiTheme="majorBidi" w:cstheme="majorBidi"/>
          <w:sz w:val="24"/>
          <w:szCs w:val="24"/>
        </w:rPr>
      </w:pPr>
      <w:r w:rsidRPr="00662AA9">
        <w:rPr>
          <w:rFonts w:asciiTheme="majorBidi" w:hAnsiTheme="majorBidi" w:cstheme="majorBidi"/>
          <w:sz w:val="24"/>
          <w:szCs w:val="24"/>
        </w:rPr>
        <w:t xml:space="preserve">Nunley, K. F. (2006). </w:t>
      </w:r>
      <w:r w:rsidRPr="00662AA9">
        <w:rPr>
          <w:rFonts w:asciiTheme="majorBidi" w:hAnsiTheme="majorBidi" w:cstheme="majorBidi"/>
          <w:i/>
          <w:iCs/>
          <w:sz w:val="24"/>
          <w:szCs w:val="24"/>
        </w:rPr>
        <w:t>Differentiating the high school classroom: Solution strategies for 18 common obstacles</w:t>
      </w:r>
      <w:r w:rsidRPr="00662AA9">
        <w:rPr>
          <w:rFonts w:asciiTheme="majorBidi" w:hAnsiTheme="majorBidi" w:cstheme="majorBidi"/>
          <w:sz w:val="24"/>
          <w:szCs w:val="24"/>
        </w:rPr>
        <w:t>. Thousand Oaks.</w:t>
      </w:r>
    </w:p>
    <w:p w:rsidR="00AB2D00" w:rsidRPr="00662AA9" w:rsidRDefault="00AB2D00" w:rsidP="00AB2D00">
      <w:pPr>
        <w:pStyle w:val="EndNoteBibliography"/>
        <w:ind w:left="720" w:hanging="720"/>
        <w:jc w:val="left"/>
        <w:rPr>
          <w:rFonts w:asciiTheme="majorBidi" w:hAnsiTheme="majorBidi" w:cstheme="majorBidi"/>
          <w:sz w:val="24"/>
          <w:szCs w:val="24"/>
        </w:rPr>
      </w:pPr>
      <w:r w:rsidRPr="00662AA9">
        <w:rPr>
          <w:rFonts w:asciiTheme="majorBidi" w:hAnsiTheme="majorBidi" w:cstheme="majorBidi"/>
          <w:sz w:val="24"/>
          <w:szCs w:val="24"/>
        </w:rPr>
        <w:t xml:space="preserve">Pallant, J., (2010). </w:t>
      </w:r>
      <w:r w:rsidRPr="00662AA9">
        <w:rPr>
          <w:rFonts w:asciiTheme="majorBidi" w:hAnsiTheme="majorBidi" w:cstheme="majorBidi"/>
          <w:i/>
          <w:iCs/>
          <w:sz w:val="24"/>
          <w:szCs w:val="24"/>
        </w:rPr>
        <w:t>SPSS survival manual: A step by step guide to data analysis using the SPSS program</w:t>
      </w:r>
      <w:r w:rsidRPr="00662AA9">
        <w:rPr>
          <w:rFonts w:asciiTheme="majorBidi" w:hAnsiTheme="majorBidi" w:cstheme="majorBidi"/>
          <w:sz w:val="24"/>
          <w:szCs w:val="24"/>
        </w:rPr>
        <w:t xml:space="preserve"> (4</w:t>
      </w:r>
      <w:r w:rsidRPr="00662AA9">
        <w:rPr>
          <w:rFonts w:asciiTheme="majorBidi" w:hAnsiTheme="majorBidi" w:cstheme="majorBidi"/>
          <w:sz w:val="24"/>
          <w:szCs w:val="24"/>
          <w:vertAlign w:val="superscript"/>
        </w:rPr>
        <w:t>th</w:t>
      </w:r>
      <w:r w:rsidRPr="00662AA9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e</w:t>
      </w:r>
      <w:r w:rsidRPr="00662AA9">
        <w:rPr>
          <w:rFonts w:asciiTheme="majorBidi" w:hAnsiTheme="majorBidi" w:cstheme="majorBidi"/>
          <w:sz w:val="24"/>
          <w:szCs w:val="24"/>
        </w:rPr>
        <w:t>d.). McGraw Hill.</w:t>
      </w:r>
    </w:p>
    <w:p w:rsidR="00AB2D00" w:rsidRPr="00662AA9" w:rsidRDefault="00AB2D00" w:rsidP="00AB2D00">
      <w:pPr>
        <w:pStyle w:val="EndNoteBibliography"/>
        <w:ind w:left="720" w:hanging="720"/>
        <w:jc w:val="left"/>
        <w:rPr>
          <w:rFonts w:asciiTheme="majorBidi" w:hAnsiTheme="majorBidi" w:cstheme="majorBidi"/>
          <w:sz w:val="24"/>
          <w:szCs w:val="24"/>
        </w:rPr>
      </w:pPr>
      <w:r w:rsidRPr="00662AA9">
        <w:rPr>
          <w:rFonts w:asciiTheme="majorBidi" w:hAnsiTheme="majorBidi" w:cstheme="majorBidi"/>
          <w:sz w:val="24"/>
          <w:szCs w:val="24"/>
        </w:rPr>
        <w:t xml:space="preserve">Parsons, S. A., Vaughn, M., Scales, R. Q., Gallagher, M. A., Parsons, A. W., Davis, S. G., . . . Allen, M. (2018). Teachers’ instructional adaptations: A research synthesis. </w:t>
      </w:r>
      <w:r w:rsidRPr="00662AA9">
        <w:rPr>
          <w:rFonts w:asciiTheme="majorBidi" w:hAnsiTheme="majorBidi" w:cstheme="majorBidi"/>
          <w:i/>
          <w:iCs/>
          <w:sz w:val="24"/>
          <w:szCs w:val="24"/>
        </w:rPr>
        <w:t>Review of Educational Research, 88</w:t>
      </w:r>
      <w:r w:rsidRPr="00662AA9">
        <w:rPr>
          <w:rFonts w:asciiTheme="majorBidi" w:hAnsiTheme="majorBidi" w:cstheme="majorBidi"/>
          <w:sz w:val="24"/>
          <w:szCs w:val="24"/>
        </w:rPr>
        <w:t xml:space="preserve">(2), 205–242. </w:t>
      </w:r>
      <w:r w:rsidRPr="001A0D18">
        <w:rPr>
          <w:rFonts w:asciiTheme="majorBidi" w:hAnsiTheme="majorBidi" w:cstheme="majorBidi"/>
          <w:sz w:val="24"/>
          <w:szCs w:val="24"/>
        </w:rPr>
        <w:t>https://doi.org/</w:t>
      </w:r>
      <w:r w:rsidRPr="00662AA9">
        <w:rPr>
          <w:rFonts w:asciiTheme="majorBidi" w:hAnsiTheme="majorBidi" w:cstheme="majorBidi"/>
          <w:sz w:val="24"/>
          <w:szCs w:val="24"/>
        </w:rPr>
        <w:t>10.3102/0034654317743198</w:t>
      </w:r>
    </w:p>
    <w:p w:rsidR="00AB2D00" w:rsidRDefault="00AB2D00" w:rsidP="00AB2D00">
      <w:pPr>
        <w:pStyle w:val="EndNoteBibliography"/>
        <w:ind w:left="720" w:hanging="720"/>
        <w:jc w:val="left"/>
        <w:rPr>
          <w:rFonts w:asciiTheme="majorBidi" w:hAnsiTheme="majorBidi" w:cstheme="majorBidi"/>
          <w:sz w:val="24"/>
          <w:szCs w:val="24"/>
        </w:rPr>
      </w:pPr>
      <w:r w:rsidRPr="00662AA9">
        <w:rPr>
          <w:rFonts w:asciiTheme="majorBidi" w:hAnsiTheme="majorBidi" w:cstheme="majorBidi"/>
          <w:sz w:val="24"/>
          <w:szCs w:val="24"/>
        </w:rPr>
        <w:t xml:space="preserve">Pham, H. L. (2012). Differentiated instruction and the need to integrate teaching and practice. </w:t>
      </w:r>
      <w:r w:rsidRPr="00662AA9">
        <w:rPr>
          <w:rFonts w:asciiTheme="majorBidi" w:hAnsiTheme="majorBidi" w:cstheme="majorBidi"/>
          <w:i/>
          <w:sz w:val="24"/>
          <w:szCs w:val="24"/>
        </w:rPr>
        <w:t>Journal of College Teaching &amp; Learning, 9</w:t>
      </w:r>
      <w:r w:rsidRPr="00662AA9">
        <w:rPr>
          <w:rFonts w:asciiTheme="majorBidi" w:hAnsiTheme="majorBidi" w:cstheme="majorBidi"/>
          <w:sz w:val="24"/>
          <w:szCs w:val="24"/>
        </w:rPr>
        <w:t xml:space="preserve">(1), 13-20. </w:t>
      </w:r>
      <w:r w:rsidRPr="001A0D18">
        <w:rPr>
          <w:rFonts w:asciiTheme="majorBidi" w:hAnsiTheme="majorBidi" w:cstheme="majorBidi"/>
          <w:sz w:val="24"/>
          <w:szCs w:val="24"/>
        </w:rPr>
        <w:t>https://doi.org/</w:t>
      </w:r>
      <w:r w:rsidRPr="00662AA9">
        <w:rPr>
          <w:rFonts w:asciiTheme="majorBidi" w:hAnsiTheme="majorBidi" w:cstheme="majorBidi"/>
          <w:sz w:val="24"/>
          <w:szCs w:val="24"/>
        </w:rPr>
        <w:t>10.19030/tlc.v9i1.6710</w:t>
      </w:r>
    </w:p>
    <w:p w:rsidR="00AB2D00" w:rsidRPr="00012EDF" w:rsidRDefault="00AB2D00" w:rsidP="00AB2D00">
      <w:pPr>
        <w:pStyle w:val="EndNoteBibliography"/>
        <w:ind w:left="720" w:hanging="720"/>
        <w:jc w:val="left"/>
        <w:rPr>
          <w:rFonts w:asciiTheme="majorBidi" w:hAnsiTheme="majorBidi" w:cstheme="majorBidi"/>
          <w:color w:val="0070C0"/>
          <w:sz w:val="24"/>
          <w:szCs w:val="24"/>
          <w:lang w:val="ru-RU"/>
        </w:rPr>
      </w:pPr>
      <w:r w:rsidRPr="00012EDF">
        <w:rPr>
          <w:rFonts w:asciiTheme="majorBidi" w:hAnsiTheme="majorBidi" w:cstheme="majorBidi"/>
          <w:color w:val="0070C0"/>
          <w:sz w:val="24"/>
          <w:szCs w:val="24"/>
        </w:rPr>
        <w:lastRenderedPageBreak/>
        <w:t>Pourdana, N. (2022). Impacts of computer-assisted diagnostic assessment on sustainability of L2 learners’ collaborative writing improvement and their engagement modes. </w:t>
      </w:r>
      <w:r w:rsidRPr="00012EDF">
        <w:rPr>
          <w:rFonts w:asciiTheme="majorBidi" w:hAnsiTheme="majorBidi" w:cstheme="majorBidi"/>
          <w:i/>
          <w:iCs/>
          <w:color w:val="0070C0"/>
          <w:sz w:val="24"/>
          <w:szCs w:val="24"/>
        </w:rPr>
        <w:t>Asian-Pacific Journal of Second and Foreign Language Education</w:t>
      </w:r>
      <w:r w:rsidRPr="00012EDF">
        <w:rPr>
          <w:rFonts w:asciiTheme="majorBidi" w:hAnsiTheme="majorBidi" w:cstheme="majorBidi"/>
          <w:color w:val="0070C0"/>
          <w:sz w:val="24"/>
          <w:szCs w:val="24"/>
        </w:rPr>
        <w:t>, </w:t>
      </w:r>
      <w:r w:rsidRPr="00012EDF">
        <w:rPr>
          <w:rFonts w:asciiTheme="majorBidi" w:hAnsiTheme="majorBidi" w:cstheme="majorBidi"/>
          <w:i/>
          <w:iCs/>
          <w:color w:val="0070C0"/>
          <w:sz w:val="24"/>
          <w:szCs w:val="24"/>
        </w:rPr>
        <w:t>7</w:t>
      </w:r>
      <w:r w:rsidRPr="00012EDF">
        <w:rPr>
          <w:rFonts w:asciiTheme="majorBidi" w:hAnsiTheme="majorBidi" w:cstheme="majorBidi"/>
          <w:color w:val="0070C0"/>
          <w:sz w:val="24"/>
          <w:szCs w:val="24"/>
        </w:rPr>
        <w:t>(1), 1-21.</w:t>
      </w:r>
      <w:r w:rsidRPr="00012EDF">
        <w:rPr>
          <w:rFonts w:ascii="Times New Roman" w:eastAsia="Times New Roman" w:hAnsi="Times New Roman" w:cs="Times New Roman"/>
          <w:noProof w:val="0"/>
          <w:color w:val="0070C0"/>
          <w:sz w:val="24"/>
          <w:szCs w:val="24"/>
          <w:shd w:val="clear" w:color="auto" w:fill="FFFFFF"/>
          <w:lang w:val="ru-RU" w:eastAsia="ru-RU"/>
        </w:rPr>
        <w:t xml:space="preserve"> </w:t>
      </w:r>
      <w:r w:rsidRPr="00012EDF">
        <w:rPr>
          <w:rFonts w:asciiTheme="majorBidi" w:hAnsiTheme="majorBidi" w:cstheme="majorBidi"/>
          <w:color w:val="0070C0"/>
          <w:sz w:val="24"/>
          <w:szCs w:val="24"/>
          <w:lang w:val="ru-RU"/>
        </w:rPr>
        <w:t>https://doi.org/10.1186/s40862-022-00139-4</w:t>
      </w:r>
    </w:p>
    <w:p w:rsidR="00AB2D00" w:rsidRPr="009B1C85" w:rsidRDefault="00AB2D00" w:rsidP="00AB2D00">
      <w:pPr>
        <w:pStyle w:val="EndNoteBibliography"/>
        <w:ind w:left="720" w:hanging="720"/>
        <w:jc w:val="left"/>
        <w:rPr>
          <w:rFonts w:asciiTheme="majorBidi" w:hAnsiTheme="majorBidi" w:cstheme="majorBidi"/>
          <w:color w:val="0070C0"/>
          <w:sz w:val="24"/>
          <w:szCs w:val="24"/>
        </w:rPr>
      </w:pPr>
      <w:r w:rsidRPr="009B1C85">
        <w:rPr>
          <w:rFonts w:asciiTheme="majorBidi" w:hAnsiTheme="majorBidi" w:cstheme="majorBidi"/>
          <w:color w:val="0070C0"/>
          <w:sz w:val="24"/>
          <w:szCs w:val="24"/>
        </w:rPr>
        <w:t xml:space="preserve">Pourdana, N., &amp; Tavassoli, K. (2022). Differential impacts of e-portfolio assessment on language learners’ engagement modes and genre-based writing improvement. </w:t>
      </w:r>
      <w:r w:rsidRPr="009B1C85">
        <w:rPr>
          <w:rFonts w:asciiTheme="majorBidi" w:hAnsiTheme="majorBidi" w:cstheme="majorBidi"/>
          <w:i/>
          <w:iCs/>
          <w:color w:val="0070C0"/>
          <w:sz w:val="24"/>
          <w:szCs w:val="24"/>
        </w:rPr>
        <w:t>Language Testing in Asia, 12</w:t>
      </w:r>
      <w:r w:rsidRPr="009B1C85">
        <w:rPr>
          <w:rFonts w:asciiTheme="majorBidi" w:hAnsiTheme="majorBidi" w:cstheme="majorBidi"/>
          <w:color w:val="0070C0"/>
          <w:sz w:val="24"/>
          <w:szCs w:val="24"/>
        </w:rPr>
        <w:t>(7), 1-19.  https://doi.org/10.1186/s40468-022-00156-7</w:t>
      </w:r>
    </w:p>
    <w:p w:rsidR="00AB2D00" w:rsidRPr="009B1C85" w:rsidRDefault="00AB2D00" w:rsidP="00AB2D00">
      <w:pPr>
        <w:pStyle w:val="EndNoteBibliography"/>
        <w:ind w:left="720" w:hanging="720"/>
        <w:jc w:val="left"/>
        <w:rPr>
          <w:rFonts w:asciiTheme="majorBidi" w:hAnsiTheme="majorBidi" w:cstheme="majorBidi"/>
          <w:sz w:val="24"/>
          <w:szCs w:val="24"/>
        </w:rPr>
      </w:pPr>
      <w:r w:rsidRPr="009B1C85">
        <w:rPr>
          <w:rFonts w:asciiTheme="majorBidi" w:hAnsiTheme="majorBidi" w:cstheme="majorBidi"/>
          <w:sz w:val="24"/>
          <w:szCs w:val="24"/>
        </w:rPr>
        <w:t xml:space="preserve">Pourdana, N., &amp; Asghari, S. (2021). Different dimensions of teacher and peer assessment of EFL learners’ writing: Descriptive and narrative genres in focus. </w:t>
      </w:r>
      <w:r w:rsidRPr="009B1C85">
        <w:rPr>
          <w:rFonts w:asciiTheme="majorBidi" w:hAnsiTheme="majorBidi" w:cstheme="majorBidi"/>
          <w:i/>
          <w:iCs/>
          <w:sz w:val="24"/>
          <w:szCs w:val="24"/>
        </w:rPr>
        <w:t>Language Testing in Asia, 11</w:t>
      </w:r>
      <w:r w:rsidRPr="009B1C85">
        <w:rPr>
          <w:rFonts w:asciiTheme="majorBidi" w:hAnsiTheme="majorBidi" w:cstheme="majorBidi"/>
          <w:sz w:val="24"/>
          <w:szCs w:val="24"/>
        </w:rPr>
        <w:t>(6). https://doi.org/10.1186/s40468-021-00122-9</w:t>
      </w:r>
    </w:p>
    <w:p w:rsidR="00AB2D00" w:rsidRPr="009B1C85" w:rsidRDefault="00AB2D00" w:rsidP="00AB2D00">
      <w:pPr>
        <w:pStyle w:val="EndNoteBibliography"/>
        <w:ind w:left="720" w:hanging="720"/>
        <w:jc w:val="left"/>
        <w:rPr>
          <w:rFonts w:asciiTheme="majorBidi" w:hAnsiTheme="majorBidi" w:cstheme="majorBidi"/>
          <w:sz w:val="24"/>
          <w:szCs w:val="24"/>
        </w:rPr>
      </w:pPr>
      <w:r w:rsidRPr="009B1C85">
        <w:rPr>
          <w:rFonts w:asciiTheme="majorBidi" w:hAnsiTheme="majorBidi" w:cstheme="majorBidi"/>
          <w:sz w:val="24"/>
          <w:szCs w:val="24"/>
        </w:rPr>
        <w:t xml:space="preserve">Pourdana, N., &amp; Mohamadi Zenouzagh, Z. (2021). Feedback types, negotiation of meaning, and negotiation of form in multimodal and text-based computer-mediated </w:t>
      </w:r>
      <w:r>
        <w:rPr>
          <w:rFonts w:asciiTheme="majorBidi" w:hAnsiTheme="majorBidi" w:cstheme="majorBidi"/>
          <w:sz w:val="24"/>
          <w:szCs w:val="24"/>
        </w:rPr>
        <w:t>E</w:t>
      </w:r>
      <w:r w:rsidRPr="009B1C85">
        <w:rPr>
          <w:rFonts w:asciiTheme="majorBidi" w:hAnsiTheme="majorBidi" w:cstheme="majorBidi"/>
          <w:sz w:val="24"/>
          <w:szCs w:val="24"/>
        </w:rPr>
        <w:t xml:space="preserve">nglish collaborative writing. </w:t>
      </w:r>
      <w:r w:rsidRPr="009B1C85">
        <w:rPr>
          <w:rFonts w:asciiTheme="majorBidi" w:hAnsiTheme="majorBidi" w:cstheme="majorBidi"/>
          <w:i/>
          <w:iCs/>
          <w:sz w:val="24"/>
          <w:szCs w:val="24"/>
        </w:rPr>
        <w:t>Foreign Language Research Journal, 11</w:t>
      </w:r>
      <w:r w:rsidRPr="009B1C85">
        <w:rPr>
          <w:rFonts w:asciiTheme="majorBidi" w:hAnsiTheme="majorBidi" w:cstheme="majorBidi"/>
          <w:sz w:val="24"/>
          <w:szCs w:val="24"/>
        </w:rPr>
        <w:t>(3), 453-471. https://doi.org/10.22059/JFLR.2021.321348.825</w:t>
      </w:r>
    </w:p>
    <w:p w:rsidR="00AB2D00" w:rsidRPr="009B1C85" w:rsidRDefault="00AB2D00" w:rsidP="00AB2D00">
      <w:pPr>
        <w:pStyle w:val="EndNoteBibliography"/>
        <w:ind w:left="720" w:hanging="720"/>
        <w:jc w:val="left"/>
        <w:rPr>
          <w:rFonts w:asciiTheme="majorBidi" w:hAnsiTheme="majorBidi" w:cstheme="majorBidi"/>
          <w:sz w:val="24"/>
          <w:szCs w:val="24"/>
        </w:rPr>
      </w:pPr>
      <w:r w:rsidRPr="009B1C85">
        <w:rPr>
          <w:rFonts w:asciiTheme="majorBidi" w:hAnsiTheme="majorBidi" w:cstheme="majorBidi"/>
          <w:sz w:val="24"/>
          <w:szCs w:val="24"/>
        </w:rPr>
        <w:t xml:space="preserve">Pourdana, N., Nour, P., &amp; Yousefi, F. (2021). Investigating metalinguistic written corrective feedback focused on EFL learners’ discourse markers accuracy in mobile-mediated context. </w:t>
      </w:r>
      <w:r w:rsidRPr="009B1C85">
        <w:rPr>
          <w:rFonts w:asciiTheme="majorBidi" w:hAnsiTheme="majorBidi" w:cstheme="majorBidi"/>
          <w:i/>
          <w:iCs/>
          <w:sz w:val="24"/>
          <w:szCs w:val="24"/>
        </w:rPr>
        <w:t>Asian-Pacific Journal of Second and Foreign Language Education,</w:t>
      </w:r>
      <w:r w:rsidRPr="009B1C85">
        <w:rPr>
          <w:rFonts w:asciiTheme="majorBidi" w:hAnsiTheme="majorBidi" w:cstheme="majorBidi"/>
          <w:i/>
          <w:iCs/>
          <w:sz w:val="24"/>
          <w:szCs w:val="24"/>
        </w:rPr>
        <w:br/>
        <w:t>6</w:t>
      </w:r>
      <w:r w:rsidRPr="009B1C85">
        <w:rPr>
          <w:rFonts w:asciiTheme="majorBidi" w:hAnsiTheme="majorBidi" w:cstheme="majorBidi"/>
          <w:sz w:val="24"/>
          <w:szCs w:val="24"/>
        </w:rPr>
        <w:t>(7), https://doi.org/10.1186/s40862-021-00111-8.</w:t>
      </w:r>
    </w:p>
    <w:p w:rsidR="00AB2D00" w:rsidRPr="009B1C85" w:rsidRDefault="00AB2D00" w:rsidP="00AB2D00">
      <w:pPr>
        <w:pStyle w:val="EndNoteBibliography"/>
        <w:ind w:left="720" w:hanging="720"/>
        <w:jc w:val="left"/>
        <w:rPr>
          <w:rFonts w:asciiTheme="majorBidi" w:hAnsiTheme="majorBidi" w:cstheme="majorBidi"/>
          <w:sz w:val="24"/>
          <w:szCs w:val="24"/>
        </w:rPr>
      </w:pPr>
      <w:r w:rsidRPr="009B1C85">
        <w:rPr>
          <w:rFonts w:asciiTheme="majorBidi" w:hAnsiTheme="majorBidi" w:cstheme="majorBidi"/>
          <w:sz w:val="24"/>
          <w:szCs w:val="24"/>
        </w:rPr>
        <w:t>Pourdana, N., &amp; Rad, S. M. (2017). Differentiated instructions: Implementing tiered listening tasks in mixed-ability EFL context. J</w:t>
      </w:r>
      <w:r w:rsidRPr="009B1C85">
        <w:rPr>
          <w:rFonts w:asciiTheme="majorBidi" w:hAnsiTheme="majorBidi" w:cstheme="majorBidi"/>
          <w:i/>
          <w:iCs/>
          <w:sz w:val="24"/>
          <w:szCs w:val="24"/>
        </w:rPr>
        <w:t>ournal of Modern Research in English Language Studies, 4</w:t>
      </w:r>
      <w:r w:rsidRPr="009B1C85">
        <w:rPr>
          <w:rFonts w:asciiTheme="majorBidi" w:hAnsiTheme="majorBidi" w:cstheme="majorBidi"/>
          <w:sz w:val="24"/>
          <w:szCs w:val="24"/>
        </w:rPr>
        <w:t>(1), 87-69. https://doi.org/10.30479/JMRELS.2017.1566</w:t>
      </w:r>
    </w:p>
    <w:p w:rsidR="00AB2D00" w:rsidRPr="002710BC" w:rsidRDefault="00AB2D00" w:rsidP="00AB2D00">
      <w:pPr>
        <w:pStyle w:val="EndNoteBibliography"/>
        <w:ind w:left="720" w:hanging="720"/>
        <w:jc w:val="left"/>
        <w:rPr>
          <w:rFonts w:asciiTheme="majorBidi" w:hAnsiTheme="majorBidi" w:cstheme="majorBidi"/>
          <w:color w:val="0070C0"/>
          <w:sz w:val="24"/>
          <w:szCs w:val="24"/>
        </w:rPr>
      </w:pPr>
      <w:r w:rsidRPr="002710BC">
        <w:rPr>
          <w:rFonts w:asciiTheme="majorBidi" w:hAnsiTheme="majorBidi" w:cstheme="majorBidi"/>
          <w:color w:val="0070C0"/>
          <w:sz w:val="24"/>
          <w:szCs w:val="24"/>
        </w:rPr>
        <w:t xml:space="preserve">Rafi, F., Pourdana, N., &amp; Ghaemi, F. (2022). Computer-mediated diagnostic assessment of mixed-ability EFL learners’ performance on tiered tasks: Differentiating mediation on Google Meet™. </w:t>
      </w:r>
      <w:r w:rsidRPr="002710BC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Journal of Modern Research in English Language Studies. </w:t>
      </w:r>
      <w:r w:rsidRPr="002710BC">
        <w:rPr>
          <w:rFonts w:asciiTheme="majorBidi" w:hAnsiTheme="majorBidi" w:cstheme="majorBidi"/>
          <w:color w:val="0070C0"/>
          <w:sz w:val="24"/>
          <w:szCs w:val="24"/>
        </w:rPr>
        <w:t>http://dx.doi.org/10.30479/jmrels.2021.16118.1950</w:t>
      </w:r>
    </w:p>
    <w:p w:rsidR="00AB2D00" w:rsidRPr="00662AA9" w:rsidRDefault="00AB2D00" w:rsidP="00AB2D00">
      <w:pPr>
        <w:pStyle w:val="EndNoteBibliography"/>
        <w:ind w:left="720" w:hanging="720"/>
        <w:jc w:val="left"/>
        <w:rPr>
          <w:rFonts w:asciiTheme="majorBidi" w:hAnsiTheme="majorBidi" w:cstheme="majorBidi"/>
          <w:sz w:val="24"/>
          <w:szCs w:val="24"/>
        </w:rPr>
      </w:pPr>
      <w:r w:rsidRPr="00662AA9">
        <w:rPr>
          <w:rFonts w:asciiTheme="majorBidi" w:hAnsiTheme="majorBidi" w:cstheme="majorBidi"/>
          <w:sz w:val="24"/>
          <w:szCs w:val="24"/>
        </w:rPr>
        <w:t xml:space="preserve">Reid, D., &amp; Feist, D. (2018). Questioning the role of tomorrow's teacher: Technology-facilitated differentiated learning in 21st-century classrooms. In </w:t>
      </w:r>
      <w:r w:rsidRPr="00662AA9">
        <w:rPr>
          <w:rFonts w:asciiTheme="majorBidi" w:hAnsiTheme="majorBidi" w:cstheme="majorBidi"/>
          <w:i/>
          <w:sz w:val="24"/>
          <w:szCs w:val="24"/>
        </w:rPr>
        <w:t>Handbook of Research on Pedagogical Models for Next-Generation Teaching and Learning</w:t>
      </w:r>
      <w:r w:rsidRPr="00662AA9">
        <w:rPr>
          <w:rFonts w:asciiTheme="majorBidi" w:hAnsiTheme="majorBidi" w:cstheme="majorBidi"/>
          <w:sz w:val="24"/>
          <w:szCs w:val="24"/>
        </w:rPr>
        <w:t xml:space="preserve"> (pp. 135-153): IGI Global.</w:t>
      </w:r>
    </w:p>
    <w:p w:rsidR="00AB2D00" w:rsidRPr="00C0703E" w:rsidRDefault="00AB2D00" w:rsidP="00AB2D00">
      <w:pPr>
        <w:pStyle w:val="EndNoteBibliography"/>
        <w:ind w:left="720" w:hanging="720"/>
        <w:jc w:val="left"/>
        <w:rPr>
          <w:rFonts w:asciiTheme="majorBidi" w:hAnsiTheme="majorBidi" w:cstheme="majorBidi"/>
          <w:sz w:val="24"/>
          <w:szCs w:val="24"/>
        </w:rPr>
      </w:pPr>
      <w:r w:rsidRPr="00C0703E">
        <w:rPr>
          <w:rFonts w:asciiTheme="majorBidi" w:hAnsiTheme="majorBidi" w:cstheme="majorBidi"/>
          <w:sz w:val="24"/>
          <w:szCs w:val="24"/>
        </w:rPr>
        <w:t xml:space="preserve">Ritter, O. N. (December 2018). </w:t>
      </w:r>
      <w:r w:rsidRPr="00C0703E">
        <w:rPr>
          <w:rFonts w:asciiTheme="majorBidi" w:hAnsiTheme="majorBidi" w:cstheme="majorBidi"/>
          <w:i/>
          <w:iCs/>
          <w:sz w:val="24"/>
          <w:szCs w:val="24"/>
        </w:rPr>
        <w:t xml:space="preserve">Integration of educational technology for the purposes of differentiated instruction in secondary STEM education. </w:t>
      </w:r>
      <w:r w:rsidRPr="00C0703E">
        <w:rPr>
          <w:rFonts w:asciiTheme="majorBidi" w:hAnsiTheme="majorBidi" w:cstheme="majorBidi"/>
          <w:sz w:val="24"/>
          <w:szCs w:val="24"/>
        </w:rPr>
        <w:t xml:space="preserve">Retrieved January 7, 2022, from https://trace.tennessee.edu/utk_graddiss/5274. </w:t>
      </w:r>
    </w:p>
    <w:p w:rsidR="00AB2D00" w:rsidRPr="00662AA9" w:rsidRDefault="00AB2D00" w:rsidP="00AB2D00">
      <w:pPr>
        <w:pStyle w:val="EndNoteBibliography"/>
        <w:ind w:left="720" w:hanging="720"/>
        <w:jc w:val="left"/>
        <w:rPr>
          <w:rFonts w:asciiTheme="majorBidi" w:hAnsiTheme="majorBidi" w:cstheme="majorBidi"/>
          <w:sz w:val="24"/>
          <w:szCs w:val="24"/>
        </w:rPr>
      </w:pPr>
      <w:r w:rsidRPr="00662AA9">
        <w:rPr>
          <w:rFonts w:asciiTheme="majorBidi" w:hAnsiTheme="majorBidi" w:cstheme="majorBidi"/>
          <w:sz w:val="24"/>
          <w:szCs w:val="24"/>
        </w:rPr>
        <w:t xml:space="preserve">Seferoglu, G. (2005) Improving students’ pronunciation through accent reduction software. </w:t>
      </w:r>
      <w:r w:rsidRPr="00662AA9">
        <w:rPr>
          <w:rFonts w:asciiTheme="majorBidi" w:hAnsiTheme="majorBidi" w:cstheme="majorBidi"/>
          <w:i/>
          <w:iCs/>
          <w:sz w:val="24"/>
          <w:szCs w:val="24"/>
        </w:rPr>
        <w:t>British Journal of Educational Technology, 36</w:t>
      </w:r>
      <w:r w:rsidRPr="00662AA9">
        <w:rPr>
          <w:rFonts w:asciiTheme="majorBidi" w:hAnsiTheme="majorBidi" w:cstheme="majorBidi"/>
          <w:sz w:val="24"/>
          <w:szCs w:val="24"/>
        </w:rPr>
        <w:t xml:space="preserve">(2), 303–316. </w:t>
      </w:r>
      <w:r w:rsidRPr="001A0D18">
        <w:rPr>
          <w:rFonts w:asciiTheme="majorBidi" w:hAnsiTheme="majorBidi" w:cstheme="majorBidi"/>
          <w:sz w:val="24"/>
          <w:szCs w:val="24"/>
        </w:rPr>
        <w:t>https://doi.org/</w:t>
      </w:r>
      <w:r w:rsidRPr="00662AA9">
        <w:rPr>
          <w:rFonts w:asciiTheme="majorBidi" w:hAnsiTheme="majorBidi" w:cstheme="majorBidi"/>
          <w:sz w:val="24"/>
          <w:szCs w:val="24"/>
        </w:rPr>
        <w:t>10.1111/j.1467-8535.2005.00459</w:t>
      </w:r>
    </w:p>
    <w:p w:rsidR="00AB2D00" w:rsidRPr="00662AA9" w:rsidRDefault="00AB2D00" w:rsidP="00AB2D00">
      <w:pPr>
        <w:pStyle w:val="EndNoteBibliography"/>
        <w:ind w:left="720" w:hanging="720"/>
        <w:jc w:val="left"/>
        <w:rPr>
          <w:rFonts w:asciiTheme="majorBidi" w:hAnsiTheme="majorBidi" w:cstheme="majorBidi"/>
          <w:sz w:val="24"/>
          <w:szCs w:val="24"/>
        </w:rPr>
      </w:pPr>
      <w:r w:rsidRPr="00662AA9">
        <w:rPr>
          <w:rFonts w:asciiTheme="majorBidi" w:hAnsiTheme="majorBidi" w:cstheme="majorBidi"/>
          <w:sz w:val="24"/>
          <w:szCs w:val="24"/>
        </w:rPr>
        <w:t xml:space="preserve">Scalise, K. (2007). Differentiated e-learning: Five approaches through instructional technology. </w:t>
      </w:r>
      <w:r w:rsidRPr="00662AA9">
        <w:rPr>
          <w:rFonts w:asciiTheme="majorBidi" w:hAnsiTheme="majorBidi" w:cstheme="majorBidi"/>
          <w:i/>
          <w:sz w:val="24"/>
          <w:szCs w:val="24"/>
        </w:rPr>
        <w:t>International Journal of Learning Technology, 3</w:t>
      </w:r>
      <w:r w:rsidRPr="00662AA9">
        <w:rPr>
          <w:rFonts w:asciiTheme="majorBidi" w:hAnsiTheme="majorBidi" w:cstheme="majorBidi"/>
          <w:sz w:val="24"/>
          <w:szCs w:val="24"/>
        </w:rPr>
        <w:t xml:space="preserve">(2), 169-182. </w:t>
      </w:r>
      <w:r w:rsidRPr="001A0D18">
        <w:rPr>
          <w:rFonts w:asciiTheme="majorBidi" w:hAnsiTheme="majorBidi" w:cstheme="majorBidi"/>
          <w:sz w:val="24"/>
          <w:szCs w:val="24"/>
        </w:rPr>
        <w:t>https://doi.org/</w:t>
      </w:r>
      <w:r w:rsidRPr="00662AA9">
        <w:rPr>
          <w:rFonts w:asciiTheme="majorBidi" w:hAnsiTheme="majorBidi" w:cstheme="majorBidi"/>
          <w:sz w:val="24"/>
          <w:szCs w:val="24"/>
        </w:rPr>
        <w:t>10.1504/IJLT.2007.014843</w:t>
      </w:r>
    </w:p>
    <w:p w:rsidR="00AB2D00" w:rsidRPr="00662AA9" w:rsidRDefault="00AB2D00" w:rsidP="00AB2D00">
      <w:pPr>
        <w:pStyle w:val="EndNoteBibliography"/>
        <w:ind w:left="720" w:hanging="720"/>
        <w:jc w:val="left"/>
        <w:rPr>
          <w:rFonts w:asciiTheme="majorBidi" w:hAnsiTheme="majorBidi" w:cstheme="majorBidi"/>
          <w:sz w:val="24"/>
          <w:szCs w:val="24"/>
        </w:rPr>
      </w:pPr>
      <w:r w:rsidRPr="00662AA9">
        <w:rPr>
          <w:rFonts w:asciiTheme="majorBidi" w:hAnsiTheme="majorBidi" w:cstheme="majorBidi"/>
          <w:sz w:val="24"/>
          <w:szCs w:val="24"/>
        </w:rPr>
        <w:t xml:space="preserve">Shepherd, C. M., &amp; Alpert, M. (2015). Using technology to provide differentiated instruction for deaf learners. </w:t>
      </w:r>
      <w:r w:rsidRPr="00662AA9">
        <w:rPr>
          <w:rFonts w:asciiTheme="majorBidi" w:hAnsiTheme="majorBidi" w:cstheme="majorBidi"/>
          <w:i/>
          <w:sz w:val="24"/>
          <w:szCs w:val="24"/>
        </w:rPr>
        <w:t>Journal of Instructional Pedagogies, 16</w:t>
      </w:r>
      <w:r w:rsidRPr="00662AA9">
        <w:rPr>
          <w:rFonts w:asciiTheme="majorBidi" w:hAnsiTheme="majorBidi" w:cstheme="majorBidi"/>
          <w:sz w:val="24"/>
          <w:szCs w:val="24"/>
        </w:rPr>
        <w:t xml:space="preserve">. </w:t>
      </w:r>
    </w:p>
    <w:p w:rsidR="00AB2D00" w:rsidRPr="00662AA9" w:rsidRDefault="00AB2D00" w:rsidP="00AB2D00">
      <w:pPr>
        <w:pStyle w:val="EndNoteBibliography"/>
        <w:ind w:left="720" w:hanging="720"/>
        <w:jc w:val="left"/>
        <w:rPr>
          <w:rFonts w:asciiTheme="majorBidi" w:hAnsiTheme="majorBidi" w:cstheme="majorBidi"/>
          <w:sz w:val="24"/>
          <w:szCs w:val="24"/>
        </w:rPr>
      </w:pPr>
      <w:r w:rsidRPr="00662AA9">
        <w:rPr>
          <w:rFonts w:asciiTheme="majorBidi" w:hAnsiTheme="majorBidi" w:cstheme="majorBidi"/>
          <w:sz w:val="24"/>
          <w:szCs w:val="24"/>
        </w:rPr>
        <w:t xml:space="preserve">Storch, N. (2013). </w:t>
      </w:r>
      <w:r w:rsidRPr="00662AA9">
        <w:rPr>
          <w:rFonts w:asciiTheme="majorBidi" w:hAnsiTheme="majorBidi" w:cstheme="majorBidi"/>
          <w:i/>
          <w:iCs/>
          <w:sz w:val="24"/>
          <w:szCs w:val="24"/>
        </w:rPr>
        <w:t>Collaborative writing in L2 classrooms.</w:t>
      </w:r>
      <w:r w:rsidRPr="00662AA9">
        <w:rPr>
          <w:rFonts w:asciiTheme="majorBidi" w:hAnsiTheme="majorBidi" w:cstheme="majorBidi"/>
          <w:sz w:val="24"/>
          <w:szCs w:val="24"/>
        </w:rPr>
        <w:t xml:space="preserve"> Multilingual Matters.</w:t>
      </w:r>
    </w:p>
    <w:p w:rsidR="00AB2D00" w:rsidRPr="00662AA9" w:rsidRDefault="00AB2D00" w:rsidP="00AB2D00">
      <w:pPr>
        <w:pStyle w:val="EndNoteBibliography"/>
        <w:ind w:left="720" w:hanging="720"/>
        <w:jc w:val="left"/>
        <w:rPr>
          <w:rFonts w:asciiTheme="majorBidi" w:hAnsiTheme="majorBidi" w:cstheme="majorBidi"/>
          <w:sz w:val="24"/>
          <w:szCs w:val="24"/>
        </w:rPr>
      </w:pPr>
      <w:r w:rsidRPr="00662AA9">
        <w:rPr>
          <w:rFonts w:asciiTheme="majorBidi" w:hAnsiTheme="majorBidi" w:cstheme="majorBidi"/>
          <w:sz w:val="24"/>
          <w:szCs w:val="24"/>
        </w:rPr>
        <w:lastRenderedPageBreak/>
        <w:t xml:space="preserve">Suwastini, N. K. A., Rinawati, N. K. A., Jayantini, I., &amp; Dantes, G. (2021). Differentiated instruction across EFL classrooms: A conceptual review. </w:t>
      </w:r>
      <w:r w:rsidRPr="00662AA9">
        <w:rPr>
          <w:rFonts w:asciiTheme="majorBidi" w:hAnsiTheme="majorBidi" w:cstheme="majorBidi"/>
          <w:i/>
          <w:sz w:val="24"/>
          <w:szCs w:val="24"/>
        </w:rPr>
        <w:t>TELL-US Journal, 7</w:t>
      </w:r>
      <w:r w:rsidRPr="00662AA9">
        <w:rPr>
          <w:rFonts w:asciiTheme="majorBidi" w:hAnsiTheme="majorBidi" w:cstheme="majorBidi"/>
          <w:sz w:val="24"/>
          <w:szCs w:val="24"/>
        </w:rPr>
        <w:t xml:space="preserve">(1), 14-41. </w:t>
      </w:r>
      <w:r w:rsidRPr="001A0D18">
        <w:rPr>
          <w:rFonts w:asciiTheme="majorBidi" w:hAnsiTheme="majorBidi" w:cstheme="majorBidi"/>
          <w:sz w:val="24"/>
          <w:szCs w:val="24"/>
        </w:rPr>
        <w:t>https://doi.org/</w:t>
      </w:r>
      <w:r w:rsidRPr="00662AA9">
        <w:rPr>
          <w:rFonts w:asciiTheme="majorBidi" w:hAnsiTheme="majorBidi" w:cstheme="majorBidi"/>
          <w:sz w:val="24"/>
          <w:szCs w:val="24"/>
        </w:rPr>
        <w:t>10.22202/tus.2021.v7i1.4719</w:t>
      </w:r>
    </w:p>
    <w:p w:rsidR="00AB2D00" w:rsidRPr="00662AA9" w:rsidRDefault="00AB2D00" w:rsidP="00AB2D00">
      <w:pPr>
        <w:pStyle w:val="EndNoteBibliography"/>
        <w:ind w:left="720" w:hanging="720"/>
        <w:jc w:val="left"/>
        <w:rPr>
          <w:rFonts w:asciiTheme="majorBidi" w:hAnsiTheme="majorBidi" w:cstheme="majorBidi"/>
          <w:sz w:val="24"/>
          <w:szCs w:val="24"/>
          <w:lang w:val="ru-RU"/>
        </w:rPr>
      </w:pPr>
      <w:r w:rsidRPr="00662AA9">
        <w:rPr>
          <w:rFonts w:asciiTheme="majorBidi" w:hAnsiTheme="majorBidi" w:cstheme="majorBidi"/>
          <w:sz w:val="24"/>
          <w:szCs w:val="24"/>
        </w:rPr>
        <w:t>Swain, M. (2001). Examining dialogue: Another approach to content</w:t>
      </w:r>
      <w:r w:rsidRPr="00662AA9">
        <w:rPr>
          <w:rFonts w:asciiTheme="majorBidi" w:hAnsiTheme="majorBidi" w:cstheme="majorBidi"/>
          <w:sz w:val="24"/>
          <w:szCs w:val="24"/>
          <w:lang w:val="ru-RU"/>
        </w:rPr>
        <w:t xml:space="preserve"> </w:t>
      </w:r>
      <w:r w:rsidRPr="00662AA9">
        <w:rPr>
          <w:rFonts w:asciiTheme="majorBidi" w:hAnsiTheme="majorBidi" w:cstheme="majorBidi"/>
          <w:sz w:val="24"/>
          <w:szCs w:val="24"/>
        </w:rPr>
        <w:t xml:space="preserve">specification and to validating inferences drawn from test scores. </w:t>
      </w:r>
      <w:r w:rsidRPr="00662AA9">
        <w:rPr>
          <w:rFonts w:asciiTheme="majorBidi" w:hAnsiTheme="majorBidi" w:cstheme="majorBidi"/>
          <w:i/>
          <w:iCs/>
          <w:sz w:val="24"/>
          <w:szCs w:val="24"/>
        </w:rPr>
        <w:t>Language</w:t>
      </w:r>
      <w:r w:rsidRPr="00662AA9">
        <w:rPr>
          <w:rFonts w:asciiTheme="majorBidi" w:hAnsiTheme="majorBidi" w:cstheme="majorBidi"/>
          <w:i/>
          <w:iCs/>
          <w:sz w:val="24"/>
          <w:szCs w:val="24"/>
          <w:lang w:val="ru-RU"/>
        </w:rPr>
        <w:t xml:space="preserve"> </w:t>
      </w:r>
      <w:r w:rsidRPr="00662AA9">
        <w:rPr>
          <w:rFonts w:asciiTheme="majorBidi" w:hAnsiTheme="majorBidi" w:cstheme="majorBidi"/>
          <w:i/>
          <w:iCs/>
          <w:sz w:val="24"/>
          <w:szCs w:val="24"/>
        </w:rPr>
        <w:t>Testing</w:t>
      </w:r>
      <w:r w:rsidRPr="00662AA9">
        <w:rPr>
          <w:rFonts w:asciiTheme="majorBidi" w:hAnsiTheme="majorBidi" w:cstheme="majorBidi"/>
          <w:i/>
          <w:iCs/>
          <w:sz w:val="24"/>
          <w:szCs w:val="24"/>
          <w:lang w:val="ru-RU"/>
        </w:rPr>
        <w:t>,</w:t>
      </w:r>
      <w:r w:rsidRPr="00662AA9">
        <w:rPr>
          <w:rFonts w:asciiTheme="majorBidi" w:hAnsiTheme="majorBidi" w:cstheme="majorBidi"/>
          <w:i/>
          <w:iCs/>
          <w:sz w:val="24"/>
          <w:szCs w:val="24"/>
        </w:rPr>
        <w:t xml:space="preserve"> 18</w:t>
      </w:r>
      <w:r w:rsidRPr="00662AA9">
        <w:rPr>
          <w:rFonts w:asciiTheme="majorBidi" w:hAnsiTheme="majorBidi" w:cstheme="majorBidi"/>
          <w:sz w:val="24"/>
          <w:szCs w:val="24"/>
        </w:rPr>
        <w:t xml:space="preserve">(3), 275–302. </w:t>
      </w:r>
      <w:r w:rsidRPr="001A0D18">
        <w:rPr>
          <w:rFonts w:asciiTheme="majorBidi" w:hAnsiTheme="majorBidi" w:cstheme="majorBidi"/>
          <w:sz w:val="24"/>
          <w:szCs w:val="24"/>
        </w:rPr>
        <w:t>https://doi.org/</w:t>
      </w:r>
      <w:r w:rsidRPr="00662AA9">
        <w:rPr>
          <w:rFonts w:asciiTheme="majorBidi" w:hAnsiTheme="majorBidi" w:cstheme="majorBidi"/>
          <w:sz w:val="24"/>
          <w:szCs w:val="24"/>
        </w:rPr>
        <w:t>10.1177/026553220101800302</w:t>
      </w:r>
    </w:p>
    <w:p w:rsidR="00AB2D00" w:rsidRPr="00662AA9" w:rsidRDefault="00AB2D00" w:rsidP="00AB2D00">
      <w:pPr>
        <w:pStyle w:val="EndNoteBibliography"/>
        <w:ind w:left="720" w:hanging="720"/>
        <w:jc w:val="left"/>
        <w:rPr>
          <w:rFonts w:asciiTheme="majorBidi" w:hAnsiTheme="majorBidi" w:cstheme="majorBidi"/>
          <w:sz w:val="24"/>
          <w:szCs w:val="24"/>
        </w:rPr>
      </w:pPr>
      <w:r w:rsidRPr="00662AA9">
        <w:rPr>
          <w:rFonts w:asciiTheme="majorBidi" w:hAnsiTheme="majorBidi" w:cstheme="majorBidi"/>
          <w:sz w:val="24"/>
          <w:szCs w:val="24"/>
        </w:rPr>
        <w:t xml:space="preserve">Tabachnick, B. G. &amp; Fidell, L. S. (2013). </w:t>
      </w:r>
      <w:r w:rsidRPr="00662AA9">
        <w:rPr>
          <w:rFonts w:asciiTheme="majorBidi" w:hAnsiTheme="majorBidi" w:cstheme="majorBidi"/>
          <w:i/>
          <w:iCs/>
          <w:sz w:val="24"/>
          <w:szCs w:val="24"/>
        </w:rPr>
        <w:t>Using multivariate statistics</w:t>
      </w:r>
      <w:r w:rsidRPr="00662AA9">
        <w:rPr>
          <w:rFonts w:asciiTheme="majorBidi" w:hAnsiTheme="majorBidi" w:cstheme="majorBidi"/>
          <w:sz w:val="24"/>
          <w:szCs w:val="24"/>
        </w:rPr>
        <w:t xml:space="preserve"> </w:t>
      </w:r>
      <w:r w:rsidRPr="00662AA9">
        <w:rPr>
          <w:rFonts w:asciiTheme="majorBidi" w:hAnsiTheme="majorBidi" w:cstheme="majorBidi"/>
          <w:i/>
          <w:iCs/>
          <w:sz w:val="24"/>
          <w:szCs w:val="24"/>
        </w:rPr>
        <w:t>(6</w:t>
      </w:r>
      <w:r w:rsidRPr="00662AA9">
        <w:rPr>
          <w:rFonts w:asciiTheme="majorBidi" w:hAnsiTheme="majorBidi" w:cstheme="majorBidi"/>
          <w:i/>
          <w:iCs/>
          <w:sz w:val="24"/>
          <w:szCs w:val="24"/>
          <w:vertAlign w:val="superscript"/>
        </w:rPr>
        <w:t>th</w:t>
      </w:r>
      <w:r w:rsidRPr="00662AA9">
        <w:rPr>
          <w:rFonts w:asciiTheme="majorBidi" w:hAnsiTheme="majorBidi" w:cstheme="majorBidi"/>
          <w:i/>
          <w:iCs/>
          <w:sz w:val="24"/>
          <w:szCs w:val="24"/>
        </w:rPr>
        <w:t xml:space="preserve"> ed.)</w:t>
      </w:r>
      <w:r w:rsidRPr="00662AA9">
        <w:rPr>
          <w:rFonts w:asciiTheme="majorBidi" w:hAnsiTheme="majorBidi" w:cstheme="majorBidi"/>
          <w:sz w:val="24"/>
          <w:szCs w:val="24"/>
        </w:rPr>
        <w:t>. Pearson Education.</w:t>
      </w:r>
    </w:p>
    <w:p w:rsidR="00AB2D00" w:rsidRPr="009B1C85" w:rsidRDefault="00AB2D00" w:rsidP="00AB2D00">
      <w:pPr>
        <w:pStyle w:val="EndNoteBibliography"/>
        <w:ind w:left="720" w:hanging="720"/>
        <w:jc w:val="left"/>
        <w:rPr>
          <w:rFonts w:asciiTheme="majorBidi" w:hAnsiTheme="majorBidi" w:cstheme="majorBidi"/>
          <w:sz w:val="24"/>
          <w:szCs w:val="24"/>
        </w:rPr>
      </w:pPr>
      <w:r w:rsidRPr="009B1C85">
        <w:rPr>
          <w:rFonts w:asciiTheme="majorBidi" w:hAnsiTheme="majorBidi" w:cstheme="majorBidi"/>
          <w:sz w:val="24"/>
          <w:szCs w:val="24"/>
        </w:rPr>
        <w:t xml:space="preserve">Tavassoli, K., Bashiri, L., &amp; Pourdana, N. (2022). </w:t>
      </w:r>
      <w:hyperlink r:id="rId5" w:history="1">
        <w:r w:rsidRPr="009B1C85">
          <w:rPr>
            <w:rStyle w:val="Hyperlink"/>
            <w:rFonts w:asciiTheme="majorBidi" w:hAnsiTheme="majorBidi" w:cstheme="majorBidi"/>
            <w:sz w:val="24"/>
            <w:szCs w:val="24"/>
          </w:rPr>
          <w:t>Experienced and novice L2 raters’ cognitive processes while rating integrated and independent writing tasks</w:t>
        </w:r>
      </w:hyperlink>
      <w:r w:rsidRPr="009B1C85">
        <w:rPr>
          <w:rFonts w:asciiTheme="majorBidi" w:hAnsiTheme="majorBidi" w:cstheme="majorBidi"/>
          <w:sz w:val="24"/>
          <w:szCs w:val="24"/>
        </w:rPr>
        <w:t xml:space="preserve">. </w:t>
      </w:r>
      <w:r w:rsidRPr="009B1C85">
        <w:rPr>
          <w:rFonts w:asciiTheme="majorBidi" w:hAnsiTheme="majorBidi" w:cstheme="majorBidi"/>
          <w:i/>
          <w:iCs/>
          <w:sz w:val="24"/>
          <w:szCs w:val="24"/>
        </w:rPr>
        <w:t>Journal of Language and Education, 8</w:t>
      </w:r>
      <w:r w:rsidRPr="009B1C85">
        <w:rPr>
          <w:rFonts w:asciiTheme="majorBidi" w:hAnsiTheme="majorBidi" w:cstheme="majorBidi"/>
          <w:sz w:val="24"/>
          <w:szCs w:val="24"/>
        </w:rPr>
        <w:t>(4). 168-180. https://doi.org/10.17323/jle.2022.13466</w:t>
      </w:r>
    </w:p>
    <w:p w:rsidR="00AB2D00" w:rsidRPr="00662AA9" w:rsidRDefault="00AB2D00" w:rsidP="00AB2D00">
      <w:pPr>
        <w:pStyle w:val="EndNoteBibliography"/>
        <w:ind w:left="720" w:hanging="720"/>
        <w:jc w:val="left"/>
        <w:rPr>
          <w:rFonts w:asciiTheme="majorBidi" w:hAnsiTheme="majorBidi" w:cstheme="majorBidi"/>
          <w:sz w:val="24"/>
          <w:szCs w:val="24"/>
        </w:rPr>
      </w:pPr>
      <w:r w:rsidRPr="00662AA9">
        <w:rPr>
          <w:rFonts w:asciiTheme="majorBidi" w:hAnsiTheme="majorBidi" w:cstheme="majorBidi"/>
          <w:sz w:val="24"/>
          <w:szCs w:val="24"/>
        </w:rPr>
        <w:t xml:space="preserve">Taylor, B. K. (2015). Content, process, and product: Modeling differentiated instruction. </w:t>
      </w:r>
      <w:r w:rsidRPr="00662AA9">
        <w:rPr>
          <w:rFonts w:asciiTheme="majorBidi" w:hAnsiTheme="majorBidi" w:cstheme="majorBidi"/>
          <w:i/>
          <w:sz w:val="24"/>
          <w:szCs w:val="24"/>
        </w:rPr>
        <w:t>Kappa Delta Pi Record, 51</w:t>
      </w:r>
      <w:r w:rsidRPr="00662AA9">
        <w:rPr>
          <w:rFonts w:asciiTheme="majorBidi" w:hAnsiTheme="majorBidi" w:cstheme="majorBidi"/>
          <w:sz w:val="24"/>
          <w:szCs w:val="24"/>
        </w:rPr>
        <w:t xml:space="preserve">(1), 13-17. </w:t>
      </w:r>
      <w:r w:rsidRPr="00662AA9">
        <w:rPr>
          <w:rStyle w:val="fontstyle01"/>
          <w:sz w:val="24"/>
          <w:szCs w:val="24"/>
        </w:rPr>
        <w:t>http://dx.doi.org/10.1080/00228958.2015.988559</w:t>
      </w:r>
    </w:p>
    <w:p w:rsidR="00AB2D00" w:rsidRPr="00662AA9" w:rsidRDefault="00AB2D00" w:rsidP="00AB2D00">
      <w:pPr>
        <w:pStyle w:val="EndNoteBibliography"/>
        <w:ind w:left="720" w:hanging="720"/>
        <w:jc w:val="left"/>
        <w:rPr>
          <w:rFonts w:asciiTheme="majorBidi" w:hAnsiTheme="majorBidi" w:cstheme="majorBidi"/>
          <w:sz w:val="24"/>
          <w:szCs w:val="24"/>
        </w:rPr>
      </w:pPr>
      <w:r w:rsidRPr="00662AA9">
        <w:rPr>
          <w:rFonts w:asciiTheme="majorBidi" w:hAnsiTheme="majorBidi" w:cstheme="majorBidi"/>
          <w:sz w:val="24"/>
          <w:szCs w:val="24"/>
        </w:rPr>
        <w:t xml:space="preserve">Tomlinson, C. A., Brighton, C., Hartberg, H., Callahan, C. M., Moon, T. R., Brimijoin, K., . . . Reynolds, T. (2003). Differentiating instruction in response to student readiness, interest, and learning profile in academically diverse classrooms: A review of </w:t>
      </w:r>
      <w:r>
        <w:rPr>
          <w:rFonts w:asciiTheme="majorBidi" w:hAnsiTheme="majorBidi" w:cstheme="majorBidi"/>
          <w:sz w:val="24"/>
          <w:szCs w:val="24"/>
        </w:rPr>
        <w:t xml:space="preserve">the </w:t>
      </w:r>
      <w:r w:rsidRPr="00662AA9">
        <w:rPr>
          <w:rFonts w:asciiTheme="majorBidi" w:hAnsiTheme="majorBidi" w:cstheme="majorBidi"/>
          <w:sz w:val="24"/>
          <w:szCs w:val="24"/>
        </w:rPr>
        <w:t xml:space="preserve">literature. </w:t>
      </w:r>
      <w:r w:rsidRPr="00662AA9">
        <w:rPr>
          <w:rFonts w:asciiTheme="majorBidi" w:hAnsiTheme="majorBidi" w:cstheme="majorBidi"/>
          <w:i/>
          <w:sz w:val="24"/>
          <w:szCs w:val="24"/>
        </w:rPr>
        <w:t>Journal for the Education of the Gifted, 27</w:t>
      </w:r>
      <w:r w:rsidRPr="00662AA9">
        <w:rPr>
          <w:rFonts w:asciiTheme="majorBidi" w:hAnsiTheme="majorBidi" w:cstheme="majorBidi"/>
          <w:sz w:val="24"/>
          <w:szCs w:val="24"/>
        </w:rPr>
        <w:t xml:space="preserve">(2-3), 119-145. </w:t>
      </w:r>
    </w:p>
    <w:p w:rsidR="00AB2D00" w:rsidRPr="00662AA9" w:rsidRDefault="00AB2D00" w:rsidP="00AB2D00">
      <w:pPr>
        <w:pStyle w:val="EndNoteBibliography"/>
        <w:ind w:left="720" w:hanging="720"/>
        <w:jc w:val="left"/>
        <w:rPr>
          <w:rFonts w:asciiTheme="majorBidi" w:hAnsiTheme="majorBidi" w:cstheme="majorBidi"/>
          <w:sz w:val="24"/>
          <w:szCs w:val="24"/>
        </w:rPr>
      </w:pPr>
      <w:r w:rsidRPr="00662AA9">
        <w:rPr>
          <w:rFonts w:asciiTheme="majorBidi" w:hAnsiTheme="majorBidi" w:cstheme="majorBidi"/>
          <w:sz w:val="24"/>
          <w:szCs w:val="24"/>
        </w:rPr>
        <w:t xml:space="preserve">Tomlinson, C. (2014). </w:t>
      </w:r>
      <w:r w:rsidRPr="00662AA9">
        <w:rPr>
          <w:rFonts w:asciiTheme="majorBidi" w:hAnsiTheme="majorBidi" w:cstheme="majorBidi"/>
          <w:i/>
          <w:iCs/>
          <w:sz w:val="24"/>
          <w:szCs w:val="24"/>
        </w:rPr>
        <w:t xml:space="preserve">The differentiated classroom: Responding to the needs of all learners </w:t>
      </w:r>
      <w:r w:rsidRPr="00662AA9">
        <w:rPr>
          <w:rFonts w:asciiTheme="majorBidi" w:hAnsiTheme="majorBidi" w:cstheme="majorBidi"/>
          <w:sz w:val="24"/>
          <w:szCs w:val="24"/>
        </w:rPr>
        <w:t xml:space="preserve">(2nd ed.). ASCD. </w:t>
      </w:r>
    </w:p>
    <w:p w:rsidR="00AB2D00" w:rsidRPr="00662AA9" w:rsidRDefault="00AB2D00" w:rsidP="00AB2D00">
      <w:pPr>
        <w:pStyle w:val="EndNoteBibliography"/>
        <w:ind w:left="720" w:hanging="720"/>
        <w:jc w:val="left"/>
        <w:rPr>
          <w:rFonts w:asciiTheme="majorBidi" w:hAnsiTheme="majorBidi" w:cstheme="majorBidi"/>
          <w:sz w:val="24"/>
          <w:szCs w:val="24"/>
        </w:rPr>
      </w:pPr>
      <w:r w:rsidRPr="00662AA9">
        <w:rPr>
          <w:rFonts w:asciiTheme="majorBidi" w:hAnsiTheme="majorBidi" w:cstheme="majorBidi"/>
          <w:sz w:val="24"/>
          <w:szCs w:val="24"/>
        </w:rPr>
        <w:t xml:space="preserve">Tozcu, A. (2016). The effectiveness of diagnostic assessment on the development of Turkish language learners’ narrative skills as an oral proficiency interview (OPI) task. </w:t>
      </w:r>
      <w:r w:rsidRPr="008A207F">
        <w:rPr>
          <w:rFonts w:asciiTheme="majorBidi" w:hAnsiTheme="majorBidi" w:cstheme="majorBidi"/>
          <w:i/>
          <w:iCs/>
          <w:sz w:val="24"/>
          <w:szCs w:val="24"/>
        </w:rPr>
        <w:t>J</w:t>
      </w:r>
      <w:r w:rsidRPr="00662AA9">
        <w:rPr>
          <w:rFonts w:asciiTheme="majorBidi" w:hAnsiTheme="majorBidi" w:cstheme="majorBidi"/>
          <w:i/>
          <w:iCs/>
          <w:sz w:val="24"/>
          <w:szCs w:val="24"/>
        </w:rPr>
        <w:t>ournal of the National Council of Less Commonly Taught Languages, 19</w:t>
      </w:r>
      <w:r w:rsidRPr="00662AA9">
        <w:rPr>
          <w:rFonts w:asciiTheme="majorBidi" w:hAnsiTheme="majorBidi" w:cstheme="majorBidi"/>
          <w:sz w:val="24"/>
          <w:szCs w:val="24"/>
        </w:rPr>
        <w:t>(1), 61–96.</w:t>
      </w:r>
    </w:p>
    <w:p w:rsidR="00AB2D00" w:rsidRPr="00662AA9" w:rsidRDefault="00AB2D00" w:rsidP="00AB2D00">
      <w:pPr>
        <w:pStyle w:val="EndNoteBibliography"/>
        <w:ind w:left="720" w:hanging="720"/>
        <w:jc w:val="left"/>
        <w:rPr>
          <w:rFonts w:asciiTheme="majorBidi" w:hAnsiTheme="majorBidi" w:cstheme="majorBidi"/>
          <w:sz w:val="24"/>
          <w:szCs w:val="24"/>
        </w:rPr>
      </w:pPr>
      <w:r w:rsidRPr="00662AA9">
        <w:rPr>
          <w:rFonts w:asciiTheme="majorBidi" w:hAnsiTheme="majorBidi" w:cstheme="majorBidi"/>
          <w:sz w:val="24"/>
          <w:szCs w:val="24"/>
        </w:rPr>
        <w:t>van Geel, M.,  Keuning, T.,  Frèrejean, J.,  Jeroen, D.,  van Merriënboer, J.,  &amp; Visscher, J. A. (2019) Capturing the complexit</w:t>
      </w:r>
      <w:r>
        <w:rPr>
          <w:rFonts w:asciiTheme="majorBidi" w:hAnsiTheme="majorBidi" w:cstheme="majorBidi"/>
          <w:sz w:val="24"/>
          <w:szCs w:val="24"/>
        </w:rPr>
        <w:t>y of differentiated instruction.</w:t>
      </w:r>
      <w:r w:rsidRPr="00662AA9">
        <w:rPr>
          <w:rFonts w:asciiTheme="majorBidi" w:hAnsiTheme="majorBidi" w:cstheme="majorBidi"/>
          <w:sz w:val="24"/>
          <w:szCs w:val="24"/>
        </w:rPr>
        <w:t xml:space="preserve"> </w:t>
      </w:r>
      <w:r w:rsidRPr="00662AA9">
        <w:rPr>
          <w:rFonts w:asciiTheme="majorBidi" w:hAnsiTheme="majorBidi" w:cstheme="majorBidi"/>
          <w:i/>
          <w:iCs/>
          <w:sz w:val="24"/>
          <w:szCs w:val="24"/>
        </w:rPr>
        <w:t>School Effectiveness and School Improvement, 30</w:t>
      </w:r>
      <w:r>
        <w:rPr>
          <w:rFonts w:asciiTheme="majorBidi" w:hAnsiTheme="majorBidi" w:cstheme="majorBidi"/>
          <w:sz w:val="24"/>
          <w:szCs w:val="24"/>
        </w:rPr>
        <w:t xml:space="preserve">(1), 51-67. </w:t>
      </w:r>
      <w:r w:rsidRPr="001A0D18">
        <w:rPr>
          <w:rFonts w:asciiTheme="majorBidi" w:hAnsiTheme="majorBidi" w:cstheme="majorBidi"/>
          <w:sz w:val="24"/>
          <w:szCs w:val="24"/>
        </w:rPr>
        <w:t>https://doi.org/</w:t>
      </w:r>
      <w:r w:rsidRPr="00662AA9">
        <w:rPr>
          <w:rFonts w:asciiTheme="majorBidi" w:hAnsiTheme="majorBidi" w:cstheme="majorBidi"/>
          <w:sz w:val="24"/>
          <w:szCs w:val="24"/>
        </w:rPr>
        <w:t>10.1080/09243453.2018.1539013</w:t>
      </w:r>
    </w:p>
    <w:p w:rsidR="00AB2D00" w:rsidRPr="00662AA9" w:rsidRDefault="00AB2D00" w:rsidP="00AB2D00">
      <w:pPr>
        <w:pStyle w:val="EndNoteBibliography"/>
        <w:ind w:left="720" w:hanging="720"/>
        <w:jc w:val="left"/>
        <w:rPr>
          <w:rFonts w:asciiTheme="majorBidi" w:hAnsiTheme="majorBidi" w:cstheme="majorBidi"/>
          <w:sz w:val="24"/>
          <w:szCs w:val="24"/>
        </w:rPr>
      </w:pPr>
      <w:r w:rsidRPr="00662AA9">
        <w:rPr>
          <w:rFonts w:asciiTheme="majorBidi" w:hAnsiTheme="majorBidi" w:cstheme="majorBidi"/>
          <w:sz w:val="24"/>
          <w:szCs w:val="24"/>
        </w:rPr>
        <w:t>Wang, X. &amp; Munro, M. J. (2004). Computer-Based Training for Learning English Vowel Contrasts. </w:t>
      </w:r>
      <w:r w:rsidRPr="00662AA9">
        <w:rPr>
          <w:rFonts w:asciiTheme="majorBidi" w:hAnsiTheme="majorBidi" w:cstheme="majorBidi"/>
          <w:i/>
          <w:iCs/>
          <w:sz w:val="24"/>
          <w:szCs w:val="24"/>
        </w:rPr>
        <w:t>System: An International Journal of Educational Technology and Applied Linguistics, 32</w:t>
      </w:r>
      <w:r w:rsidRPr="00662AA9">
        <w:rPr>
          <w:rFonts w:asciiTheme="majorBidi" w:hAnsiTheme="majorBidi" w:cstheme="majorBidi"/>
          <w:sz w:val="24"/>
          <w:szCs w:val="24"/>
        </w:rPr>
        <w:t xml:space="preserve">(4), 539-552. </w:t>
      </w:r>
      <w:r w:rsidRPr="001A0D18">
        <w:rPr>
          <w:rFonts w:asciiTheme="majorBidi" w:hAnsiTheme="majorBidi" w:cstheme="majorBidi"/>
          <w:sz w:val="24"/>
          <w:szCs w:val="24"/>
        </w:rPr>
        <w:t>https://doi.org/</w:t>
      </w:r>
      <w:r w:rsidRPr="00662AA9">
        <w:rPr>
          <w:rFonts w:asciiTheme="majorBidi" w:hAnsiTheme="majorBidi" w:cstheme="majorBidi"/>
          <w:sz w:val="24"/>
          <w:szCs w:val="24"/>
        </w:rPr>
        <w:t>10.1016/j.system.2004.09.011</w:t>
      </w:r>
    </w:p>
    <w:p w:rsidR="00AB2D00" w:rsidRPr="00662AA9" w:rsidRDefault="00AB2D00" w:rsidP="00AB2D00">
      <w:pPr>
        <w:pStyle w:val="EndNoteBibliography"/>
        <w:ind w:left="720" w:hanging="720"/>
        <w:jc w:val="left"/>
        <w:rPr>
          <w:rFonts w:asciiTheme="majorBidi" w:hAnsiTheme="majorBidi" w:cstheme="majorBidi"/>
          <w:sz w:val="24"/>
          <w:szCs w:val="24"/>
        </w:rPr>
      </w:pPr>
      <w:r w:rsidRPr="00662AA9">
        <w:rPr>
          <w:rFonts w:asciiTheme="majorBidi" w:hAnsiTheme="majorBidi" w:cstheme="majorBidi"/>
          <w:sz w:val="24"/>
          <w:szCs w:val="24"/>
        </w:rPr>
        <w:t xml:space="preserve">Yan-hong, M. (2013). </w:t>
      </w:r>
      <w:r w:rsidRPr="00662AA9">
        <w:rPr>
          <w:rFonts w:asciiTheme="majorBidi" w:hAnsiTheme="majorBidi" w:cstheme="majorBidi"/>
          <w:i/>
          <w:iCs/>
          <w:sz w:val="24"/>
          <w:szCs w:val="24"/>
        </w:rPr>
        <w:t>The research of cooperative learning effects on college students’ learning anxiety.</w:t>
      </w:r>
      <w:r w:rsidRPr="00662AA9">
        <w:rPr>
          <w:rFonts w:asciiTheme="majorBidi" w:hAnsiTheme="majorBidi" w:cstheme="majorBidi"/>
          <w:sz w:val="24"/>
          <w:szCs w:val="24"/>
        </w:rPr>
        <w:t xml:space="preserve"> David Publishing</w:t>
      </w:r>
    </w:p>
    <w:p w:rsidR="00AB2D00" w:rsidRDefault="00AB2D00" w:rsidP="00AB2D00">
      <w:pPr>
        <w:pStyle w:val="EndNoteBibliography"/>
        <w:ind w:left="720" w:hanging="720"/>
        <w:jc w:val="left"/>
        <w:rPr>
          <w:rFonts w:asciiTheme="majorBidi" w:hAnsiTheme="majorBidi" w:cstheme="majorBidi"/>
          <w:sz w:val="24"/>
          <w:szCs w:val="24"/>
        </w:rPr>
      </w:pPr>
      <w:r w:rsidRPr="00662AA9">
        <w:rPr>
          <w:rFonts w:asciiTheme="majorBidi" w:hAnsiTheme="majorBidi" w:cstheme="majorBidi"/>
          <w:sz w:val="24"/>
          <w:szCs w:val="24"/>
          <w:lang w:val="ru-RU"/>
        </w:rPr>
        <w:t>Vygotsky, L.</w:t>
      </w:r>
      <w:r w:rsidRPr="00662AA9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662AA9">
        <w:rPr>
          <w:rFonts w:asciiTheme="majorBidi" w:hAnsiTheme="majorBidi" w:cstheme="majorBidi"/>
          <w:sz w:val="24"/>
          <w:szCs w:val="24"/>
          <w:lang w:val="ru-RU"/>
        </w:rPr>
        <w:t>S. (1987). Thinking and speech. In R. W. Rieber, &amp; A. S. Carton (</w:t>
      </w:r>
      <w:r w:rsidRPr="00662AA9">
        <w:rPr>
          <w:rFonts w:asciiTheme="majorBidi" w:hAnsiTheme="majorBidi" w:cstheme="majorBidi"/>
          <w:sz w:val="24"/>
          <w:szCs w:val="24"/>
        </w:rPr>
        <w:t>e</w:t>
      </w:r>
      <w:r w:rsidRPr="00662AA9">
        <w:rPr>
          <w:rFonts w:asciiTheme="majorBidi" w:hAnsiTheme="majorBidi" w:cstheme="majorBidi"/>
          <w:sz w:val="24"/>
          <w:szCs w:val="24"/>
          <w:lang w:val="ru-RU"/>
        </w:rPr>
        <w:t xml:space="preserve">ds.), </w:t>
      </w:r>
      <w:r w:rsidRPr="00662AA9">
        <w:rPr>
          <w:rFonts w:asciiTheme="majorBidi" w:hAnsiTheme="majorBidi" w:cstheme="majorBidi"/>
          <w:i/>
          <w:iCs/>
          <w:sz w:val="24"/>
          <w:szCs w:val="24"/>
          <w:lang w:val="ru-RU"/>
        </w:rPr>
        <w:t>The collected works of</w:t>
      </w:r>
      <w:r w:rsidRPr="00662AA9">
        <w:rPr>
          <w:rFonts w:asciiTheme="majorBidi" w:hAnsiTheme="majorBidi" w:cstheme="majorBidi"/>
          <w:sz w:val="24"/>
          <w:szCs w:val="24"/>
          <w:lang w:val="ru-RU"/>
        </w:rPr>
        <w:t xml:space="preserve"> </w:t>
      </w:r>
      <w:r w:rsidRPr="00662AA9">
        <w:rPr>
          <w:rFonts w:asciiTheme="majorBidi" w:hAnsiTheme="majorBidi" w:cstheme="majorBidi"/>
          <w:i/>
          <w:iCs/>
          <w:sz w:val="24"/>
          <w:szCs w:val="24"/>
          <w:lang w:val="ru-RU"/>
        </w:rPr>
        <w:t xml:space="preserve">L. S. Vygotsky: Vol. 1: Problems of general psychology </w:t>
      </w:r>
      <w:r>
        <w:rPr>
          <w:rFonts w:asciiTheme="majorBidi" w:hAnsiTheme="majorBidi" w:cstheme="majorBidi"/>
          <w:sz w:val="24"/>
          <w:szCs w:val="24"/>
          <w:lang w:val="ru-RU"/>
        </w:rPr>
        <w:t>(pp. 39-285). Plenum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AB2D00" w:rsidRDefault="00AB2D00" w:rsidP="00AB2D00">
      <w:pPr>
        <w:pStyle w:val="EndNoteBibliography"/>
        <w:ind w:left="720" w:hanging="720"/>
        <w:jc w:val="left"/>
        <w:rPr>
          <w:rFonts w:asciiTheme="majorBidi" w:hAnsiTheme="majorBidi" w:cstheme="majorBidi"/>
          <w:sz w:val="24"/>
          <w:szCs w:val="24"/>
        </w:rPr>
      </w:pPr>
    </w:p>
    <w:p w:rsidR="00AB2D00" w:rsidRDefault="00AB2D00" w:rsidP="00AB2D00">
      <w:pPr>
        <w:pStyle w:val="EndNoteBibliography"/>
        <w:ind w:left="720" w:hanging="720"/>
        <w:jc w:val="left"/>
        <w:rPr>
          <w:rFonts w:asciiTheme="majorBidi" w:hAnsiTheme="majorBidi" w:cstheme="majorBidi"/>
          <w:sz w:val="24"/>
          <w:szCs w:val="24"/>
        </w:rPr>
      </w:pPr>
    </w:p>
    <w:p w:rsidR="00AB2D00" w:rsidRDefault="00AB2D00" w:rsidP="00AB2D00">
      <w:pPr>
        <w:pStyle w:val="EndNoteBibliography"/>
        <w:ind w:left="720" w:hanging="720"/>
        <w:jc w:val="left"/>
        <w:rPr>
          <w:rFonts w:asciiTheme="majorBidi" w:hAnsiTheme="majorBidi" w:cstheme="majorBidi"/>
          <w:sz w:val="24"/>
          <w:szCs w:val="24"/>
        </w:rPr>
      </w:pPr>
    </w:p>
    <w:p w:rsidR="00AB2D00" w:rsidRDefault="00AB2D00" w:rsidP="00AB2D00">
      <w:pPr>
        <w:pStyle w:val="EndNoteBibliography"/>
        <w:ind w:left="720" w:hanging="720"/>
        <w:jc w:val="left"/>
        <w:rPr>
          <w:rFonts w:asciiTheme="majorBidi" w:hAnsiTheme="majorBidi" w:cstheme="majorBidi"/>
          <w:sz w:val="24"/>
          <w:szCs w:val="24"/>
        </w:rPr>
      </w:pPr>
    </w:p>
    <w:p w:rsidR="00AB2D00" w:rsidRDefault="00AB2D00" w:rsidP="00AB2D00">
      <w:pPr>
        <w:pStyle w:val="EndNoteBibliography"/>
        <w:ind w:left="720" w:hanging="720"/>
        <w:jc w:val="left"/>
        <w:rPr>
          <w:rFonts w:asciiTheme="majorBidi" w:hAnsiTheme="majorBidi" w:cstheme="majorBidi"/>
          <w:sz w:val="24"/>
          <w:szCs w:val="24"/>
        </w:rPr>
      </w:pPr>
    </w:p>
    <w:p w:rsidR="00AB2D00" w:rsidRDefault="00AB2D00" w:rsidP="00AB2D00">
      <w:pPr>
        <w:pStyle w:val="EndNoteBibliography"/>
        <w:ind w:left="720" w:hanging="720"/>
        <w:jc w:val="left"/>
        <w:rPr>
          <w:rFonts w:asciiTheme="majorBidi" w:hAnsiTheme="majorBidi" w:cstheme="majorBidi"/>
          <w:sz w:val="24"/>
          <w:szCs w:val="24"/>
        </w:rPr>
      </w:pPr>
    </w:p>
    <w:p w:rsidR="00AB2D00" w:rsidRDefault="00AB2D00" w:rsidP="00AB2D00">
      <w:pPr>
        <w:pStyle w:val="EndNoteBibliography"/>
        <w:ind w:left="720" w:hanging="720"/>
        <w:jc w:val="left"/>
        <w:rPr>
          <w:rFonts w:asciiTheme="majorBidi" w:hAnsiTheme="majorBidi" w:cstheme="majorBidi"/>
          <w:sz w:val="24"/>
          <w:szCs w:val="24"/>
        </w:rPr>
      </w:pPr>
    </w:p>
    <w:p w:rsidR="00AB2D00" w:rsidRDefault="00AB2D00" w:rsidP="00AB2D00">
      <w:pPr>
        <w:pStyle w:val="EndNoteBibliography"/>
        <w:ind w:left="720" w:hanging="720"/>
        <w:jc w:val="left"/>
        <w:rPr>
          <w:rFonts w:asciiTheme="majorBidi" w:hAnsiTheme="majorBidi" w:cstheme="majorBidi"/>
          <w:sz w:val="24"/>
          <w:szCs w:val="24"/>
        </w:rPr>
      </w:pPr>
    </w:p>
    <w:p w:rsidR="00AB2D00" w:rsidRDefault="00AB2D00" w:rsidP="00AB2D00">
      <w:pPr>
        <w:pStyle w:val="EndNoteBibliography"/>
        <w:ind w:left="720" w:hanging="720"/>
        <w:jc w:val="left"/>
        <w:rPr>
          <w:rFonts w:asciiTheme="majorBidi" w:hAnsiTheme="majorBidi" w:cstheme="majorBidi"/>
          <w:sz w:val="24"/>
          <w:szCs w:val="24"/>
        </w:rPr>
      </w:pPr>
    </w:p>
    <w:p w:rsidR="00AB2D00" w:rsidRDefault="00AB2D00" w:rsidP="00AB2D00">
      <w:pPr>
        <w:pStyle w:val="EndNoteBibliography"/>
        <w:ind w:left="720" w:hanging="720"/>
        <w:jc w:val="left"/>
        <w:rPr>
          <w:rFonts w:asciiTheme="majorBidi" w:hAnsiTheme="majorBidi" w:cstheme="majorBidi"/>
          <w:sz w:val="24"/>
          <w:szCs w:val="24"/>
        </w:rPr>
      </w:pPr>
    </w:p>
    <w:p w:rsidR="00AB2D00" w:rsidRDefault="00AB2D00" w:rsidP="00AB2D00">
      <w:pPr>
        <w:pStyle w:val="EndNoteBibliography"/>
        <w:ind w:left="720" w:hanging="720"/>
        <w:jc w:val="left"/>
        <w:rPr>
          <w:rFonts w:asciiTheme="majorBidi" w:hAnsiTheme="majorBidi" w:cstheme="majorBidi"/>
          <w:sz w:val="24"/>
          <w:szCs w:val="24"/>
        </w:rPr>
      </w:pPr>
    </w:p>
    <w:p w:rsidR="00AB2D00" w:rsidRDefault="00AB2D00" w:rsidP="00AB2D00">
      <w:pPr>
        <w:pStyle w:val="EndNoteBibliography"/>
        <w:ind w:left="720" w:hanging="720"/>
        <w:jc w:val="left"/>
        <w:rPr>
          <w:rFonts w:asciiTheme="majorBidi" w:hAnsiTheme="majorBidi" w:cstheme="majorBidi"/>
          <w:sz w:val="24"/>
          <w:szCs w:val="24"/>
        </w:rPr>
      </w:pPr>
    </w:p>
    <w:p w:rsidR="00AB2D00" w:rsidRDefault="00AB2D00" w:rsidP="00AB2D00">
      <w:pPr>
        <w:pStyle w:val="EndNoteBibliography"/>
        <w:ind w:left="720" w:hanging="720"/>
        <w:jc w:val="left"/>
        <w:rPr>
          <w:rFonts w:asciiTheme="majorBidi" w:hAnsiTheme="majorBidi" w:cstheme="majorBidi"/>
          <w:sz w:val="24"/>
          <w:szCs w:val="24"/>
        </w:rPr>
      </w:pPr>
    </w:p>
    <w:p w:rsidR="00AB2D00" w:rsidRDefault="00AB2D00" w:rsidP="00AB2D00">
      <w:pPr>
        <w:pStyle w:val="EndNoteBibliography"/>
        <w:ind w:left="720" w:hanging="720"/>
        <w:jc w:val="left"/>
        <w:rPr>
          <w:rFonts w:asciiTheme="majorBidi" w:hAnsiTheme="majorBidi" w:cstheme="majorBidi"/>
          <w:sz w:val="24"/>
          <w:szCs w:val="24"/>
        </w:rPr>
      </w:pPr>
    </w:p>
    <w:p w:rsidR="00AB2D00" w:rsidRDefault="00AB2D00" w:rsidP="00AB2D00">
      <w:pPr>
        <w:pStyle w:val="EndNoteBibliography"/>
        <w:ind w:left="720" w:hanging="720"/>
        <w:jc w:val="left"/>
        <w:rPr>
          <w:rFonts w:asciiTheme="majorBidi" w:hAnsiTheme="majorBidi" w:cstheme="majorBidi"/>
          <w:sz w:val="24"/>
          <w:szCs w:val="24"/>
        </w:rPr>
      </w:pPr>
    </w:p>
    <w:p w:rsidR="00AB2D00" w:rsidRDefault="00AB2D00" w:rsidP="00AB2D00">
      <w:pPr>
        <w:pStyle w:val="EndNoteBibliography"/>
        <w:ind w:left="720" w:hanging="720"/>
        <w:jc w:val="left"/>
        <w:rPr>
          <w:rFonts w:asciiTheme="majorBidi" w:hAnsiTheme="majorBidi" w:cstheme="majorBidi"/>
          <w:sz w:val="24"/>
          <w:szCs w:val="24"/>
        </w:rPr>
      </w:pPr>
    </w:p>
    <w:p w:rsidR="00AB2D00" w:rsidRDefault="00AB2D00" w:rsidP="00AB2D00">
      <w:pPr>
        <w:pStyle w:val="EndNoteBibliography"/>
        <w:ind w:left="720" w:hanging="720"/>
        <w:jc w:val="left"/>
        <w:rPr>
          <w:rFonts w:asciiTheme="majorBidi" w:hAnsiTheme="majorBidi" w:cstheme="majorBidi"/>
          <w:sz w:val="24"/>
          <w:szCs w:val="24"/>
        </w:rPr>
      </w:pPr>
    </w:p>
    <w:p w:rsidR="00AB2D00" w:rsidRDefault="00AB2D00" w:rsidP="00AB2D00">
      <w:pPr>
        <w:pStyle w:val="EndNoteBibliography"/>
        <w:ind w:left="720" w:hanging="720"/>
        <w:jc w:val="left"/>
        <w:rPr>
          <w:rFonts w:asciiTheme="majorBidi" w:hAnsiTheme="majorBidi" w:cstheme="majorBidi"/>
          <w:sz w:val="24"/>
          <w:szCs w:val="24"/>
        </w:rPr>
      </w:pPr>
    </w:p>
    <w:p w:rsidR="00AB2D00" w:rsidRDefault="00AB2D00" w:rsidP="00AB2D00">
      <w:pPr>
        <w:pStyle w:val="EndNoteBibliography"/>
        <w:ind w:left="720" w:hanging="720"/>
        <w:jc w:val="left"/>
        <w:rPr>
          <w:rFonts w:asciiTheme="majorBidi" w:hAnsiTheme="majorBidi" w:cstheme="majorBidi"/>
          <w:sz w:val="24"/>
          <w:szCs w:val="24"/>
        </w:rPr>
      </w:pPr>
    </w:p>
    <w:p w:rsidR="00AB2D00" w:rsidRDefault="00AB2D00" w:rsidP="00AB2D00">
      <w:pPr>
        <w:pStyle w:val="EndNoteBibliography"/>
        <w:ind w:left="720" w:hanging="720"/>
        <w:jc w:val="left"/>
        <w:rPr>
          <w:rFonts w:asciiTheme="majorBidi" w:hAnsiTheme="majorBidi" w:cstheme="majorBidi"/>
          <w:sz w:val="24"/>
          <w:szCs w:val="24"/>
        </w:rPr>
      </w:pPr>
    </w:p>
    <w:p w:rsidR="00AB2D00" w:rsidRDefault="00AB2D00" w:rsidP="00AB2D00">
      <w:pPr>
        <w:pStyle w:val="EndNoteBibliography"/>
        <w:ind w:left="720" w:hanging="720"/>
        <w:jc w:val="left"/>
        <w:rPr>
          <w:rFonts w:asciiTheme="majorBidi" w:hAnsiTheme="majorBidi" w:cstheme="majorBidi"/>
          <w:sz w:val="24"/>
          <w:szCs w:val="24"/>
        </w:rPr>
      </w:pPr>
    </w:p>
    <w:p w:rsidR="00AB2D00" w:rsidRDefault="00AB2D00" w:rsidP="00AB2D00">
      <w:pPr>
        <w:pStyle w:val="EndNoteBibliography"/>
        <w:ind w:left="720" w:hanging="720"/>
        <w:jc w:val="left"/>
        <w:rPr>
          <w:rFonts w:asciiTheme="majorBidi" w:hAnsiTheme="majorBidi" w:cstheme="majorBidi"/>
          <w:sz w:val="24"/>
          <w:szCs w:val="24"/>
        </w:rPr>
      </w:pPr>
    </w:p>
    <w:p w:rsidR="00AB2D00" w:rsidRPr="006C2018" w:rsidRDefault="00AB2D00" w:rsidP="00AB2D00">
      <w:pPr>
        <w:pStyle w:val="EndNoteBibliography"/>
        <w:ind w:left="720" w:hanging="720"/>
        <w:jc w:val="left"/>
        <w:rPr>
          <w:rFonts w:asciiTheme="majorBidi" w:hAnsiTheme="majorBidi" w:cstheme="majorBidi"/>
          <w:sz w:val="24"/>
          <w:szCs w:val="24"/>
        </w:rPr>
      </w:pPr>
    </w:p>
    <w:p w:rsidR="00AB2D00" w:rsidRDefault="00AB2D00" w:rsidP="00AB2D00">
      <w:pPr>
        <w:pStyle w:val="EndNoteBibliography"/>
        <w:ind w:firstLine="0"/>
        <w:jc w:val="left"/>
        <w:rPr>
          <w:rFonts w:asciiTheme="majorBidi" w:hAnsiTheme="majorBidi" w:cstheme="majorBidi"/>
        </w:rPr>
      </w:pPr>
    </w:p>
    <w:p w:rsidR="00AB2D00" w:rsidRPr="00662AA9" w:rsidRDefault="00AB2D00" w:rsidP="00AB2D00">
      <w:pPr>
        <w:pStyle w:val="EndNoteBibliography"/>
        <w:ind w:left="720" w:hanging="720"/>
        <w:rPr>
          <w:rFonts w:asciiTheme="majorBidi" w:hAnsiTheme="majorBidi" w:cstheme="majorBidi"/>
          <w:b/>
          <w:bCs/>
        </w:rPr>
      </w:pPr>
      <w:r w:rsidRPr="00662AA9">
        <w:rPr>
          <w:rFonts w:asciiTheme="majorBidi" w:hAnsiTheme="majorBidi" w:cstheme="majorBidi"/>
          <w:b/>
          <w:bCs/>
        </w:rPr>
        <w:t>Appendix A</w:t>
      </w:r>
    </w:p>
    <w:p w:rsidR="00AB2D00" w:rsidRPr="00662AA9" w:rsidRDefault="00AB2D00" w:rsidP="00AB2D00">
      <w:pPr>
        <w:pStyle w:val="EndNoteBibliography"/>
        <w:ind w:left="720" w:hanging="720"/>
        <w:rPr>
          <w:rFonts w:asciiTheme="majorBidi" w:hAnsiTheme="majorBidi" w:cstheme="majorBidi"/>
          <w:b/>
          <w:bCs/>
        </w:rPr>
      </w:pPr>
      <w:r w:rsidRPr="00662AA9">
        <w:rPr>
          <w:rFonts w:asciiTheme="majorBidi" w:hAnsiTheme="majorBidi" w:cstheme="majorBidi"/>
          <w:b/>
          <w:bCs/>
        </w:rPr>
        <w:t>Oral Tiered Tasks # 4 (Sample)</w:t>
      </w:r>
    </w:p>
    <w:p w:rsidR="00AB2D00" w:rsidRPr="00662AA9" w:rsidRDefault="00AB2D00" w:rsidP="00AB2D00">
      <w:pPr>
        <w:pStyle w:val="EndNoteBibliography"/>
        <w:ind w:left="720" w:hanging="720"/>
        <w:jc w:val="left"/>
        <w:rPr>
          <w:rFonts w:asciiTheme="majorBidi" w:hAnsiTheme="majorBidi" w:cstheme="majorBidi"/>
          <w:b/>
          <w:bCs/>
        </w:rPr>
      </w:pPr>
    </w:p>
    <w:p w:rsidR="00AB2D00" w:rsidRDefault="00AB2D00" w:rsidP="00AB2D00">
      <w:pPr>
        <w:ind w:left="360" w:hanging="180"/>
        <w:jc w:val="center"/>
        <w:rPr>
          <w:rFonts w:asciiTheme="majorBidi" w:hAnsiTheme="majorBidi" w:cstheme="majorBidi"/>
          <w:sz w:val="24"/>
          <w:szCs w:val="24"/>
        </w:rPr>
      </w:pPr>
      <w:r w:rsidRPr="00662AA9">
        <w:rPr>
          <w:rFonts w:asciiTheme="majorBidi" w:hAnsiTheme="majorBidi" w:cstheme="majorBidi"/>
          <w:sz w:val="24"/>
          <w:szCs w:val="24"/>
        </w:rPr>
        <w:lastRenderedPageBreak/>
        <w:fldChar w:fldCharType="end"/>
      </w:r>
      <w:r>
        <w:rPr>
          <w:noProof/>
        </w:rPr>
        <w:drawing>
          <wp:inline distT="0" distB="0" distL="0" distR="0" wp14:anchorId="2737A89F" wp14:editId="1D4CA558">
            <wp:extent cx="5857240" cy="7028119"/>
            <wp:effectExtent l="0" t="0" r="0" b="190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28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1941" cy="7069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53D" w:rsidRDefault="00B7553D">
      <w:bookmarkStart w:id="0" w:name="_GoBack"/>
      <w:bookmarkEnd w:id="0"/>
    </w:p>
    <w:sectPr w:rsidR="00B7553D" w:rsidSect="00026AF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rkeley-Book">
    <w:altName w:val="Times New Roman"/>
    <w:panose1 w:val="00000000000000000000"/>
    <w:charset w:val="00"/>
    <w:family w:val="roman"/>
    <w:notTrueType/>
    <w:pitch w:val="default"/>
  </w:font>
  <w:font w:name="Berkeley-BookItalic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toneSansStd-Medium">
    <w:altName w:val="Times New Roman"/>
    <w:panose1 w:val="00000000000000000000"/>
    <w:charset w:val="00"/>
    <w:family w:val="roman"/>
    <w:notTrueType/>
    <w:pitch w:val="default"/>
  </w:font>
  <w:font w:name="StoneSansStd-MediumItali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7AC5" w:rsidRDefault="00AB2D0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7AC5" w:rsidRDefault="00AB2D0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7AC5" w:rsidRDefault="00AB2D00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7AC5" w:rsidRDefault="00AB2D0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92824955"/>
      <w:docPartObj>
        <w:docPartGallery w:val="Page Numbers (Top of Page)"/>
        <w:docPartUnique/>
      </w:docPartObj>
    </w:sdtPr>
    <w:sdtEndPr>
      <w:rPr>
        <w:noProof/>
      </w:rPr>
    </w:sdtEndPr>
    <w:sdtContent>
      <w:p w:rsidR="007F7AC5" w:rsidRDefault="00AB2D00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7F7AC5" w:rsidRDefault="00AB2D0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7AC5" w:rsidRDefault="00AB2D0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D00"/>
    <w:rsid w:val="00002504"/>
    <w:rsid w:val="00003744"/>
    <w:rsid w:val="0000531E"/>
    <w:rsid w:val="00021CCD"/>
    <w:rsid w:val="00045303"/>
    <w:rsid w:val="000509DB"/>
    <w:rsid w:val="00057DF9"/>
    <w:rsid w:val="00064B8C"/>
    <w:rsid w:val="000B678B"/>
    <w:rsid w:val="000D632F"/>
    <w:rsid w:val="000E132D"/>
    <w:rsid w:val="000E310E"/>
    <w:rsid w:val="000F3E0D"/>
    <w:rsid w:val="0011086B"/>
    <w:rsid w:val="001174C5"/>
    <w:rsid w:val="00121F3D"/>
    <w:rsid w:val="00140C23"/>
    <w:rsid w:val="0016553B"/>
    <w:rsid w:val="001A162D"/>
    <w:rsid w:val="001A4BEE"/>
    <w:rsid w:val="001A5765"/>
    <w:rsid w:val="001A6B16"/>
    <w:rsid w:val="001F3943"/>
    <w:rsid w:val="001F67F0"/>
    <w:rsid w:val="002148D5"/>
    <w:rsid w:val="0021772E"/>
    <w:rsid w:val="00222ADB"/>
    <w:rsid w:val="00223CC7"/>
    <w:rsid w:val="00230072"/>
    <w:rsid w:val="00237FD4"/>
    <w:rsid w:val="00240E28"/>
    <w:rsid w:val="00256BF0"/>
    <w:rsid w:val="00277617"/>
    <w:rsid w:val="00285CBB"/>
    <w:rsid w:val="002952D1"/>
    <w:rsid w:val="002A74B2"/>
    <w:rsid w:val="002E2045"/>
    <w:rsid w:val="003047AC"/>
    <w:rsid w:val="00321F64"/>
    <w:rsid w:val="003346D9"/>
    <w:rsid w:val="003506CC"/>
    <w:rsid w:val="00374503"/>
    <w:rsid w:val="003A1135"/>
    <w:rsid w:val="003B5CAE"/>
    <w:rsid w:val="003C2ECB"/>
    <w:rsid w:val="003C5A40"/>
    <w:rsid w:val="003F0946"/>
    <w:rsid w:val="003F6C82"/>
    <w:rsid w:val="003F7D52"/>
    <w:rsid w:val="00410C58"/>
    <w:rsid w:val="00437194"/>
    <w:rsid w:val="004404FC"/>
    <w:rsid w:val="0044761C"/>
    <w:rsid w:val="00455069"/>
    <w:rsid w:val="00464051"/>
    <w:rsid w:val="00487C86"/>
    <w:rsid w:val="00493117"/>
    <w:rsid w:val="004C11E8"/>
    <w:rsid w:val="004C2BE0"/>
    <w:rsid w:val="004D1B37"/>
    <w:rsid w:val="004D5773"/>
    <w:rsid w:val="004E6BB0"/>
    <w:rsid w:val="004F4D22"/>
    <w:rsid w:val="00522E69"/>
    <w:rsid w:val="00536688"/>
    <w:rsid w:val="005375CD"/>
    <w:rsid w:val="00540D79"/>
    <w:rsid w:val="005473A5"/>
    <w:rsid w:val="00553761"/>
    <w:rsid w:val="0056439E"/>
    <w:rsid w:val="005654D1"/>
    <w:rsid w:val="005703E9"/>
    <w:rsid w:val="00576163"/>
    <w:rsid w:val="00594E35"/>
    <w:rsid w:val="00596A9B"/>
    <w:rsid w:val="005B2911"/>
    <w:rsid w:val="005C6F37"/>
    <w:rsid w:val="005D2630"/>
    <w:rsid w:val="005D706E"/>
    <w:rsid w:val="005D7F68"/>
    <w:rsid w:val="005E375F"/>
    <w:rsid w:val="00607984"/>
    <w:rsid w:val="00607BBD"/>
    <w:rsid w:val="0061061D"/>
    <w:rsid w:val="00626F11"/>
    <w:rsid w:val="006301A1"/>
    <w:rsid w:val="00647275"/>
    <w:rsid w:val="00662AEE"/>
    <w:rsid w:val="00685727"/>
    <w:rsid w:val="006929E5"/>
    <w:rsid w:val="006B2F43"/>
    <w:rsid w:val="006B34FA"/>
    <w:rsid w:val="006C59AB"/>
    <w:rsid w:val="006D0603"/>
    <w:rsid w:val="006E68A9"/>
    <w:rsid w:val="00726B69"/>
    <w:rsid w:val="0076180B"/>
    <w:rsid w:val="007D3D9E"/>
    <w:rsid w:val="007E3E57"/>
    <w:rsid w:val="007F1895"/>
    <w:rsid w:val="007F37AE"/>
    <w:rsid w:val="0081548A"/>
    <w:rsid w:val="00872E90"/>
    <w:rsid w:val="008803CF"/>
    <w:rsid w:val="00885B38"/>
    <w:rsid w:val="00890FD2"/>
    <w:rsid w:val="008A077E"/>
    <w:rsid w:val="008A1E21"/>
    <w:rsid w:val="008C2552"/>
    <w:rsid w:val="008E09F5"/>
    <w:rsid w:val="008E158B"/>
    <w:rsid w:val="008E5466"/>
    <w:rsid w:val="008F2F90"/>
    <w:rsid w:val="009234C5"/>
    <w:rsid w:val="00953EB8"/>
    <w:rsid w:val="00960635"/>
    <w:rsid w:val="00987CA3"/>
    <w:rsid w:val="00993951"/>
    <w:rsid w:val="00996D52"/>
    <w:rsid w:val="009970E6"/>
    <w:rsid w:val="009E58BD"/>
    <w:rsid w:val="009F38D4"/>
    <w:rsid w:val="00A0517B"/>
    <w:rsid w:val="00A0744A"/>
    <w:rsid w:val="00A1169B"/>
    <w:rsid w:val="00A154E2"/>
    <w:rsid w:val="00A16504"/>
    <w:rsid w:val="00A21E7E"/>
    <w:rsid w:val="00A5481A"/>
    <w:rsid w:val="00A610AA"/>
    <w:rsid w:val="00A67994"/>
    <w:rsid w:val="00A82FD7"/>
    <w:rsid w:val="00A92088"/>
    <w:rsid w:val="00A9493E"/>
    <w:rsid w:val="00AB2D00"/>
    <w:rsid w:val="00AB793D"/>
    <w:rsid w:val="00AC199B"/>
    <w:rsid w:val="00AC5385"/>
    <w:rsid w:val="00AF7D6D"/>
    <w:rsid w:val="00B240DF"/>
    <w:rsid w:val="00B31A26"/>
    <w:rsid w:val="00B5057E"/>
    <w:rsid w:val="00B56E1C"/>
    <w:rsid w:val="00B63992"/>
    <w:rsid w:val="00B677EA"/>
    <w:rsid w:val="00B7553D"/>
    <w:rsid w:val="00B91FC8"/>
    <w:rsid w:val="00BE463B"/>
    <w:rsid w:val="00C15461"/>
    <w:rsid w:val="00C162AF"/>
    <w:rsid w:val="00C55159"/>
    <w:rsid w:val="00C7297D"/>
    <w:rsid w:val="00C72CFF"/>
    <w:rsid w:val="00C75854"/>
    <w:rsid w:val="00C90148"/>
    <w:rsid w:val="00C910CB"/>
    <w:rsid w:val="00CB79F3"/>
    <w:rsid w:val="00CC1D5E"/>
    <w:rsid w:val="00CC3268"/>
    <w:rsid w:val="00CD0525"/>
    <w:rsid w:val="00CD7FD3"/>
    <w:rsid w:val="00CE53A2"/>
    <w:rsid w:val="00CF0E05"/>
    <w:rsid w:val="00CF6F37"/>
    <w:rsid w:val="00D01C7D"/>
    <w:rsid w:val="00D032F9"/>
    <w:rsid w:val="00D040CF"/>
    <w:rsid w:val="00D04752"/>
    <w:rsid w:val="00D36B56"/>
    <w:rsid w:val="00D54754"/>
    <w:rsid w:val="00D61D05"/>
    <w:rsid w:val="00D94CFE"/>
    <w:rsid w:val="00DA72FE"/>
    <w:rsid w:val="00DB495F"/>
    <w:rsid w:val="00DD487E"/>
    <w:rsid w:val="00DD5997"/>
    <w:rsid w:val="00DD6EEE"/>
    <w:rsid w:val="00DE7016"/>
    <w:rsid w:val="00DF2A4D"/>
    <w:rsid w:val="00E00A0E"/>
    <w:rsid w:val="00E0342C"/>
    <w:rsid w:val="00E25E9A"/>
    <w:rsid w:val="00E42E85"/>
    <w:rsid w:val="00E46C8A"/>
    <w:rsid w:val="00E76467"/>
    <w:rsid w:val="00E9390A"/>
    <w:rsid w:val="00EB04C3"/>
    <w:rsid w:val="00EB3F8C"/>
    <w:rsid w:val="00EC2BD6"/>
    <w:rsid w:val="00ED0FC9"/>
    <w:rsid w:val="00ED3CA3"/>
    <w:rsid w:val="00EE1CCA"/>
    <w:rsid w:val="00EE2399"/>
    <w:rsid w:val="00F07CDA"/>
    <w:rsid w:val="00F44884"/>
    <w:rsid w:val="00F4764E"/>
    <w:rsid w:val="00F63AFB"/>
    <w:rsid w:val="00F65037"/>
    <w:rsid w:val="00F840D3"/>
    <w:rsid w:val="00FA6B75"/>
    <w:rsid w:val="00FC5F28"/>
    <w:rsid w:val="00FD0D7F"/>
    <w:rsid w:val="00FD2AE0"/>
    <w:rsid w:val="00FD4418"/>
    <w:rsid w:val="00FF18A3"/>
    <w:rsid w:val="00FF3541"/>
    <w:rsid w:val="00FF44A1"/>
    <w:rsid w:val="00FF4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rsid w:val="00AB2D00"/>
  </w:style>
  <w:style w:type="paragraph" w:styleId="Header">
    <w:name w:val="header"/>
    <w:basedOn w:val="Normal"/>
    <w:link w:val="HeaderChar"/>
    <w:uiPriority w:val="99"/>
    <w:unhideWhenUsed/>
    <w:rsid w:val="00AB2D00"/>
    <w:pPr>
      <w:tabs>
        <w:tab w:val="center" w:pos="4680"/>
        <w:tab w:val="right" w:pos="9360"/>
      </w:tabs>
      <w:spacing w:after="0" w:line="240" w:lineRule="auto"/>
      <w:ind w:firstLine="360"/>
    </w:pPr>
  </w:style>
  <w:style w:type="character" w:customStyle="1" w:styleId="HeaderChar1">
    <w:name w:val="Header Char1"/>
    <w:basedOn w:val="DefaultParagraphFont"/>
    <w:uiPriority w:val="99"/>
    <w:semiHidden/>
    <w:rsid w:val="00AB2D00"/>
  </w:style>
  <w:style w:type="character" w:customStyle="1" w:styleId="FooterChar">
    <w:name w:val="Footer Char"/>
    <w:basedOn w:val="DefaultParagraphFont"/>
    <w:link w:val="Footer"/>
    <w:uiPriority w:val="99"/>
    <w:rsid w:val="00AB2D00"/>
  </w:style>
  <w:style w:type="paragraph" w:styleId="Footer">
    <w:name w:val="footer"/>
    <w:basedOn w:val="Normal"/>
    <w:link w:val="FooterChar"/>
    <w:uiPriority w:val="99"/>
    <w:unhideWhenUsed/>
    <w:rsid w:val="00AB2D00"/>
    <w:pPr>
      <w:tabs>
        <w:tab w:val="center" w:pos="4680"/>
        <w:tab w:val="right" w:pos="9360"/>
      </w:tabs>
      <w:spacing w:after="0" w:line="240" w:lineRule="auto"/>
      <w:ind w:firstLine="360"/>
    </w:pPr>
  </w:style>
  <w:style w:type="character" w:customStyle="1" w:styleId="FooterChar1">
    <w:name w:val="Footer Char1"/>
    <w:basedOn w:val="DefaultParagraphFont"/>
    <w:uiPriority w:val="99"/>
    <w:semiHidden/>
    <w:rsid w:val="00AB2D00"/>
  </w:style>
  <w:style w:type="character" w:styleId="Hyperlink">
    <w:name w:val="Hyperlink"/>
    <w:basedOn w:val="DefaultParagraphFont"/>
    <w:uiPriority w:val="99"/>
    <w:unhideWhenUsed/>
    <w:rsid w:val="00AB2D00"/>
    <w:rPr>
      <w:color w:val="0000FF" w:themeColor="hyperlink"/>
      <w:u w:val="single"/>
    </w:rPr>
  </w:style>
  <w:style w:type="paragraph" w:customStyle="1" w:styleId="EndNoteBibliography">
    <w:name w:val="EndNote Bibliography"/>
    <w:basedOn w:val="Normal"/>
    <w:link w:val="EndNoteBibliographyChar"/>
    <w:rsid w:val="00AB2D00"/>
    <w:pPr>
      <w:spacing w:after="120" w:line="240" w:lineRule="auto"/>
      <w:ind w:firstLine="360"/>
      <w:jc w:val="center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AB2D00"/>
    <w:rPr>
      <w:rFonts w:ascii="Calibri" w:hAnsi="Calibri" w:cs="Calibri"/>
      <w:noProof/>
    </w:rPr>
  </w:style>
  <w:style w:type="character" w:customStyle="1" w:styleId="fontstyle01">
    <w:name w:val="fontstyle01"/>
    <w:basedOn w:val="DefaultParagraphFont"/>
    <w:rsid w:val="00AB2D00"/>
    <w:rPr>
      <w:rFonts w:ascii="Berkeley-Book" w:hAnsi="Berkeley-Book" w:hint="default"/>
      <w:b w:val="0"/>
      <w:bCs w:val="0"/>
      <w:i w:val="0"/>
      <w:iCs w:val="0"/>
      <w:color w:val="231F20"/>
      <w:sz w:val="22"/>
      <w:szCs w:val="22"/>
    </w:rPr>
  </w:style>
  <w:style w:type="character" w:customStyle="1" w:styleId="fontstyle21">
    <w:name w:val="fontstyle21"/>
    <w:basedOn w:val="DefaultParagraphFont"/>
    <w:rsid w:val="00AB2D00"/>
    <w:rPr>
      <w:rFonts w:ascii="Berkeley-BookItalic" w:hAnsi="Berkeley-BookItalic" w:hint="default"/>
      <w:b w:val="0"/>
      <w:bCs w:val="0"/>
      <w:i/>
      <w:iCs/>
      <w:color w:val="231F20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2D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2D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rsid w:val="00AB2D00"/>
  </w:style>
  <w:style w:type="paragraph" w:styleId="Header">
    <w:name w:val="header"/>
    <w:basedOn w:val="Normal"/>
    <w:link w:val="HeaderChar"/>
    <w:uiPriority w:val="99"/>
    <w:unhideWhenUsed/>
    <w:rsid w:val="00AB2D00"/>
    <w:pPr>
      <w:tabs>
        <w:tab w:val="center" w:pos="4680"/>
        <w:tab w:val="right" w:pos="9360"/>
      </w:tabs>
      <w:spacing w:after="0" w:line="240" w:lineRule="auto"/>
      <w:ind w:firstLine="360"/>
    </w:pPr>
  </w:style>
  <w:style w:type="character" w:customStyle="1" w:styleId="HeaderChar1">
    <w:name w:val="Header Char1"/>
    <w:basedOn w:val="DefaultParagraphFont"/>
    <w:uiPriority w:val="99"/>
    <w:semiHidden/>
    <w:rsid w:val="00AB2D00"/>
  </w:style>
  <w:style w:type="character" w:customStyle="1" w:styleId="FooterChar">
    <w:name w:val="Footer Char"/>
    <w:basedOn w:val="DefaultParagraphFont"/>
    <w:link w:val="Footer"/>
    <w:uiPriority w:val="99"/>
    <w:rsid w:val="00AB2D00"/>
  </w:style>
  <w:style w:type="paragraph" w:styleId="Footer">
    <w:name w:val="footer"/>
    <w:basedOn w:val="Normal"/>
    <w:link w:val="FooterChar"/>
    <w:uiPriority w:val="99"/>
    <w:unhideWhenUsed/>
    <w:rsid w:val="00AB2D00"/>
    <w:pPr>
      <w:tabs>
        <w:tab w:val="center" w:pos="4680"/>
        <w:tab w:val="right" w:pos="9360"/>
      </w:tabs>
      <w:spacing w:after="0" w:line="240" w:lineRule="auto"/>
      <w:ind w:firstLine="360"/>
    </w:pPr>
  </w:style>
  <w:style w:type="character" w:customStyle="1" w:styleId="FooterChar1">
    <w:name w:val="Footer Char1"/>
    <w:basedOn w:val="DefaultParagraphFont"/>
    <w:uiPriority w:val="99"/>
    <w:semiHidden/>
    <w:rsid w:val="00AB2D00"/>
  </w:style>
  <w:style w:type="character" w:styleId="Hyperlink">
    <w:name w:val="Hyperlink"/>
    <w:basedOn w:val="DefaultParagraphFont"/>
    <w:uiPriority w:val="99"/>
    <w:unhideWhenUsed/>
    <w:rsid w:val="00AB2D00"/>
    <w:rPr>
      <w:color w:val="0000FF" w:themeColor="hyperlink"/>
      <w:u w:val="single"/>
    </w:rPr>
  </w:style>
  <w:style w:type="paragraph" w:customStyle="1" w:styleId="EndNoteBibliography">
    <w:name w:val="EndNote Bibliography"/>
    <w:basedOn w:val="Normal"/>
    <w:link w:val="EndNoteBibliographyChar"/>
    <w:rsid w:val="00AB2D00"/>
    <w:pPr>
      <w:spacing w:after="120" w:line="240" w:lineRule="auto"/>
      <w:ind w:firstLine="360"/>
      <w:jc w:val="center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AB2D00"/>
    <w:rPr>
      <w:rFonts w:ascii="Calibri" w:hAnsi="Calibri" w:cs="Calibri"/>
      <w:noProof/>
    </w:rPr>
  </w:style>
  <w:style w:type="character" w:customStyle="1" w:styleId="fontstyle01">
    <w:name w:val="fontstyle01"/>
    <w:basedOn w:val="DefaultParagraphFont"/>
    <w:rsid w:val="00AB2D00"/>
    <w:rPr>
      <w:rFonts w:ascii="Berkeley-Book" w:hAnsi="Berkeley-Book" w:hint="default"/>
      <w:b w:val="0"/>
      <w:bCs w:val="0"/>
      <w:i w:val="0"/>
      <w:iCs w:val="0"/>
      <w:color w:val="231F20"/>
      <w:sz w:val="22"/>
      <w:szCs w:val="22"/>
    </w:rPr>
  </w:style>
  <w:style w:type="character" w:customStyle="1" w:styleId="fontstyle21">
    <w:name w:val="fontstyle21"/>
    <w:basedOn w:val="DefaultParagraphFont"/>
    <w:rsid w:val="00AB2D00"/>
    <w:rPr>
      <w:rFonts w:ascii="Berkeley-BookItalic" w:hAnsi="Berkeley-BookItalic" w:hint="default"/>
      <w:b w:val="0"/>
      <w:bCs w:val="0"/>
      <w:i/>
      <w:iCs/>
      <w:color w:val="231F20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2D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2D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hyperlink" Target="https://jle.hse.ru/article/view/13466" TargetMode="Externa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1683</Words>
  <Characters>9594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E749545</dc:creator>
  <cp:lastModifiedBy>E749545</cp:lastModifiedBy>
  <cp:revision>1</cp:revision>
  <dcterms:created xsi:type="dcterms:W3CDTF">2023-01-28T01:13:00Z</dcterms:created>
  <dcterms:modified xsi:type="dcterms:W3CDTF">2023-01-28T01:13:00Z</dcterms:modified>
</cp:coreProperties>
</file>