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ED3" w:rsidRPr="00AB5760" w:rsidRDefault="005F7ED3" w:rsidP="005F7ED3">
      <w:pPr>
        <w:spacing w:line="48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de-DE"/>
        </w:rPr>
      </w:pPr>
      <w:bookmarkStart w:id="0" w:name="_GoBack"/>
      <w:bookmarkEnd w:id="0"/>
      <w:r w:rsidRPr="00AB5760">
        <w:rPr>
          <w:rFonts w:ascii="Times New Roman" w:hAnsi="Times New Roman"/>
          <w:b/>
          <w:color w:val="000000" w:themeColor="text1"/>
          <w:sz w:val="24"/>
          <w:szCs w:val="24"/>
          <w:lang w:eastAsia="de-DE"/>
        </w:rPr>
        <w:t>Supplementary Table 2: Expression levels of receptors and their fold changes in demyelinated inactive versus remyelinated lesions.</w:t>
      </w:r>
    </w:p>
    <w:tbl>
      <w:tblPr>
        <w:tblW w:w="1135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9"/>
        <w:gridCol w:w="750"/>
        <w:gridCol w:w="691"/>
        <w:gridCol w:w="754"/>
        <w:gridCol w:w="762"/>
        <w:gridCol w:w="756"/>
        <w:gridCol w:w="777"/>
        <w:gridCol w:w="756"/>
        <w:gridCol w:w="696"/>
        <w:gridCol w:w="1059"/>
        <w:gridCol w:w="755"/>
        <w:gridCol w:w="800"/>
        <w:gridCol w:w="755"/>
      </w:tblGrid>
      <w:tr w:rsidR="001C5780" w:rsidRPr="00AB5760" w:rsidTr="001C5780">
        <w:trPr>
          <w:trHeight w:hRule="exact" w:val="301"/>
        </w:trPr>
        <w:tc>
          <w:tcPr>
            <w:tcW w:w="20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BF3709" w:rsidRPr="00AB5760" w:rsidRDefault="00BF3709" w:rsidP="00F463AD">
            <w:pPr>
              <w:spacing w:after="0" w:line="240" w:lineRule="auto"/>
              <w:rPr>
                <w:color w:val="000000"/>
                <w:lang w:eastAsia="de-DE"/>
              </w:rPr>
            </w:pPr>
            <w:r w:rsidRPr="00AB5760">
              <w:rPr>
                <w:b/>
                <w:bCs/>
                <w:color w:val="000000"/>
                <w:lang w:eastAsia="de-DE"/>
              </w:rPr>
              <w:t>Gene name</w:t>
            </w:r>
          </w:p>
        </w:tc>
        <w:tc>
          <w:tcPr>
            <w:tcW w:w="1441" w:type="dxa"/>
            <w:gridSpan w:val="2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BF3709" w:rsidRPr="00BF3709" w:rsidRDefault="00BF3709" w:rsidP="00F463AD">
            <w:pPr>
              <w:jc w:val="center"/>
              <w:rPr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CWM</w:t>
            </w:r>
          </w:p>
        </w:tc>
        <w:tc>
          <w:tcPr>
            <w:tcW w:w="1516" w:type="dxa"/>
            <w:gridSpan w:val="2"/>
            <w:tcBorders>
              <w:top w:val="single" w:sz="4" w:space="0" w:color="A6A6A6" w:themeColor="background1" w:themeShade="A6"/>
              <w:left w:val="nil"/>
              <w:right w:val="nil"/>
            </w:tcBorders>
            <w:shd w:val="clear" w:color="auto" w:fill="auto"/>
            <w:noWrap/>
            <w:vAlign w:val="center"/>
          </w:tcPr>
          <w:p w:rsidR="00BF3709" w:rsidRPr="00BF3709" w:rsidRDefault="00BF3709" w:rsidP="00F463AD">
            <w:pPr>
              <w:jc w:val="center"/>
              <w:rPr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Remyelinated</w:t>
            </w:r>
          </w:p>
        </w:tc>
        <w:tc>
          <w:tcPr>
            <w:tcW w:w="1533" w:type="dxa"/>
            <w:gridSpan w:val="2"/>
            <w:tcBorders>
              <w:top w:val="single" w:sz="4" w:space="0" w:color="A6A6A6" w:themeColor="background1" w:themeShade="A6"/>
              <w:left w:val="nil"/>
              <w:right w:val="nil"/>
            </w:tcBorders>
            <w:vAlign w:val="center"/>
          </w:tcPr>
          <w:p w:rsidR="00BF3709" w:rsidRPr="00BF3709" w:rsidRDefault="00BF3709" w:rsidP="00F463AD">
            <w:pPr>
              <w:jc w:val="center"/>
              <w:rPr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Demyelinated</w:t>
            </w:r>
          </w:p>
        </w:tc>
        <w:tc>
          <w:tcPr>
            <w:tcW w:w="1452" w:type="dxa"/>
            <w:gridSpan w:val="2"/>
            <w:tcBorders>
              <w:top w:val="single" w:sz="4" w:space="0" w:color="A6A6A6" w:themeColor="background1" w:themeShade="A6"/>
              <w:left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BF3709" w:rsidRPr="00BF3709" w:rsidRDefault="00BF3709" w:rsidP="00F463AD">
            <w:pPr>
              <w:jc w:val="center"/>
              <w:rPr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Active</w:t>
            </w:r>
          </w:p>
        </w:tc>
        <w:tc>
          <w:tcPr>
            <w:tcW w:w="1059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right w:val="nil"/>
            </w:tcBorders>
            <w:shd w:val="clear" w:color="auto" w:fill="auto"/>
          </w:tcPr>
          <w:p w:rsidR="00BF3709" w:rsidRPr="00BF3709" w:rsidRDefault="00BF3709" w:rsidP="00F463AD">
            <w:pPr>
              <w:jc w:val="center"/>
              <w:rPr>
                <w:i/>
                <w:iCs/>
                <w:highlight w:val="yellow"/>
                <w:lang w:eastAsia="de-DE"/>
              </w:rPr>
            </w:pPr>
            <w:r w:rsidRPr="00BF3709">
              <w:rPr>
                <w:i/>
                <w:iCs/>
                <w:highlight w:val="yellow"/>
                <w:lang w:eastAsia="de-DE"/>
              </w:rPr>
              <w:t>Re</w:t>
            </w:r>
            <w:r w:rsidRPr="00BF3709">
              <w:rPr>
                <w:rFonts w:hint="eastAsia"/>
                <w:i/>
                <w:iCs/>
                <w:highlight w:val="yellow"/>
                <w:lang w:eastAsia="de-DE"/>
              </w:rPr>
              <w:t>/‌</w:t>
            </w:r>
            <w:r w:rsidRPr="00BF3709">
              <w:rPr>
                <w:i/>
                <w:iCs/>
                <w:highlight w:val="yellow"/>
                <w:lang w:eastAsia="de-DE"/>
              </w:rPr>
              <w:t>CWM</w:t>
            </w:r>
          </w:p>
        </w:tc>
        <w:tc>
          <w:tcPr>
            <w:tcW w:w="755" w:type="dxa"/>
            <w:tcBorders>
              <w:top w:val="single" w:sz="4" w:space="0" w:color="A6A6A6" w:themeColor="background1" w:themeShade="A6"/>
              <w:left w:val="nil"/>
              <w:right w:val="single" w:sz="4" w:space="0" w:color="A6A6A6" w:themeColor="background1" w:themeShade="A6"/>
            </w:tcBorders>
            <w:shd w:val="clear" w:color="auto" w:fill="auto"/>
          </w:tcPr>
          <w:p w:rsidR="00BF3709" w:rsidRPr="00BF3709" w:rsidRDefault="00BF3709" w:rsidP="002175F6">
            <w:pPr>
              <w:rPr>
                <w:iCs/>
                <w:highlight w:val="yellow"/>
                <w:lang w:eastAsia="de-DE"/>
              </w:rPr>
            </w:pPr>
          </w:p>
        </w:tc>
        <w:tc>
          <w:tcPr>
            <w:tcW w:w="8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nil"/>
            </w:tcBorders>
            <w:shd w:val="clear" w:color="auto" w:fill="auto"/>
          </w:tcPr>
          <w:p w:rsidR="00BF3709" w:rsidRPr="00BF3709" w:rsidRDefault="00BF3709" w:rsidP="009463F6">
            <w:pPr>
              <w:jc w:val="center"/>
              <w:rPr>
                <w:i/>
                <w:iCs/>
                <w:highlight w:val="yellow"/>
                <w:lang w:eastAsia="de-DE"/>
              </w:rPr>
            </w:pPr>
            <w:r w:rsidRPr="00BF3709">
              <w:rPr>
                <w:i/>
                <w:iCs/>
                <w:highlight w:val="yellow"/>
                <w:lang w:eastAsia="de-DE"/>
              </w:rPr>
              <w:t>Re</w:t>
            </w:r>
            <w:r w:rsidRPr="00BF3709">
              <w:rPr>
                <w:rFonts w:hint="eastAsia"/>
                <w:i/>
                <w:iCs/>
                <w:highlight w:val="yellow"/>
                <w:lang w:eastAsia="de-DE"/>
              </w:rPr>
              <w:t>/</w:t>
            </w:r>
            <w:r w:rsidRPr="00BF3709">
              <w:rPr>
                <w:i/>
                <w:iCs/>
                <w:highlight w:val="yellow"/>
                <w:lang w:eastAsia="de-DE"/>
              </w:rPr>
              <w:t>De</w:t>
            </w:r>
          </w:p>
        </w:tc>
        <w:tc>
          <w:tcPr>
            <w:tcW w:w="755" w:type="dxa"/>
            <w:tcBorders>
              <w:top w:val="single" w:sz="4" w:space="0" w:color="A6A6A6" w:themeColor="background1" w:themeShade="A6"/>
              <w:left w:val="nil"/>
              <w:right w:val="single" w:sz="4" w:space="0" w:color="A6A6A6" w:themeColor="background1" w:themeShade="A6"/>
            </w:tcBorders>
          </w:tcPr>
          <w:p w:rsidR="00BF3709" w:rsidRPr="00BF3709" w:rsidRDefault="00BF3709" w:rsidP="002175F6">
            <w:pPr>
              <w:rPr>
                <w:i/>
                <w:iCs/>
                <w:color w:val="000000"/>
                <w:highlight w:val="yellow"/>
                <w:lang w:eastAsia="de-DE"/>
              </w:rPr>
            </w:pPr>
          </w:p>
        </w:tc>
      </w:tr>
      <w:tr w:rsidR="001C5780" w:rsidRPr="00AB5760" w:rsidTr="001C5780">
        <w:trPr>
          <w:trHeight w:hRule="exact" w:val="301"/>
        </w:trPr>
        <w:tc>
          <w:tcPr>
            <w:tcW w:w="2039" w:type="dxa"/>
            <w:tcBorders>
              <w:left w:val="single" w:sz="4" w:space="0" w:color="A6A6A6" w:themeColor="background1" w:themeShade="A6"/>
              <w:bottom w:val="doub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BF3709" w:rsidRPr="00AB5760" w:rsidRDefault="00BF3709" w:rsidP="00F463AD">
            <w:pPr>
              <w:spacing w:after="0" w:line="240" w:lineRule="auto"/>
              <w:jc w:val="center"/>
              <w:rPr>
                <w:color w:val="000000"/>
                <w:lang w:eastAsia="de-DE"/>
              </w:rPr>
            </w:pPr>
          </w:p>
        </w:tc>
        <w:tc>
          <w:tcPr>
            <w:tcW w:w="750" w:type="dxa"/>
            <w:tcBorders>
              <w:left w:val="double" w:sz="4" w:space="0" w:color="A6A6A6" w:themeColor="background1" w:themeShade="A6"/>
              <w:bottom w:val="doub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BF3709" w:rsidRPr="00BF3709" w:rsidRDefault="00BF3709" w:rsidP="00F463AD">
            <w:pPr>
              <w:jc w:val="center"/>
              <w:rPr>
                <w:color w:val="000000"/>
                <w:lang w:eastAsia="de-DE"/>
              </w:rPr>
            </w:pPr>
            <w:r w:rsidRPr="00BF3709">
              <w:rPr>
                <w:color w:val="000000"/>
                <w:lang w:eastAsia="de-DE"/>
              </w:rPr>
              <w:t>mean</w:t>
            </w:r>
          </w:p>
        </w:tc>
        <w:tc>
          <w:tcPr>
            <w:tcW w:w="691" w:type="dxa"/>
            <w:tcBorders>
              <w:left w:val="nil"/>
              <w:bottom w:val="doub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BF3709" w:rsidRPr="00BF3709" w:rsidRDefault="006A6126" w:rsidP="00F463AD">
            <w:pPr>
              <w:jc w:val="center"/>
              <w:rPr>
                <w:color w:val="000000"/>
                <w:lang w:eastAsia="de-DE"/>
              </w:rPr>
            </w:pPr>
            <w:r>
              <w:rPr>
                <w:color w:val="000000"/>
                <w:lang w:eastAsia="de-DE"/>
              </w:rPr>
              <w:t>SEM</w:t>
            </w:r>
          </w:p>
        </w:tc>
        <w:tc>
          <w:tcPr>
            <w:tcW w:w="754" w:type="dxa"/>
            <w:tcBorders>
              <w:left w:val="nil"/>
              <w:bottom w:val="doub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BF3709" w:rsidRPr="00BF3709" w:rsidRDefault="00BF3709" w:rsidP="00F463AD">
            <w:pPr>
              <w:jc w:val="center"/>
              <w:rPr>
                <w:color w:val="000000"/>
                <w:lang w:eastAsia="de-DE"/>
              </w:rPr>
            </w:pPr>
            <w:r w:rsidRPr="00BF3709">
              <w:rPr>
                <w:color w:val="000000"/>
                <w:lang w:eastAsia="de-DE"/>
              </w:rPr>
              <w:t>mean</w:t>
            </w:r>
          </w:p>
        </w:tc>
        <w:tc>
          <w:tcPr>
            <w:tcW w:w="762" w:type="dxa"/>
            <w:tcBorders>
              <w:left w:val="nil"/>
              <w:bottom w:val="doub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BF3709" w:rsidRPr="00BF3709" w:rsidRDefault="006A6126" w:rsidP="00F463AD">
            <w:pPr>
              <w:jc w:val="center"/>
              <w:rPr>
                <w:color w:val="000000"/>
                <w:lang w:eastAsia="de-DE"/>
              </w:rPr>
            </w:pPr>
            <w:r>
              <w:rPr>
                <w:color w:val="000000"/>
                <w:lang w:eastAsia="de-DE"/>
              </w:rPr>
              <w:t>SEM</w:t>
            </w:r>
          </w:p>
        </w:tc>
        <w:tc>
          <w:tcPr>
            <w:tcW w:w="756" w:type="dxa"/>
            <w:tcBorders>
              <w:left w:val="nil"/>
              <w:bottom w:val="doub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jc w:val="center"/>
              <w:rPr>
                <w:color w:val="000000"/>
                <w:lang w:eastAsia="de-DE"/>
              </w:rPr>
            </w:pPr>
            <w:r w:rsidRPr="00BF3709">
              <w:rPr>
                <w:color w:val="000000"/>
                <w:lang w:eastAsia="de-DE"/>
              </w:rPr>
              <w:t>mean</w:t>
            </w:r>
          </w:p>
        </w:tc>
        <w:tc>
          <w:tcPr>
            <w:tcW w:w="777" w:type="dxa"/>
            <w:tcBorders>
              <w:left w:val="nil"/>
              <w:bottom w:val="doub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6A6126" w:rsidP="00F463AD">
            <w:pPr>
              <w:jc w:val="center"/>
              <w:rPr>
                <w:color w:val="000000"/>
                <w:lang w:eastAsia="de-DE"/>
              </w:rPr>
            </w:pPr>
            <w:r>
              <w:rPr>
                <w:color w:val="000000"/>
                <w:lang w:eastAsia="de-DE"/>
              </w:rPr>
              <w:t>SEM</w:t>
            </w:r>
          </w:p>
        </w:tc>
        <w:tc>
          <w:tcPr>
            <w:tcW w:w="756" w:type="dxa"/>
            <w:tcBorders>
              <w:left w:val="nil"/>
              <w:bottom w:val="doub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BF3709" w:rsidRPr="00BF3709" w:rsidRDefault="00BF3709" w:rsidP="00F463AD">
            <w:pPr>
              <w:jc w:val="center"/>
              <w:rPr>
                <w:color w:val="000000"/>
                <w:lang w:eastAsia="de-DE"/>
              </w:rPr>
            </w:pPr>
            <w:r w:rsidRPr="00BF3709">
              <w:rPr>
                <w:color w:val="000000"/>
                <w:lang w:eastAsia="de-DE"/>
              </w:rPr>
              <w:t>mean</w:t>
            </w:r>
          </w:p>
        </w:tc>
        <w:tc>
          <w:tcPr>
            <w:tcW w:w="696" w:type="dxa"/>
            <w:tcBorders>
              <w:left w:val="nil"/>
              <w:bottom w:val="doub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BF3709" w:rsidRPr="00BF3709" w:rsidRDefault="006A6126" w:rsidP="00F463AD">
            <w:pPr>
              <w:jc w:val="center"/>
              <w:rPr>
                <w:color w:val="000000"/>
                <w:lang w:eastAsia="de-DE"/>
              </w:rPr>
            </w:pPr>
            <w:r>
              <w:rPr>
                <w:color w:val="000000"/>
                <w:lang w:eastAsia="de-DE"/>
              </w:rPr>
              <w:t>SEM</w:t>
            </w:r>
          </w:p>
        </w:tc>
        <w:tc>
          <w:tcPr>
            <w:tcW w:w="1059" w:type="dxa"/>
            <w:tcBorders>
              <w:left w:val="double" w:sz="4" w:space="0" w:color="A6A6A6" w:themeColor="background1" w:themeShade="A6"/>
              <w:bottom w:val="double" w:sz="4" w:space="0" w:color="A6A6A6" w:themeColor="background1" w:themeShade="A6"/>
              <w:right w:val="nil"/>
            </w:tcBorders>
            <w:shd w:val="clear" w:color="auto" w:fill="auto"/>
          </w:tcPr>
          <w:p w:rsidR="00BF3709" w:rsidRPr="00BF3709" w:rsidRDefault="00BF3709" w:rsidP="00F463AD">
            <w:pPr>
              <w:jc w:val="center"/>
              <w:rPr>
                <w:i/>
                <w:highlight w:val="yellow"/>
                <w:lang w:eastAsia="de-DE"/>
              </w:rPr>
            </w:pPr>
            <w:r w:rsidRPr="00BF3709">
              <w:rPr>
                <w:i/>
                <w:highlight w:val="yellow"/>
                <w:lang w:eastAsia="de-DE"/>
              </w:rPr>
              <w:t>ratio</w:t>
            </w:r>
          </w:p>
        </w:tc>
        <w:tc>
          <w:tcPr>
            <w:tcW w:w="755" w:type="dxa"/>
            <w:tcBorders>
              <w:left w:val="nil"/>
              <w:bottom w:val="doub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rPr>
                <w:highlight w:val="yellow"/>
                <w:lang w:eastAsia="de-DE"/>
              </w:rPr>
            </w:pPr>
            <w:r w:rsidRPr="00BF3709">
              <w:rPr>
                <w:highlight w:val="yellow"/>
                <w:lang w:eastAsia="de-DE"/>
              </w:rPr>
              <w:t>p</w:t>
            </w:r>
          </w:p>
        </w:tc>
        <w:tc>
          <w:tcPr>
            <w:tcW w:w="800" w:type="dxa"/>
            <w:tcBorders>
              <w:left w:val="single" w:sz="4" w:space="0" w:color="A6A6A6" w:themeColor="background1" w:themeShade="A6"/>
              <w:bottom w:val="double" w:sz="4" w:space="0" w:color="A6A6A6" w:themeColor="background1" w:themeShade="A6"/>
              <w:right w:val="nil"/>
            </w:tcBorders>
            <w:shd w:val="clear" w:color="auto" w:fill="auto"/>
          </w:tcPr>
          <w:p w:rsidR="00BF3709" w:rsidRPr="00BF3709" w:rsidRDefault="00BF3709" w:rsidP="00F463AD">
            <w:pPr>
              <w:jc w:val="center"/>
              <w:rPr>
                <w:i/>
                <w:highlight w:val="yellow"/>
                <w:lang w:eastAsia="de-DE"/>
              </w:rPr>
            </w:pPr>
            <w:r w:rsidRPr="00BF3709">
              <w:rPr>
                <w:i/>
                <w:highlight w:val="yellow"/>
                <w:lang w:eastAsia="de-DE"/>
              </w:rPr>
              <w:t>ratio</w:t>
            </w:r>
          </w:p>
        </w:tc>
        <w:tc>
          <w:tcPr>
            <w:tcW w:w="755" w:type="dxa"/>
            <w:tcBorders>
              <w:left w:val="nil"/>
              <w:bottom w:val="doub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F3709" w:rsidRPr="00BF3709" w:rsidRDefault="00BF3709" w:rsidP="002175F6">
            <w:pPr>
              <w:rPr>
                <w:color w:val="000000"/>
                <w:highlight w:val="yellow"/>
                <w:lang w:eastAsia="de-DE"/>
              </w:rPr>
            </w:pPr>
            <w:r w:rsidRPr="00BF3709">
              <w:rPr>
                <w:color w:val="000000"/>
                <w:highlight w:val="yellow"/>
                <w:lang w:eastAsia="de-DE"/>
              </w:rPr>
              <w:t>p</w:t>
            </w:r>
          </w:p>
        </w:tc>
      </w:tr>
      <w:tr w:rsidR="001C5780" w:rsidRPr="00AB5760" w:rsidTr="001C5780">
        <w:trPr>
          <w:trHeight w:val="315"/>
        </w:trPr>
        <w:tc>
          <w:tcPr>
            <w:tcW w:w="2039" w:type="dxa"/>
            <w:tcBorders>
              <w:top w:val="double" w:sz="4" w:space="0" w:color="A6A6A6" w:themeColor="background1" w:themeShade="A6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before="80" w:after="0" w:line="240" w:lineRule="auto"/>
              <w:rPr>
                <w:b/>
                <w:bCs/>
                <w:color w:val="000000"/>
                <w:lang w:eastAsia="de-DE"/>
              </w:rPr>
            </w:pPr>
            <w:r w:rsidRPr="00AB5760">
              <w:rPr>
                <w:b/>
                <w:bCs/>
                <w:color w:val="000000"/>
                <w:lang w:eastAsia="de-DE"/>
              </w:rPr>
              <w:t>EGFRs</w:t>
            </w:r>
          </w:p>
        </w:tc>
        <w:tc>
          <w:tcPr>
            <w:tcW w:w="750" w:type="dxa"/>
            <w:tcBorders>
              <w:top w:val="double" w:sz="4" w:space="0" w:color="A6A6A6" w:themeColor="background1" w:themeShade="A6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691" w:type="dxa"/>
            <w:tcBorders>
              <w:top w:val="doub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4" w:type="dxa"/>
            <w:tcBorders>
              <w:top w:val="doub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762" w:type="dxa"/>
            <w:tcBorders>
              <w:top w:val="doub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6" w:type="dxa"/>
            <w:tcBorders>
              <w:top w:val="doub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777" w:type="dxa"/>
            <w:tcBorders>
              <w:top w:val="doub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6" w:type="dxa"/>
            <w:tcBorders>
              <w:top w:val="doub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696" w:type="dxa"/>
            <w:tcBorders>
              <w:top w:val="double" w:sz="4" w:space="0" w:color="A6A6A6" w:themeColor="background1" w:themeShade="A6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59" w:type="dxa"/>
            <w:tcBorders>
              <w:top w:val="double" w:sz="4" w:space="0" w:color="A6A6A6" w:themeColor="background1" w:themeShade="A6"/>
              <w:left w:val="double" w:sz="4" w:space="0" w:color="A6A6A6" w:themeColor="background1" w:themeShade="A6"/>
              <w:bottom w:val="nil"/>
              <w:right w:val="nil"/>
            </w:tcBorders>
            <w:vAlign w:val="bottom"/>
          </w:tcPr>
          <w:p w:rsidR="00BF3709" w:rsidRPr="00BF3709" w:rsidRDefault="00BF3709">
            <w:pPr>
              <w:rPr>
                <w:bCs/>
                <w:i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doub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bottom"/>
          </w:tcPr>
          <w:p w:rsidR="00BF3709" w:rsidRPr="00BF3709" w:rsidRDefault="00BF3709" w:rsidP="002175F6">
            <w:pPr>
              <w:rPr>
                <w:bCs/>
                <w:color w:val="000000"/>
                <w:highlight w:val="yellow"/>
              </w:rPr>
            </w:pPr>
          </w:p>
        </w:tc>
        <w:tc>
          <w:tcPr>
            <w:tcW w:w="800" w:type="dxa"/>
            <w:tcBorders>
              <w:top w:val="doub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709" w:rsidRPr="00BF3709" w:rsidRDefault="00BF3709">
            <w:pPr>
              <w:rPr>
                <w:bCs/>
                <w:i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doub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</w:tcPr>
          <w:p w:rsidR="00BF3709" w:rsidRPr="00BF3709" w:rsidRDefault="00BF3709" w:rsidP="002175F6">
            <w:pPr>
              <w:spacing w:after="0" w:line="240" w:lineRule="auto"/>
              <w:rPr>
                <w:i/>
                <w:iCs/>
                <w:color w:val="000000"/>
                <w:highlight w:val="yellow"/>
                <w:lang w:eastAsia="de-DE"/>
              </w:rPr>
            </w:pP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EGFR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1.67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0.34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3.44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0.66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6.75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2.44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6.78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5.73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2.06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0.067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0.51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1.00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ERBB3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41.06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13.07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73.67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30.23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9.63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3.83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43.62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28.08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1.79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0.48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7.65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b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b/>
                <w:iCs/>
                <w:color w:val="000000"/>
                <w:highlight w:val="yellow"/>
                <w:lang w:eastAsia="de-DE"/>
              </w:rPr>
              <w:t>0.010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ERBB4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3.41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0.96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5.24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1.29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4.42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0.84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6.26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3.35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1.53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0.35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0.91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before="80" w:after="0" w:line="240" w:lineRule="auto"/>
              <w:rPr>
                <w:b/>
                <w:bCs/>
                <w:color w:val="000000"/>
                <w:lang w:eastAsia="de-DE"/>
              </w:rPr>
            </w:pPr>
            <w:r w:rsidRPr="00AB5760">
              <w:rPr>
                <w:b/>
                <w:bCs/>
                <w:color w:val="000000"/>
                <w:lang w:eastAsia="de-DE"/>
              </w:rPr>
              <w:t>FGFRs</w:t>
            </w:r>
          </w:p>
        </w:tc>
        <w:tc>
          <w:tcPr>
            <w:tcW w:w="750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69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76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77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696" w:type="dxa"/>
            <w:tcBorders>
              <w:top w:val="single" w:sz="4" w:space="0" w:color="A6A6A6" w:themeColor="background1" w:themeShade="A6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59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>
            <w:pPr>
              <w:rPr>
                <w:bCs/>
                <w:i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rPr>
                <w:bCs/>
                <w:color w:val="000000"/>
                <w:highlight w:val="yellow"/>
              </w:rPr>
            </w:pPr>
          </w:p>
        </w:tc>
        <w:tc>
          <w:tcPr>
            <w:tcW w:w="8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>
            <w:pPr>
              <w:rPr>
                <w:bCs/>
                <w:i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rPr>
                <w:bCs/>
                <w:color w:val="000000"/>
                <w:highlight w:val="yellow"/>
              </w:rPr>
            </w:pP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FGFR1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2.97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0.26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5.51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0.17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10.78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3.91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18.25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12.70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1.86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b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b/>
                <w:iCs/>
                <w:color w:val="000000"/>
                <w:highlight w:val="yellow"/>
                <w:lang w:eastAsia="de-DE"/>
              </w:rPr>
              <w:t>0.010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0.51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0.48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FGFR2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12.19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1.51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18.44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0.77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8.91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2.53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23.34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9.15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1.51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b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b/>
                <w:iCs/>
                <w:color w:val="000000"/>
                <w:highlight w:val="yellow"/>
                <w:lang w:eastAsia="de-DE"/>
              </w:rPr>
              <w:t>0.038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2.07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b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b/>
                <w:iCs/>
                <w:color w:val="000000"/>
                <w:highlight w:val="yellow"/>
                <w:lang w:eastAsia="de-DE"/>
              </w:rPr>
              <w:t>0.038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FGFR3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4.72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2.01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11.98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1.45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18.47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6.93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11.71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10.62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2.54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0.067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0.65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1.00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FGFR4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0.12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0.36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0.15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1.00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0.94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2.44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0.11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0.61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before="80" w:after="0" w:line="240" w:lineRule="auto"/>
              <w:rPr>
                <w:b/>
                <w:bCs/>
                <w:color w:val="000000"/>
                <w:lang w:eastAsia="de-DE"/>
              </w:rPr>
            </w:pPr>
            <w:r w:rsidRPr="00AB5760">
              <w:rPr>
                <w:b/>
                <w:bCs/>
                <w:color w:val="000000"/>
                <w:lang w:eastAsia="de-DE"/>
              </w:rPr>
              <w:t>PDGFRs</w:t>
            </w:r>
          </w:p>
        </w:tc>
        <w:tc>
          <w:tcPr>
            <w:tcW w:w="750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69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76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77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696" w:type="dxa"/>
            <w:tcBorders>
              <w:top w:val="single" w:sz="4" w:space="0" w:color="A6A6A6" w:themeColor="background1" w:themeShade="A6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59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>
            <w:pPr>
              <w:rPr>
                <w:bCs/>
                <w:i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rPr>
                <w:bCs/>
                <w:color w:val="000000"/>
                <w:highlight w:val="yellow"/>
              </w:rPr>
            </w:pPr>
          </w:p>
        </w:tc>
        <w:tc>
          <w:tcPr>
            <w:tcW w:w="8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>
            <w:pPr>
              <w:rPr>
                <w:bCs/>
                <w:i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PDGFRA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5.03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0.60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10.03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2.47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3.68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0.75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3.22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0.07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2.00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0.17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2.72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0.11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PDGFRB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1.52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0.19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3.56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0.47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8.01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2.85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7.36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5.78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2.33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b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b/>
                <w:iCs/>
                <w:color w:val="000000"/>
                <w:highlight w:val="yellow"/>
                <w:lang w:eastAsia="de-DE"/>
              </w:rPr>
              <w:t>0.010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1.00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before="80" w:after="0" w:line="240" w:lineRule="auto"/>
              <w:rPr>
                <w:b/>
                <w:bCs/>
                <w:color w:val="000000"/>
                <w:lang w:eastAsia="de-DE"/>
              </w:rPr>
            </w:pPr>
            <w:r w:rsidRPr="00AB5760">
              <w:rPr>
                <w:b/>
                <w:bCs/>
                <w:color w:val="000000"/>
                <w:lang w:eastAsia="de-DE"/>
              </w:rPr>
              <w:t>IGFRs</w:t>
            </w:r>
          </w:p>
        </w:tc>
        <w:tc>
          <w:tcPr>
            <w:tcW w:w="750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69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76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77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5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</w:p>
        </w:tc>
        <w:tc>
          <w:tcPr>
            <w:tcW w:w="696" w:type="dxa"/>
            <w:tcBorders>
              <w:top w:val="single" w:sz="4" w:space="0" w:color="A6A6A6" w:themeColor="background1" w:themeShade="A6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59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>
            <w:pPr>
              <w:rPr>
                <w:bCs/>
                <w:i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rPr>
                <w:bCs/>
                <w:color w:val="000000"/>
                <w:highlight w:val="yellow"/>
              </w:rPr>
            </w:pPr>
          </w:p>
        </w:tc>
        <w:tc>
          <w:tcPr>
            <w:tcW w:w="8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>
            <w:pPr>
              <w:rPr>
                <w:bCs/>
                <w:i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IGF1R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4.55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1.29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10.41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3.31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10.56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3.86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46.64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41.32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1C5780" w:rsidRDefault="00BF3709" w:rsidP="001C5780">
            <w:pPr>
              <w:spacing w:after="0" w:line="240" w:lineRule="auto"/>
              <w:jc w:val="right"/>
              <w:rPr>
                <w:iCs/>
                <w:color w:val="000000"/>
                <w:highlight w:val="yellow"/>
                <w:lang w:eastAsia="de-DE"/>
              </w:rPr>
            </w:pPr>
            <w:r w:rsidRPr="001C5780">
              <w:rPr>
                <w:iCs/>
                <w:color w:val="000000"/>
                <w:highlight w:val="yellow"/>
                <w:lang w:eastAsia="de-DE"/>
              </w:rPr>
              <w:t>2.29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1C5780" w:rsidRDefault="00BF3709" w:rsidP="001C5780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1C5780">
              <w:rPr>
                <w:iCs/>
                <w:color w:val="000000"/>
                <w:highlight w:val="yellow"/>
                <w:lang w:eastAsia="de-DE"/>
              </w:rPr>
              <w:t>0.067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1C5780" w:rsidRDefault="00BF3709" w:rsidP="001C5780">
            <w:pPr>
              <w:spacing w:after="0" w:line="240" w:lineRule="auto"/>
              <w:jc w:val="right"/>
              <w:rPr>
                <w:iCs/>
                <w:color w:val="000000"/>
                <w:highlight w:val="yellow"/>
                <w:lang w:eastAsia="de-DE"/>
              </w:rPr>
            </w:pPr>
            <w:r w:rsidRPr="001C5780">
              <w:rPr>
                <w:iCs/>
                <w:color w:val="000000"/>
                <w:highlight w:val="yellow"/>
                <w:lang w:eastAsia="de-DE"/>
              </w:rPr>
              <w:t>0.99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0.91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IGF2R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0.95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0.13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1.64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0.25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1.36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0.44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4.64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3.22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1C5780" w:rsidRDefault="00BF3709" w:rsidP="001C5780">
            <w:pPr>
              <w:spacing w:after="0" w:line="240" w:lineRule="auto"/>
              <w:jc w:val="right"/>
              <w:rPr>
                <w:iCs/>
                <w:color w:val="000000"/>
                <w:highlight w:val="yellow"/>
                <w:lang w:eastAsia="de-DE"/>
              </w:rPr>
            </w:pPr>
            <w:r w:rsidRPr="001C5780">
              <w:rPr>
                <w:iCs/>
                <w:color w:val="000000"/>
                <w:highlight w:val="yellow"/>
                <w:lang w:eastAsia="de-DE"/>
              </w:rPr>
              <w:t>1.72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1C5780" w:rsidRDefault="00BF3709" w:rsidP="001C5780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1C5780">
              <w:rPr>
                <w:iCs/>
                <w:color w:val="000000"/>
                <w:highlight w:val="yellow"/>
                <w:lang w:eastAsia="de-DE"/>
              </w:rPr>
              <w:t>0.067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1C5780" w:rsidRDefault="00BF3709" w:rsidP="001C5780">
            <w:pPr>
              <w:spacing w:after="0" w:line="240" w:lineRule="auto"/>
              <w:jc w:val="right"/>
              <w:rPr>
                <w:iCs/>
                <w:color w:val="000000"/>
                <w:highlight w:val="yellow"/>
                <w:lang w:eastAsia="de-DE"/>
              </w:rPr>
            </w:pPr>
            <w:r w:rsidRPr="001C5780">
              <w:rPr>
                <w:iCs/>
                <w:color w:val="000000"/>
                <w:highlight w:val="yellow"/>
                <w:lang w:eastAsia="de-DE"/>
              </w:rPr>
              <w:t>1.20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1C5780">
            <w:pPr>
              <w:spacing w:after="0" w:line="240" w:lineRule="auto"/>
              <w:rPr>
                <w:bCs/>
                <w:color w:val="000000"/>
                <w:highlight w:val="yellow"/>
              </w:rPr>
            </w:pPr>
            <w:r w:rsidRPr="00BF3709">
              <w:rPr>
                <w:bCs/>
                <w:color w:val="000000"/>
                <w:highlight w:val="yellow"/>
              </w:rPr>
              <w:t>0.</w:t>
            </w:r>
            <w:r w:rsidRPr="001C5780">
              <w:rPr>
                <w:iCs/>
                <w:color w:val="000000"/>
                <w:highlight w:val="yellow"/>
                <w:lang w:eastAsia="de-DE"/>
              </w:rPr>
              <w:t>35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BF3709" w:rsidRPr="00BF3709" w:rsidRDefault="00BF3709" w:rsidP="00F463AD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IL6 family receptors</w:t>
            </w:r>
          </w:p>
        </w:tc>
        <w:tc>
          <w:tcPr>
            <w:tcW w:w="750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F463AD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691" w:type="dxa"/>
            <w:tcBorders>
              <w:top w:val="single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E06079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754" w:type="dxa"/>
            <w:tcBorders>
              <w:top w:val="single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E06079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762" w:type="dxa"/>
            <w:tcBorders>
              <w:top w:val="single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E06079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756" w:type="dxa"/>
            <w:tcBorders>
              <w:top w:val="single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777" w:type="dxa"/>
            <w:tcBorders>
              <w:top w:val="single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756" w:type="dxa"/>
            <w:tcBorders>
              <w:top w:val="single" w:sz="4" w:space="0" w:color="A6A6A6" w:themeColor="background1" w:themeShade="A6"/>
              <w:left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696" w:type="dxa"/>
            <w:tcBorders>
              <w:top w:val="single" w:sz="4" w:space="0" w:color="A6A6A6" w:themeColor="background1" w:themeShade="A6"/>
              <w:left w:val="nil"/>
              <w:right w:val="double" w:sz="4" w:space="0" w:color="A6A6A6" w:themeColor="background1" w:themeShade="A6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1059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8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BF3709" w:rsidRPr="00BF3709" w:rsidRDefault="00BF3709">
            <w:pPr>
              <w:rPr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rPr>
                <w:b/>
                <w:bCs/>
                <w:color w:val="000000"/>
                <w:highlight w:val="yellow"/>
              </w:rPr>
            </w:pP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IL6ST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28.60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4.22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56.63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5.59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39.66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14.58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30.26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2.61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1.98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b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b/>
                <w:iCs/>
                <w:color w:val="000000"/>
                <w:highlight w:val="yellow"/>
                <w:lang w:eastAsia="de-DE"/>
              </w:rPr>
              <w:t>0.010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1.43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0.17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LIFR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0.00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0.071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BF370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 xml:space="preserve">0.00 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0.54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CNTFR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3.04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0.44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2.66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0.69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8.09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3.16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15.55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13.52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0.87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0.76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0.76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BF3709" w:rsidRPr="00BF3709" w:rsidRDefault="00BF3709" w:rsidP="00F463AD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Other receptors</w:t>
            </w:r>
          </w:p>
        </w:tc>
        <w:tc>
          <w:tcPr>
            <w:tcW w:w="750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F463AD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69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754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76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75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77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75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696" w:type="dxa"/>
            <w:tcBorders>
              <w:top w:val="single" w:sz="4" w:space="0" w:color="A6A6A6" w:themeColor="background1" w:themeShade="A6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vAlign w:val="center"/>
          </w:tcPr>
          <w:p w:rsidR="00BF3709" w:rsidRPr="00BF3709" w:rsidRDefault="00BF3709" w:rsidP="002175F6">
            <w:pPr>
              <w:spacing w:before="80" w:after="0" w:line="240" w:lineRule="auto"/>
              <w:rPr>
                <w:i/>
                <w:iCs/>
                <w:color w:val="000000"/>
                <w:lang w:eastAsia="de-DE"/>
              </w:rPr>
            </w:pPr>
          </w:p>
        </w:tc>
        <w:tc>
          <w:tcPr>
            <w:tcW w:w="1059" w:type="dxa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</w:tcBorders>
            <w:vAlign w:val="center"/>
          </w:tcPr>
          <w:p w:rsidR="00BF3709" w:rsidRPr="00BF3709" w:rsidRDefault="00BF3709">
            <w:pPr>
              <w:rPr>
                <w:b/>
                <w:bCs/>
                <w:i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2175F6">
            <w:pPr>
              <w:rPr>
                <w:bCs/>
                <w:color w:val="000000"/>
                <w:highlight w:val="yellow"/>
              </w:rPr>
            </w:pPr>
          </w:p>
        </w:tc>
        <w:tc>
          <w:tcPr>
            <w:tcW w:w="8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  <w:vAlign w:val="center"/>
          </w:tcPr>
          <w:p w:rsidR="00BF3709" w:rsidRPr="00BF3709" w:rsidRDefault="00BF3709">
            <w:pPr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755" w:type="dxa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MET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0.55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0.18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0.62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0.19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0.14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0.16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1.13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0.91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4.55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b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b/>
                <w:iCs/>
                <w:color w:val="000000"/>
                <w:highlight w:val="yellow"/>
                <w:lang w:eastAsia="de-DE"/>
              </w:rPr>
              <w:t>0.04</w:t>
            </w:r>
            <w:r>
              <w:rPr>
                <w:b/>
                <w:iCs/>
                <w:color w:val="000000"/>
                <w:highlight w:val="yellow"/>
                <w:lang w:eastAsia="de-DE"/>
              </w:rPr>
              <w:t>2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lastRenderedPageBreak/>
              <w:t>PLXNB1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5.98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1.43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17.11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4.22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9.05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3.67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20.60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16.46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2.86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b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b/>
                <w:iCs/>
                <w:color w:val="000000"/>
                <w:highlight w:val="yellow"/>
                <w:lang w:eastAsia="de-DE"/>
              </w:rPr>
              <w:t>0.019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1.89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0.26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IL11RA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3.31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0.50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2.82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0.42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5.01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1.74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4.58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2.21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0.85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0.48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0.56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1.00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CXCR1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0.00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1.11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0.67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0.77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1.00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CXCR2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0.01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0.66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0.60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0.12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0.067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0.10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0.34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CXCR3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0.00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0.02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0.01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1.04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0.90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0.12*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1.00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CXCR4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0.58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0.93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0.23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0.99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0.43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5.07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3.40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1.60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0.26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0.94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0.91</w:t>
            </w:r>
          </w:p>
        </w:tc>
      </w:tr>
      <w:tr w:rsidR="001C5780" w:rsidRPr="00AB5760" w:rsidTr="001C5780">
        <w:trPr>
          <w:trHeight w:val="300"/>
        </w:trPr>
        <w:tc>
          <w:tcPr>
            <w:tcW w:w="2039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AB5760" w:rsidRDefault="00BF3709" w:rsidP="00F463AD">
            <w:pPr>
              <w:spacing w:after="0" w:line="240" w:lineRule="auto"/>
              <w:rPr>
                <w:i/>
                <w:color w:val="000000"/>
                <w:lang w:eastAsia="de-DE"/>
              </w:rPr>
            </w:pPr>
            <w:r w:rsidRPr="00AB5760">
              <w:rPr>
                <w:i/>
                <w:color w:val="000000"/>
                <w:lang w:eastAsia="de-DE"/>
              </w:rPr>
              <w:t>CXCR7</w:t>
            </w:r>
          </w:p>
        </w:tc>
        <w:tc>
          <w:tcPr>
            <w:tcW w:w="750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0.55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0.03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1.46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0.11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2.79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1.16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b/>
                <w:bCs/>
                <w:color w:val="000000"/>
                <w:lang w:eastAsia="de-DE"/>
              </w:rPr>
            </w:pPr>
            <w:r w:rsidRPr="00BF3709">
              <w:rPr>
                <w:b/>
                <w:bCs/>
                <w:color w:val="000000"/>
                <w:lang w:eastAsia="de-DE"/>
              </w:rPr>
              <w:t>1.28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BF3709" w:rsidRPr="00BF3709" w:rsidRDefault="00BF3709" w:rsidP="00F463AD">
            <w:pPr>
              <w:spacing w:after="0" w:line="240" w:lineRule="auto"/>
              <w:jc w:val="right"/>
              <w:rPr>
                <w:color w:val="000000"/>
                <w:sz w:val="20"/>
                <w:szCs w:val="20"/>
                <w:lang w:eastAsia="de-DE"/>
              </w:rPr>
            </w:pPr>
            <w:r w:rsidRPr="00BF3709">
              <w:rPr>
                <w:color w:val="000000"/>
                <w:sz w:val="20"/>
                <w:szCs w:val="20"/>
                <w:lang w:eastAsia="de-DE"/>
              </w:rPr>
              <w:t>0.49</w:t>
            </w:r>
          </w:p>
        </w:tc>
        <w:tc>
          <w:tcPr>
            <w:tcW w:w="1059" w:type="dxa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2.67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b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b/>
                <w:iCs/>
                <w:color w:val="000000"/>
                <w:highlight w:val="yellow"/>
                <w:lang w:eastAsia="de-DE"/>
              </w:rPr>
              <w:t>0.010</w:t>
            </w:r>
          </w:p>
        </w:tc>
        <w:tc>
          <w:tcPr>
            <w:tcW w:w="80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BF3709" w:rsidRPr="00BF3709" w:rsidRDefault="00BF3709" w:rsidP="002175F6">
            <w:pPr>
              <w:spacing w:after="0" w:line="240" w:lineRule="auto"/>
              <w:jc w:val="right"/>
              <w:rPr>
                <w:i/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/>
                <w:iCs/>
                <w:color w:val="000000"/>
                <w:highlight w:val="yellow"/>
                <w:lang w:eastAsia="de-DE"/>
              </w:rPr>
              <w:t>0.52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BF3709" w:rsidRPr="00BF3709" w:rsidRDefault="00BF3709" w:rsidP="00E06079">
            <w:pPr>
              <w:spacing w:after="0" w:line="240" w:lineRule="auto"/>
              <w:rPr>
                <w:iCs/>
                <w:color w:val="000000"/>
                <w:highlight w:val="yellow"/>
                <w:lang w:eastAsia="de-DE"/>
              </w:rPr>
            </w:pPr>
            <w:r w:rsidRPr="00BF3709">
              <w:rPr>
                <w:iCs/>
                <w:color w:val="000000"/>
                <w:highlight w:val="yellow"/>
                <w:lang w:eastAsia="de-DE"/>
              </w:rPr>
              <w:t>0.48</w:t>
            </w:r>
          </w:p>
        </w:tc>
      </w:tr>
    </w:tbl>
    <w:p w:rsidR="00CD1428" w:rsidRDefault="00CD1428" w:rsidP="00CF048B"/>
    <w:p w:rsidR="005F7ED3" w:rsidRPr="00AB5760" w:rsidRDefault="005F7ED3" w:rsidP="005F7ED3">
      <w:pPr>
        <w:spacing w:line="48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AB5760">
        <w:rPr>
          <w:rFonts w:ascii="Times New Roman" w:eastAsia="Calibri" w:hAnsi="Times New Roman"/>
          <w:sz w:val="24"/>
          <w:szCs w:val="24"/>
        </w:rPr>
        <w:t>CWM: control white matter, Remyelinated: remyelinated lesion, Demyelinated: demyelinated inactive lesion, Active: demye</w:t>
      </w:r>
      <w:r w:rsidR="006A6126">
        <w:rPr>
          <w:rFonts w:ascii="Times New Roman" w:eastAsia="Calibri" w:hAnsi="Times New Roman"/>
          <w:sz w:val="24"/>
          <w:szCs w:val="24"/>
        </w:rPr>
        <w:t>linated active lesion, ratio De/‌</w:t>
      </w:r>
      <w:r w:rsidRPr="00AB5760">
        <w:rPr>
          <w:rFonts w:ascii="Times New Roman" w:eastAsia="Calibri" w:hAnsi="Times New Roman"/>
          <w:sz w:val="24"/>
          <w:szCs w:val="24"/>
        </w:rPr>
        <w:t>Re: demyelinated inactive versus</w:t>
      </w:r>
      <w:r w:rsidRPr="00AB5760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AB5760">
        <w:rPr>
          <w:rFonts w:ascii="Times New Roman" w:eastAsia="Calibri" w:hAnsi="Times New Roman"/>
          <w:sz w:val="24"/>
          <w:szCs w:val="24"/>
        </w:rPr>
        <w:t xml:space="preserve">remyelinated lesions. 0.00: Values were below our detection limit, which was 0.01% </w:t>
      </w:r>
      <w:r w:rsidRPr="00AB5760">
        <w:rPr>
          <w:rFonts w:ascii="Times New Roman" w:eastAsia="Calibri" w:hAnsi="Times New Roman"/>
          <w:i/>
          <w:sz w:val="24"/>
          <w:szCs w:val="24"/>
        </w:rPr>
        <w:t>GAPDH.</w:t>
      </w:r>
      <w:r w:rsidRPr="00AB5760">
        <w:rPr>
          <w:rFonts w:ascii="Times New Roman" w:eastAsia="Calibri" w:hAnsi="Times New Roman"/>
          <w:sz w:val="24"/>
          <w:szCs w:val="24"/>
        </w:rPr>
        <w:t xml:space="preserve"> 6 normal white matter specimens from 4 subjects, 6 demyelinated inactive lesions from 4 subjects, 4 demyelinated active lesions from 3 subjects and 4 remyelinated lesions from 3 subjects were dissected and used for qPCR analysis. The mean expression values are given as % </w:t>
      </w:r>
      <w:r w:rsidRPr="00AB5760">
        <w:rPr>
          <w:rFonts w:ascii="Times New Roman" w:eastAsia="Calibri" w:hAnsi="Times New Roman"/>
          <w:i/>
          <w:sz w:val="24"/>
          <w:szCs w:val="24"/>
        </w:rPr>
        <w:t>GAPDH</w:t>
      </w:r>
      <w:r w:rsidRPr="00AB5760">
        <w:rPr>
          <w:rFonts w:ascii="Times New Roman" w:eastAsia="Calibri" w:hAnsi="Times New Roman"/>
          <w:sz w:val="24"/>
          <w:szCs w:val="24"/>
        </w:rPr>
        <w:t xml:space="preserve">; </w:t>
      </w:r>
      <w:r w:rsidR="006A6126">
        <w:rPr>
          <w:rFonts w:ascii="Times New Roman" w:eastAsia="Calibri" w:hAnsi="Times New Roman"/>
          <w:sz w:val="24"/>
          <w:szCs w:val="24"/>
        </w:rPr>
        <w:t>SEM</w:t>
      </w:r>
      <w:r w:rsidRPr="00AB5760">
        <w:rPr>
          <w:rFonts w:ascii="Times New Roman" w:eastAsia="Calibri" w:hAnsi="Times New Roman"/>
          <w:sz w:val="24"/>
          <w:szCs w:val="24"/>
        </w:rPr>
        <w:t xml:space="preserve"> denotes standard error of the mean. </w:t>
      </w:r>
      <w:r w:rsidRPr="00AB5760">
        <w:rPr>
          <w:rFonts w:ascii="Times New Roman" w:eastAsia="Calibri" w:hAnsi="Times New Roman"/>
          <w:b/>
          <w:sz w:val="24"/>
          <w:szCs w:val="24"/>
        </w:rPr>
        <w:t>*</w:t>
      </w:r>
      <w:r w:rsidRPr="00AB5760">
        <w:rPr>
          <w:rFonts w:ascii="Times New Roman" w:eastAsia="Calibri" w:hAnsi="Times New Roman"/>
          <w:sz w:val="24"/>
          <w:szCs w:val="24"/>
        </w:rPr>
        <w:t xml:space="preserve"> Ratio not me</w:t>
      </w:r>
      <w:r w:rsidR="00754752">
        <w:rPr>
          <w:rFonts w:ascii="Times New Roman" w:eastAsia="Calibri" w:hAnsi="Times New Roman"/>
          <w:sz w:val="24"/>
          <w:szCs w:val="24"/>
        </w:rPr>
        <w:t xml:space="preserve">aningful, </w:t>
      </w:r>
      <w:r w:rsidR="00754752" w:rsidRPr="009463F6">
        <w:rPr>
          <w:rFonts w:ascii="Times New Roman" w:eastAsia="Calibri" w:hAnsi="Times New Roman"/>
          <w:sz w:val="24"/>
          <w:szCs w:val="24"/>
          <w:highlight w:val="yellow"/>
        </w:rPr>
        <w:t xml:space="preserve">because </w:t>
      </w:r>
      <w:r w:rsidR="009463F6" w:rsidRPr="009463F6">
        <w:rPr>
          <w:rFonts w:ascii="Times New Roman" w:eastAsia="Calibri" w:hAnsi="Times New Roman"/>
          <w:sz w:val="24"/>
          <w:szCs w:val="24"/>
          <w:highlight w:val="yellow"/>
        </w:rPr>
        <w:t>both values were close to</w:t>
      </w:r>
      <w:r w:rsidR="009463F6">
        <w:rPr>
          <w:rFonts w:ascii="Times New Roman" w:eastAsia="Calibri" w:hAnsi="Times New Roman"/>
          <w:sz w:val="24"/>
          <w:szCs w:val="24"/>
        </w:rPr>
        <w:t xml:space="preserve"> </w:t>
      </w:r>
      <w:r w:rsidRPr="00AB5760">
        <w:rPr>
          <w:rFonts w:ascii="Times New Roman" w:eastAsia="Calibri" w:hAnsi="Times New Roman"/>
          <w:sz w:val="24"/>
          <w:szCs w:val="24"/>
        </w:rPr>
        <w:t>zero</w:t>
      </w:r>
      <w:r w:rsidRPr="00AB5760">
        <w:rPr>
          <w:rFonts w:ascii="Times New Roman" w:eastAsia="Calibri" w:hAnsi="Times New Roman"/>
          <w:b/>
          <w:sz w:val="24"/>
          <w:szCs w:val="24"/>
        </w:rPr>
        <w:t>.</w:t>
      </w:r>
    </w:p>
    <w:p w:rsidR="005F7ED3" w:rsidRPr="00CF048B" w:rsidRDefault="005F7ED3" w:rsidP="00CF048B"/>
    <w:sectPr w:rsidR="005F7ED3" w:rsidRPr="00CF048B" w:rsidSect="00E315A0">
      <w:pgSz w:w="16834" w:h="11909" w:orient="landscape" w:code="9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ED3" w:rsidRDefault="005F7ED3" w:rsidP="00C43FFB">
      <w:pPr>
        <w:spacing w:after="0" w:line="240" w:lineRule="auto"/>
      </w:pPr>
      <w:r>
        <w:separator/>
      </w:r>
    </w:p>
  </w:endnote>
  <w:endnote w:type="continuationSeparator" w:id="0">
    <w:p w:rsidR="005F7ED3" w:rsidRDefault="005F7ED3" w:rsidP="00C43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ED3" w:rsidRDefault="005F7ED3" w:rsidP="00C43FFB">
      <w:pPr>
        <w:spacing w:after="0" w:line="240" w:lineRule="auto"/>
      </w:pPr>
      <w:r>
        <w:separator/>
      </w:r>
    </w:p>
  </w:footnote>
  <w:footnote w:type="continuationSeparator" w:id="0">
    <w:p w:rsidR="005F7ED3" w:rsidRDefault="005F7ED3" w:rsidP="00C43F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ED3"/>
    <w:rsid w:val="000032CB"/>
    <w:rsid w:val="000210FA"/>
    <w:rsid w:val="00043A6D"/>
    <w:rsid w:val="00045208"/>
    <w:rsid w:val="00091EAB"/>
    <w:rsid w:val="000A767A"/>
    <w:rsid w:val="00110549"/>
    <w:rsid w:val="001139B3"/>
    <w:rsid w:val="00141124"/>
    <w:rsid w:val="00197742"/>
    <w:rsid w:val="001B1C89"/>
    <w:rsid w:val="001C5780"/>
    <w:rsid w:val="002175F6"/>
    <w:rsid w:val="00230A8A"/>
    <w:rsid w:val="00231450"/>
    <w:rsid w:val="00237359"/>
    <w:rsid w:val="00266360"/>
    <w:rsid w:val="002F0DBC"/>
    <w:rsid w:val="00353FAD"/>
    <w:rsid w:val="003C1436"/>
    <w:rsid w:val="003C27C1"/>
    <w:rsid w:val="003E0C44"/>
    <w:rsid w:val="003E501C"/>
    <w:rsid w:val="00401094"/>
    <w:rsid w:val="00452213"/>
    <w:rsid w:val="00453B6C"/>
    <w:rsid w:val="00483920"/>
    <w:rsid w:val="0049642F"/>
    <w:rsid w:val="004E1BDA"/>
    <w:rsid w:val="004F1113"/>
    <w:rsid w:val="004F3B94"/>
    <w:rsid w:val="005179BF"/>
    <w:rsid w:val="005532C1"/>
    <w:rsid w:val="00553EC7"/>
    <w:rsid w:val="00560CB5"/>
    <w:rsid w:val="00590688"/>
    <w:rsid w:val="005A6813"/>
    <w:rsid w:val="005B6C89"/>
    <w:rsid w:val="005F7ED3"/>
    <w:rsid w:val="006025BD"/>
    <w:rsid w:val="006241B3"/>
    <w:rsid w:val="00640AA2"/>
    <w:rsid w:val="00691DEB"/>
    <w:rsid w:val="00697148"/>
    <w:rsid w:val="006A069E"/>
    <w:rsid w:val="006A6126"/>
    <w:rsid w:val="006B18F6"/>
    <w:rsid w:val="006C22D7"/>
    <w:rsid w:val="006D6FFA"/>
    <w:rsid w:val="006F1A72"/>
    <w:rsid w:val="006F304C"/>
    <w:rsid w:val="006F563D"/>
    <w:rsid w:val="0070609B"/>
    <w:rsid w:val="0072131E"/>
    <w:rsid w:val="00754752"/>
    <w:rsid w:val="007746BA"/>
    <w:rsid w:val="007826F6"/>
    <w:rsid w:val="007A0E20"/>
    <w:rsid w:val="007E196A"/>
    <w:rsid w:val="00895B16"/>
    <w:rsid w:val="008A5A56"/>
    <w:rsid w:val="008B62EF"/>
    <w:rsid w:val="008C5050"/>
    <w:rsid w:val="008C571B"/>
    <w:rsid w:val="009038EB"/>
    <w:rsid w:val="009463F6"/>
    <w:rsid w:val="00965FDC"/>
    <w:rsid w:val="00966716"/>
    <w:rsid w:val="00996F3F"/>
    <w:rsid w:val="009D3D9C"/>
    <w:rsid w:val="00A51D6C"/>
    <w:rsid w:val="00A55493"/>
    <w:rsid w:val="00A66CE8"/>
    <w:rsid w:val="00A92CDE"/>
    <w:rsid w:val="00A939B0"/>
    <w:rsid w:val="00AC5B95"/>
    <w:rsid w:val="00AD0CCF"/>
    <w:rsid w:val="00AD59B1"/>
    <w:rsid w:val="00AF474F"/>
    <w:rsid w:val="00AF5103"/>
    <w:rsid w:val="00B20631"/>
    <w:rsid w:val="00BB13DD"/>
    <w:rsid w:val="00BD217E"/>
    <w:rsid w:val="00BD2D51"/>
    <w:rsid w:val="00BE79E8"/>
    <w:rsid w:val="00BF087B"/>
    <w:rsid w:val="00BF3709"/>
    <w:rsid w:val="00C0133F"/>
    <w:rsid w:val="00C208A1"/>
    <w:rsid w:val="00C43FFB"/>
    <w:rsid w:val="00C82084"/>
    <w:rsid w:val="00C82DB1"/>
    <w:rsid w:val="00C965B4"/>
    <w:rsid w:val="00CA01D6"/>
    <w:rsid w:val="00CA0DCA"/>
    <w:rsid w:val="00CD1428"/>
    <w:rsid w:val="00CD25B3"/>
    <w:rsid w:val="00CD2689"/>
    <w:rsid w:val="00CF048B"/>
    <w:rsid w:val="00D04011"/>
    <w:rsid w:val="00D268DA"/>
    <w:rsid w:val="00D30D7A"/>
    <w:rsid w:val="00D444EC"/>
    <w:rsid w:val="00D553B8"/>
    <w:rsid w:val="00D77FAA"/>
    <w:rsid w:val="00D9672A"/>
    <w:rsid w:val="00DA021B"/>
    <w:rsid w:val="00DC1356"/>
    <w:rsid w:val="00DF2E56"/>
    <w:rsid w:val="00E06079"/>
    <w:rsid w:val="00E17FB6"/>
    <w:rsid w:val="00E315A0"/>
    <w:rsid w:val="00E41E5B"/>
    <w:rsid w:val="00E64867"/>
    <w:rsid w:val="00EB3DB9"/>
    <w:rsid w:val="00ED083C"/>
    <w:rsid w:val="00ED4C04"/>
    <w:rsid w:val="00ED6DF5"/>
    <w:rsid w:val="00EF6D79"/>
    <w:rsid w:val="00F17155"/>
    <w:rsid w:val="00F44313"/>
    <w:rsid w:val="00F445CD"/>
    <w:rsid w:val="00F57103"/>
    <w:rsid w:val="00F647BA"/>
    <w:rsid w:val="00F65421"/>
    <w:rsid w:val="00FD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7ED3"/>
    <w:rPr>
      <w:rFonts w:ascii="Calibri" w:eastAsia="Times New Roman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95B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95B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MH1">
    <w:name w:val="SM_H1"/>
    <w:basedOn w:val="berschrift1"/>
    <w:next w:val="Standard"/>
    <w:link w:val="SMH1Char"/>
    <w:qFormat/>
    <w:rsid w:val="00895B16"/>
    <w:pPr>
      <w:keepNext w:val="0"/>
      <w:keepLines w:val="0"/>
      <w:spacing w:before="600" w:line="360" w:lineRule="auto"/>
    </w:pPr>
    <w:rPr>
      <w:iCs/>
      <w:color w:val="0070C0"/>
      <w:szCs w:val="32"/>
    </w:rPr>
  </w:style>
  <w:style w:type="character" w:customStyle="1" w:styleId="SMH1Char">
    <w:name w:val="SM_H1 Char"/>
    <w:basedOn w:val="berschrift1Zchn"/>
    <w:link w:val="SMH1"/>
    <w:rsid w:val="00895B16"/>
    <w:rPr>
      <w:rFonts w:asciiTheme="majorHAnsi" w:eastAsiaTheme="majorEastAsia" w:hAnsiTheme="majorHAnsi" w:cstheme="majorBidi"/>
      <w:b/>
      <w:bCs/>
      <w:iCs/>
      <w:color w:val="0070C0"/>
      <w:sz w:val="28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95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MH2">
    <w:name w:val="SM_H2"/>
    <w:basedOn w:val="Standard"/>
    <w:next w:val="Standard"/>
    <w:link w:val="SMH2Char"/>
    <w:qFormat/>
    <w:rsid w:val="00895B16"/>
    <w:pPr>
      <w:spacing w:before="600" w:after="0" w:line="360" w:lineRule="auto"/>
      <w:outlineLvl w:val="1"/>
    </w:pPr>
    <w:rPr>
      <w:rFonts w:ascii="Times New Roman" w:eastAsiaTheme="majorEastAsia" w:hAnsi="Times New Roman" w:cstheme="majorBidi"/>
      <w:b/>
      <w:bCs/>
      <w:iCs/>
      <w:sz w:val="24"/>
      <w:szCs w:val="32"/>
      <w:lang w:val="de-DE"/>
    </w:rPr>
  </w:style>
  <w:style w:type="character" w:customStyle="1" w:styleId="SMH2Char">
    <w:name w:val="SM_H2 Char"/>
    <w:basedOn w:val="Absatz-Standardschriftart"/>
    <w:link w:val="SMH2"/>
    <w:rsid w:val="00895B16"/>
    <w:rPr>
      <w:rFonts w:ascii="Times New Roman" w:eastAsiaTheme="majorEastAsia" w:hAnsi="Times New Roman" w:cstheme="majorBidi"/>
      <w:b/>
      <w:bCs/>
      <w:iCs/>
      <w:sz w:val="24"/>
      <w:szCs w:val="32"/>
      <w:lang w:val="de-DE"/>
    </w:rPr>
  </w:style>
  <w:style w:type="paragraph" w:customStyle="1" w:styleId="SMH3">
    <w:name w:val="SM_H3"/>
    <w:basedOn w:val="berschrift3"/>
    <w:next w:val="Standard"/>
    <w:link w:val="SMH3Char"/>
    <w:qFormat/>
    <w:rsid w:val="000A767A"/>
    <w:pPr>
      <w:keepNext w:val="0"/>
      <w:keepLines w:val="0"/>
      <w:spacing w:before="320" w:line="360" w:lineRule="auto"/>
    </w:pPr>
    <w:rPr>
      <w:b w:val="0"/>
      <w:i/>
      <w:iCs/>
      <w:color w:val="1F497D" w:themeColor="text2"/>
      <w:sz w:val="24"/>
      <w:szCs w:val="26"/>
      <w:lang w:val="de-DE"/>
    </w:rPr>
  </w:style>
  <w:style w:type="character" w:customStyle="1" w:styleId="SMH3Char">
    <w:name w:val="SM_H3 Char"/>
    <w:basedOn w:val="berschrift3Zchn"/>
    <w:link w:val="SMH3"/>
    <w:rsid w:val="000A767A"/>
    <w:rPr>
      <w:rFonts w:asciiTheme="majorHAnsi" w:eastAsiaTheme="majorEastAsia" w:hAnsiTheme="majorHAnsi" w:cstheme="majorBidi"/>
      <w:b w:val="0"/>
      <w:bCs/>
      <w:i/>
      <w:iCs/>
      <w:color w:val="1F497D" w:themeColor="text2"/>
      <w:sz w:val="24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95B1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MT">
    <w:name w:val="SM_T"/>
    <w:basedOn w:val="Titel"/>
    <w:next w:val="Standard"/>
    <w:link w:val="SMTChar"/>
    <w:qFormat/>
    <w:rsid w:val="00895B16"/>
    <w:pPr>
      <w:pBdr>
        <w:bottom w:val="none" w:sz="0" w:space="0" w:color="auto"/>
      </w:pBdr>
      <w:spacing w:after="240"/>
      <w:contextualSpacing w:val="0"/>
    </w:pPr>
    <w:rPr>
      <w:rFonts w:ascii="Times New Roman" w:hAnsi="Times New Roman" w:cs="Times New Roman"/>
      <w:b/>
      <w:bCs/>
      <w:iCs/>
      <w:spacing w:val="10"/>
      <w:sz w:val="32"/>
      <w:szCs w:val="60"/>
      <w:lang w:val="de-DE"/>
    </w:rPr>
  </w:style>
  <w:style w:type="character" w:customStyle="1" w:styleId="SMTChar">
    <w:name w:val="SM_T Char"/>
    <w:basedOn w:val="TitelZchn"/>
    <w:link w:val="SMT"/>
    <w:rsid w:val="00895B16"/>
    <w:rPr>
      <w:rFonts w:ascii="Times New Roman" w:eastAsiaTheme="majorEastAsia" w:hAnsi="Times New Roman" w:cs="Times New Roman"/>
      <w:b/>
      <w:bCs/>
      <w:iCs/>
      <w:color w:val="17365D" w:themeColor="text2" w:themeShade="BF"/>
      <w:spacing w:val="10"/>
      <w:kern w:val="28"/>
      <w:sz w:val="32"/>
      <w:szCs w:val="60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895B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95B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C43FF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43FFB"/>
  </w:style>
  <w:style w:type="paragraph" w:styleId="Fuzeile">
    <w:name w:val="footer"/>
    <w:basedOn w:val="Standard"/>
    <w:link w:val="FuzeileZchn"/>
    <w:uiPriority w:val="99"/>
    <w:unhideWhenUsed/>
    <w:rsid w:val="00C43FF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43FFB"/>
  </w:style>
  <w:style w:type="paragraph" w:styleId="KeinLeerraum">
    <w:name w:val="No Spacing"/>
    <w:uiPriority w:val="1"/>
    <w:qFormat/>
    <w:rsid w:val="00D268DA"/>
    <w:pPr>
      <w:spacing w:after="0" w:line="240" w:lineRule="auto"/>
    </w:pPr>
  </w:style>
  <w:style w:type="paragraph" w:customStyle="1" w:styleId="code">
    <w:name w:val="code"/>
    <w:basedOn w:val="Standard"/>
    <w:next w:val="Standard"/>
    <w:link w:val="codeChar"/>
    <w:autoRedefine/>
    <w:qFormat/>
    <w:rsid w:val="00CA01D6"/>
    <w:rPr>
      <w:rFonts w:ascii="Courier New" w:eastAsiaTheme="minorHAnsi" w:hAnsi="Courier New" w:cs="Courier New"/>
      <w:bCs/>
      <w:color w:val="4F81BD" w:themeColor="accent1"/>
      <w:sz w:val="20"/>
      <w:szCs w:val="20"/>
    </w:rPr>
  </w:style>
  <w:style w:type="character" w:customStyle="1" w:styleId="codeChar">
    <w:name w:val="code Char"/>
    <w:basedOn w:val="Absatz-Standardschriftart"/>
    <w:link w:val="code"/>
    <w:rsid w:val="00CA01D6"/>
    <w:rPr>
      <w:rFonts w:ascii="Courier New" w:hAnsi="Courier New" w:cs="Courier New"/>
      <w:bCs/>
      <w:color w:val="4F81BD" w:themeColor="accent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7ED3"/>
    <w:rPr>
      <w:rFonts w:ascii="Calibri" w:eastAsia="Times New Roman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95B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95B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MH1">
    <w:name w:val="SM_H1"/>
    <w:basedOn w:val="berschrift1"/>
    <w:next w:val="Standard"/>
    <w:link w:val="SMH1Char"/>
    <w:qFormat/>
    <w:rsid w:val="00895B16"/>
    <w:pPr>
      <w:keepNext w:val="0"/>
      <w:keepLines w:val="0"/>
      <w:spacing w:before="600" w:line="360" w:lineRule="auto"/>
    </w:pPr>
    <w:rPr>
      <w:iCs/>
      <w:color w:val="0070C0"/>
      <w:szCs w:val="32"/>
    </w:rPr>
  </w:style>
  <w:style w:type="character" w:customStyle="1" w:styleId="SMH1Char">
    <w:name w:val="SM_H1 Char"/>
    <w:basedOn w:val="berschrift1Zchn"/>
    <w:link w:val="SMH1"/>
    <w:rsid w:val="00895B16"/>
    <w:rPr>
      <w:rFonts w:asciiTheme="majorHAnsi" w:eastAsiaTheme="majorEastAsia" w:hAnsiTheme="majorHAnsi" w:cstheme="majorBidi"/>
      <w:b/>
      <w:bCs/>
      <w:iCs/>
      <w:color w:val="0070C0"/>
      <w:sz w:val="28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95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MH2">
    <w:name w:val="SM_H2"/>
    <w:basedOn w:val="Standard"/>
    <w:next w:val="Standard"/>
    <w:link w:val="SMH2Char"/>
    <w:qFormat/>
    <w:rsid w:val="00895B16"/>
    <w:pPr>
      <w:spacing w:before="600" w:after="0" w:line="360" w:lineRule="auto"/>
      <w:outlineLvl w:val="1"/>
    </w:pPr>
    <w:rPr>
      <w:rFonts w:ascii="Times New Roman" w:eastAsiaTheme="majorEastAsia" w:hAnsi="Times New Roman" w:cstheme="majorBidi"/>
      <w:b/>
      <w:bCs/>
      <w:iCs/>
      <w:sz w:val="24"/>
      <w:szCs w:val="32"/>
      <w:lang w:val="de-DE"/>
    </w:rPr>
  </w:style>
  <w:style w:type="character" w:customStyle="1" w:styleId="SMH2Char">
    <w:name w:val="SM_H2 Char"/>
    <w:basedOn w:val="Absatz-Standardschriftart"/>
    <w:link w:val="SMH2"/>
    <w:rsid w:val="00895B16"/>
    <w:rPr>
      <w:rFonts w:ascii="Times New Roman" w:eastAsiaTheme="majorEastAsia" w:hAnsi="Times New Roman" w:cstheme="majorBidi"/>
      <w:b/>
      <w:bCs/>
      <w:iCs/>
      <w:sz w:val="24"/>
      <w:szCs w:val="32"/>
      <w:lang w:val="de-DE"/>
    </w:rPr>
  </w:style>
  <w:style w:type="paragraph" w:customStyle="1" w:styleId="SMH3">
    <w:name w:val="SM_H3"/>
    <w:basedOn w:val="berschrift3"/>
    <w:next w:val="Standard"/>
    <w:link w:val="SMH3Char"/>
    <w:qFormat/>
    <w:rsid w:val="000A767A"/>
    <w:pPr>
      <w:keepNext w:val="0"/>
      <w:keepLines w:val="0"/>
      <w:spacing w:before="320" w:line="360" w:lineRule="auto"/>
    </w:pPr>
    <w:rPr>
      <w:b w:val="0"/>
      <w:i/>
      <w:iCs/>
      <w:color w:val="1F497D" w:themeColor="text2"/>
      <w:sz w:val="24"/>
      <w:szCs w:val="26"/>
      <w:lang w:val="de-DE"/>
    </w:rPr>
  </w:style>
  <w:style w:type="character" w:customStyle="1" w:styleId="SMH3Char">
    <w:name w:val="SM_H3 Char"/>
    <w:basedOn w:val="berschrift3Zchn"/>
    <w:link w:val="SMH3"/>
    <w:rsid w:val="000A767A"/>
    <w:rPr>
      <w:rFonts w:asciiTheme="majorHAnsi" w:eastAsiaTheme="majorEastAsia" w:hAnsiTheme="majorHAnsi" w:cstheme="majorBidi"/>
      <w:b w:val="0"/>
      <w:bCs/>
      <w:i/>
      <w:iCs/>
      <w:color w:val="1F497D" w:themeColor="text2"/>
      <w:sz w:val="24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95B1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MT">
    <w:name w:val="SM_T"/>
    <w:basedOn w:val="Titel"/>
    <w:next w:val="Standard"/>
    <w:link w:val="SMTChar"/>
    <w:qFormat/>
    <w:rsid w:val="00895B16"/>
    <w:pPr>
      <w:pBdr>
        <w:bottom w:val="none" w:sz="0" w:space="0" w:color="auto"/>
      </w:pBdr>
      <w:spacing w:after="240"/>
      <w:contextualSpacing w:val="0"/>
    </w:pPr>
    <w:rPr>
      <w:rFonts w:ascii="Times New Roman" w:hAnsi="Times New Roman" w:cs="Times New Roman"/>
      <w:b/>
      <w:bCs/>
      <w:iCs/>
      <w:spacing w:val="10"/>
      <w:sz w:val="32"/>
      <w:szCs w:val="60"/>
      <w:lang w:val="de-DE"/>
    </w:rPr>
  </w:style>
  <w:style w:type="character" w:customStyle="1" w:styleId="SMTChar">
    <w:name w:val="SM_T Char"/>
    <w:basedOn w:val="TitelZchn"/>
    <w:link w:val="SMT"/>
    <w:rsid w:val="00895B16"/>
    <w:rPr>
      <w:rFonts w:ascii="Times New Roman" w:eastAsiaTheme="majorEastAsia" w:hAnsi="Times New Roman" w:cs="Times New Roman"/>
      <w:b/>
      <w:bCs/>
      <w:iCs/>
      <w:color w:val="17365D" w:themeColor="text2" w:themeShade="BF"/>
      <w:spacing w:val="10"/>
      <w:kern w:val="28"/>
      <w:sz w:val="32"/>
      <w:szCs w:val="60"/>
      <w:lang w:val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895B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95B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C43FF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43FFB"/>
  </w:style>
  <w:style w:type="paragraph" w:styleId="Fuzeile">
    <w:name w:val="footer"/>
    <w:basedOn w:val="Standard"/>
    <w:link w:val="FuzeileZchn"/>
    <w:uiPriority w:val="99"/>
    <w:unhideWhenUsed/>
    <w:rsid w:val="00C43FF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43FFB"/>
  </w:style>
  <w:style w:type="paragraph" w:styleId="KeinLeerraum">
    <w:name w:val="No Spacing"/>
    <w:uiPriority w:val="1"/>
    <w:qFormat/>
    <w:rsid w:val="00D268DA"/>
    <w:pPr>
      <w:spacing w:after="0" w:line="240" w:lineRule="auto"/>
    </w:pPr>
  </w:style>
  <w:style w:type="paragraph" w:customStyle="1" w:styleId="code">
    <w:name w:val="code"/>
    <w:basedOn w:val="Standard"/>
    <w:next w:val="Standard"/>
    <w:link w:val="codeChar"/>
    <w:autoRedefine/>
    <w:qFormat/>
    <w:rsid w:val="00CA01D6"/>
    <w:rPr>
      <w:rFonts w:ascii="Courier New" w:eastAsiaTheme="minorHAnsi" w:hAnsi="Courier New" w:cs="Courier New"/>
      <w:bCs/>
      <w:color w:val="4F81BD" w:themeColor="accent1"/>
      <w:sz w:val="20"/>
      <w:szCs w:val="20"/>
    </w:rPr>
  </w:style>
  <w:style w:type="character" w:customStyle="1" w:styleId="codeChar">
    <w:name w:val="code Char"/>
    <w:basedOn w:val="Absatz-Standardschriftart"/>
    <w:link w:val="code"/>
    <w:rsid w:val="00CA01D6"/>
    <w:rPr>
      <w:rFonts w:ascii="Courier New" w:hAnsi="Courier New" w:cs="Courier New"/>
      <w:bCs/>
      <w:color w:val="4F81BD" w:themeColor="accen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2219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emeinl</cp:lastModifiedBy>
  <cp:revision>2</cp:revision>
  <dcterms:created xsi:type="dcterms:W3CDTF">2014-11-19T10:29:00Z</dcterms:created>
  <dcterms:modified xsi:type="dcterms:W3CDTF">2014-11-19T10:29:00Z</dcterms:modified>
</cp:coreProperties>
</file>