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AD587" w14:textId="77777777" w:rsidR="006D16F4" w:rsidRPr="005459C0" w:rsidRDefault="006D16F4" w:rsidP="006D16F4">
      <w:pPr>
        <w:pStyle w:val="Perdefecte"/>
        <w:pageBreakBefore/>
        <w:jc w:val="both"/>
        <w:rPr>
          <w:b/>
        </w:rPr>
      </w:pPr>
      <w:r w:rsidRPr="005459C0">
        <w:rPr>
          <w:rFonts w:cs="Times New Roman"/>
          <w:b/>
          <w:lang w:val="en-GB"/>
        </w:rPr>
        <w:t>Supplemental methods</w:t>
      </w:r>
    </w:p>
    <w:p w14:paraId="443EA636" w14:textId="77777777" w:rsidR="006D16F4" w:rsidRPr="005459C0" w:rsidRDefault="006D16F4" w:rsidP="006D16F4">
      <w:pPr>
        <w:pStyle w:val="Encapalament3"/>
        <w:jc w:val="both"/>
      </w:pPr>
      <w:bookmarkStart w:id="0" w:name="_Toc245820586"/>
      <w:bookmarkStart w:id="1" w:name="_Toc245866766"/>
      <w:bookmarkEnd w:id="0"/>
      <w:bookmarkEnd w:id="1"/>
      <w:r w:rsidRPr="005459C0">
        <w:rPr>
          <w:lang w:val="en-GB"/>
        </w:rPr>
        <w:t>Genotyping</w:t>
      </w:r>
    </w:p>
    <w:p w14:paraId="327B3D5C" w14:textId="77777777" w:rsidR="006D16F4" w:rsidRPr="005459C0" w:rsidRDefault="006D16F4" w:rsidP="006D16F4">
      <w:pPr>
        <w:pStyle w:val="Perdefecte"/>
        <w:ind w:firstLine="720"/>
        <w:jc w:val="both"/>
      </w:pPr>
      <w:r w:rsidRPr="005459C0">
        <w:rPr>
          <w:rFonts w:cs="Times New Roman"/>
          <w:lang w:val="en-GB"/>
        </w:rPr>
        <w:t>Mice were identified by PCR with tail genomic DNA as templates. The REDExtract-N-Amp Tissue PCR Kit (XNAT; Sigma-Aldrich, St. Louis, MO) was used to extract genomic DNA from mouse tails and amplify targets of interest by PCR according to manufacturer’s instructions. Four primers (a pair for wild type forward: 5´-CTA GGC CAC AGA ATT GAA AGA TCT-3´ and reverse: 5´-GTA GGT GGA AAT TCT AGC ATC ATC-3´ and for G93A forward: 5´-CAT CAG CCC TAA TCC ATC TGA-3´ and reverse: 5´-CGC GAC TAA CAA TCA AAG TGA-3´) were used to amplify selected bands from the inserted targeting vector. Briefly, the DNA is released from the tail tissue by incubating the sample with a mixture of the Extraction Solution and the Tissue Preparation Solution at room temperature for 10 minutes.</w:t>
      </w:r>
      <w:r w:rsidRPr="005459C0">
        <w:rPr>
          <w:lang w:val="en-GB"/>
        </w:rPr>
        <w:t xml:space="preserve"> </w:t>
      </w:r>
      <w:r w:rsidRPr="005459C0">
        <w:rPr>
          <w:rFonts w:cs="Times New Roman"/>
          <w:lang w:val="en-GB"/>
        </w:rPr>
        <w:t xml:space="preserve">After adding Neutralization Solution B, the extract is ready for PCR. A 4 </w:t>
      </w:r>
      <w:r w:rsidRPr="005459C0">
        <w:rPr>
          <w:rFonts w:ascii="Symbol" w:hAnsi="Symbol" w:cs="Times New Roman"/>
          <w:lang w:val="en-GB"/>
        </w:rPr>
        <w:t></w:t>
      </w:r>
      <w:r w:rsidRPr="005459C0">
        <w:rPr>
          <w:rFonts w:cs="Times New Roman"/>
          <w:lang w:val="en-GB"/>
        </w:rPr>
        <w:t>L aliquot of the neutralized extract is then combined with 10</w:t>
      </w:r>
      <w:r w:rsidRPr="005459C0">
        <w:rPr>
          <w:rFonts w:ascii="Symbol" w:hAnsi="Symbol" w:cs="Times New Roman"/>
          <w:lang w:val="en-GB"/>
        </w:rPr>
        <w:t></w:t>
      </w:r>
      <w:r w:rsidRPr="005459C0">
        <w:rPr>
          <w:rFonts w:ascii="Symbol" w:hAnsi="Symbol" w:cs="Times New Roman"/>
          <w:lang w:val="en-GB"/>
        </w:rPr>
        <w:t></w:t>
      </w:r>
      <w:r w:rsidRPr="005459C0">
        <w:rPr>
          <w:rFonts w:cs="Times New Roman"/>
          <w:lang w:val="en-GB"/>
        </w:rPr>
        <w:t>L of 2x REDExtract-N-Amp PCR Reaction Mix (buffer, salts, dNTPs, Taq polymerase, JumpStart Taq antibody and REDTaq® dye) and appropriate volumes of each primer and water (PCR grade; Sigma-Aldrich, St. Louis, MO). PCR conditions were: after 1 cycle of 3 minutes at 94°C, 35 cycles of 30 seconds at 94°C, 30 seconds at 66°C, and 1 minute at 72°C, with a final extension at 72°C for 10 min, using an Applied Biosystems 2740 v.2.08 (Carlsbad, CA) thermal cycler. As a control of effective PCR amplification, housekeeping gene interleukin 5 was used. The resulting PCR products were stored at 4˚C until direct loading onto an agarose gel. Products were electrophoresed for 30 minutes under constant voltage (100V) and imaged under a UV light (302 or 365 nm) lamp from Alpha Innotech (Santa Clara, CA) and analysed with Alpha Digidoc RT2 software (Santa Clara, CA).</w:t>
      </w:r>
    </w:p>
    <w:p w14:paraId="3CEDC0CC" w14:textId="77777777" w:rsidR="006D16F4" w:rsidRPr="005459C0" w:rsidRDefault="006D16F4" w:rsidP="006D16F4">
      <w:pPr>
        <w:pStyle w:val="Encapalament3"/>
        <w:jc w:val="both"/>
      </w:pPr>
      <w:bookmarkStart w:id="2" w:name="_Toc245820587"/>
      <w:bookmarkStart w:id="3" w:name="_Toc245866767"/>
      <w:r w:rsidRPr="005459C0">
        <w:rPr>
          <w:lang w:val="en-GB"/>
        </w:rPr>
        <w:t>Neurological scoring</w:t>
      </w:r>
      <w:bookmarkEnd w:id="2"/>
      <w:bookmarkEnd w:id="3"/>
      <w:r w:rsidRPr="005459C0">
        <w:rPr>
          <w:lang w:val="en-GB"/>
        </w:rPr>
        <w:t xml:space="preserve"> </w:t>
      </w:r>
    </w:p>
    <w:p w14:paraId="080A2BCD" w14:textId="77777777" w:rsidR="006D16F4" w:rsidRPr="005459C0" w:rsidRDefault="006D16F4" w:rsidP="006D16F4">
      <w:pPr>
        <w:pStyle w:val="Perdefecte"/>
        <w:ind w:firstLine="720"/>
        <w:jc w:val="both"/>
      </w:pPr>
      <w:r w:rsidRPr="005459C0">
        <w:rPr>
          <w:rFonts w:cs="Times New Roman"/>
          <w:lang w:val="en-GB"/>
        </w:rPr>
        <w:t xml:space="preserve">Neurological scoring was performed everyday for both hind legs for each mouse from 60 days of age. The neurological score employed a scale of 0 to 4 which was a slight variation of the scale developed by observation at Amyotrophic Lateral Sclerosis Therapy Development Institute (ALSTDI). Criteria used to assign each score level were as follows: score 0, full extension of hind legs away from lateral midline when mouse is suspended by its tail, and mouse can hold this for 2 seconds, suspended 2–3 times; score 1, collapse or partial collapse of leg extension towards lateral midline or trembling of hind legs during tail </w:t>
      </w:r>
      <w:r w:rsidRPr="005459C0">
        <w:rPr>
          <w:rFonts w:cs="Times New Roman"/>
          <w:lang w:val="en-GB"/>
        </w:rPr>
        <w:lastRenderedPageBreak/>
        <w:t>suspension; score 2, toes curl at least twice during walking a distance of 40cm, or when any part of the foot is dragged along the cage bottom or table (if one hind leg is scored as 2, food pellets are left on bedding and a long sipper tube is placed on the water bottle); score 3, rigid paralysis or minimal joint movement, foot not being used for forward motion; and, score 4, mouse can not right itself within 30 seconds from either side. When mice achieved a score of 4 for two alternate days, they were euthanized.</w:t>
      </w:r>
    </w:p>
    <w:p w14:paraId="093F1B36" w14:textId="77777777" w:rsidR="006D16F4" w:rsidRPr="005459C0" w:rsidRDefault="006D16F4" w:rsidP="006D16F4">
      <w:pPr>
        <w:pStyle w:val="Encapalament3"/>
        <w:jc w:val="both"/>
      </w:pPr>
      <w:bookmarkStart w:id="4" w:name="_Toc245820588"/>
      <w:bookmarkStart w:id="5" w:name="_Toc245866768"/>
      <w:bookmarkEnd w:id="4"/>
      <w:bookmarkEnd w:id="5"/>
      <w:r w:rsidRPr="005459C0">
        <w:rPr>
          <w:lang w:val="en-GB"/>
        </w:rPr>
        <w:t xml:space="preserve">Paw print analysis </w:t>
      </w:r>
    </w:p>
    <w:p w14:paraId="5503A1E2" w14:textId="77777777" w:rsidR="006D16F4" w:rsidRPr="005459C0" w:rsidRDefault="006D16F4" w:rsidP="006D16F4">
      <w:pPr>
        <w:pStyle w:val="Perdefecte"/>
        <w:ind w:firstLine="720"/>
        <w:jc w:val="both"/>
      </w:pPr>
      <w:r w:rsidRPr="005459C0">
        <w:rPr>
          <w:rFonts w:cs="Times New Roman"/>
          <w:lang w:val="en-GB"/>
        </w:rPr>
        <w:t xml:space="preserve">Mice were trained to walk freely along a U-shaped plastic corridor (5 cm wide, 70 cm long) three times per week before data collection (average age 70 days). Once trained to perform stride length measurements, hind limbs were stained with non-toxic children paint and their tracks were imprinted on paper lining the floor of the corridor. Only continuous runs were selected among recorded paw prints and a minimum of 5-7 strides were measured per animal per day (measures were taken three times per week). Since animals tended to run when released and walk slowly at the end of the corridor, those sections of the paw print were discarded for the stride length measurements. Three stride length measurements were taken manually as described previously </w:t>
      </w:r>
      <w:r w:rsidRPr="005459C0">
        <w:rPr>
          <w:rFonts w:cs="Times New Roman"/>
          <w:lang w:val="en-GB"/>
        </w:rPr>
        <w:fldChar w:fldCharType="begin" w:fldLock="1"/>
      </w:r>
      <w:r w:rsidRPr="005459C0">
        <w:rPr>
          <w:rFonts w:cs="Times New Roman"/>
          <w:lang w:val="en-GB"/>
        </w:rPr>
        <w:instrText>ADDIN CSL_CITATION { "citationItems" : [ { "id" : "ITEM-1", "itemData" : { "DOI" : "10.1006/mcne.1995.1027", "ISSN" : "1044-7431", "PMID" : "8846004", "abstract" : "The mutation gly93--&gt;ala of Cu,Zn superoxide dismutase (SOD) is found in patients with familial amyotrophic lateral sclerosis and causes motor neuron disease when expressed in transgenic mice. The progression of clinical and pathological disease was studied in a line of mice designated G1H. Clinical disease started at 91 +/- 14 days of age with fine shaking of the limbs, followed by paralysis and death by 136 +/- 7 days of age. Pathological changes begin by 37 days of age with vacuoles derived from swollen mitochondria accumulating in motor neurons. At the onset of clinical disease (90 days), significant death of somatic motor neurons innervating limb muscles has occurred; mice at end-stage disease (136 days) show up to 50% loss of cervical and lumbar motor neurons. However, neither thoracic nor cranial motor neurons show appreciable loss despite vacuolar changes. Autonomic motor neurons also are not affected. Mice that express wild-type human Cu,Zn SOD remain free of disease, indicating that mutations cause neuron loss by a gain-of-function. Thus, the age-dependent penetrance of motor neuron disease in this transgenic model is due to the gradual accumulation of pathological damage in select populations of cholinergic neurons.", "author" : [ { "dropping-particle" : "", "family" : "Chiu", "given" : "A Y", "non-dropping-particle" : "", "parse-names" : false, "suffix" : "" }, { "dropping-particle" : "", "family" : "Zhai", "given" : "P", "non-dropping-particle" : "", "parse-names" : false, "suffix" : "" }, { "dropping-particle" : "", "family" : "Dal Canto", "given" : "M C", "non-dropping-particle" : "", "parse-names" : false, "suffix" : "" }, { "dropping-particle" : "", "family" : "Peters", "given" : "T M", "non-dropping-particle" : "", "parse-names" : false, "suffix" : "" }, { "dropping-particle" : "", "family" : "Kwon", "given" : "Y W", "non-dropping-particle" : "", "parse-names" : false, "suffix" : "" }, { "dropping-particle" : "", "family" : "Prattis", "given" : "S M", "non-dropping-particle" : "", "parse-names" : false, "suffix" : "" }, { "dropping-particle" : "", "family" : "Gurney", "given" : "M E", "non-dropping-particle" : "", "parse-names" : false, "suffix" : "" } ], "container-title" : "Molecular and cellular neurosciences", "id" : "ITEM-1", "issue" : "4", "issued" : { "date-parts" : [ [ "1995", "8" ] ] }, "page" : "349-62", "title" : "Age-dependent penetrance of disease in a transgenic mouse model of familial amyotrophic lateral sclerosis.", "type" : "article-journal", "volume" : "6" }, "uris" : [ "http://www.mendeley.com/documents/?uuid=c2de2c09-5f9b-49bd-8a5a-3b666a4b8629" ] } ], "mendeley" : { "formattedCitation" : "[1]", "plainTextFormattedCitation" : "[1]", "previouslyFormattedCitation" : "[1]" }, "properties" : { "noteIndex" : 0 }, "schema" : "https://github.com/citation-style-language/schema/raw/master/csl-citation.json" }</w:instrText>
      </w:r>
      <w:r w:rsidRPr="005459C0">
        <w:rPr>
          <w:rFonts w:cs="Times New Roman"/>
          <w:lang w:val="en-GB"/>
        </w:rPr>
        <w:fldChar w:fldCharType="separate"/>
      </w:r>
      <w:r w:rsidRPr="005459C0">
        <w:rPr>
          <w:rFonts w:cs="Times New Roman"/>
          <w:noProof/>
          <w:lang w:val="en-GB"/>
        </w:rPr>
        <w:t>[1]</w:t>
      </w:r>
      <w:r w:rsidRPr="005459C0">
        <w:rPr>
          <w:rFonts w:cs="Times New Roman"/>
          <w:lang w:val="en-GB"/>
        </w:rPr>
        <w:fldChar w:fldCharType="end"/>
      </w:r>
      <w:r w:rsidRPr="005459C0">
        <w:rPr>
          <w:rFonts w:cs="Times New Roman"/>
          <w:lang w:val="en-GB"/>
        </w:rPr>
        <w:t xml:space="preserve">: front and back stride, and front-to-back distance. Fifty total measures were taken for each measurement. Front stride and back stride were collected as a straight line from paw print to the following paw print. Front-to-back distance was collected as a straight line from back paw print to corresponding front paw print. Correspondence was based on closest front footprint. The distance was recorded as length of line from paw to the stride line opposite the paw print. Since only number of the randomized animal and date identified the recorded </w:t>
      </w:r>
      <w:r w:rsidRPr="005459C0">
        <w:rPr>
          <w:lang w:val="en-GB"/>
        </w:rPr>
        <w:t>tracks, measurement of stride length was determined in a blinded manner.</w:t>
      </w:r>
      <w:r w:rsidRPr="005459C0">
        <w:rPr>
          <w:rFonts w:cs="Times New Roman"/>
          <w:lang w:val="en-GB"/>
        </w:rPr>
        <w:t xml:space="preserve"> The onset of clinical weakness was quantified by determining the age at which shortening of the stride length was lower than 40% for two consecutive measures.</w:t>
      </w:r>
    </w:p>
    <w:p w14:paraId="07664EF2" w14:textId="77777777" w:rsidR="006D16F4" w:rsidRPr="005459C0" w:rsidRDefault="006D16F4" w:rsidP="006D16F4">
      <w:pPr>
        <w:pStyle w:val="Perdefecte"/>
        <w:ind w:firstLine="720"/>
        <w:jc w:val="both"/>
      </w:pPr>
    </w:p>
    <w:p w14:paraId="7AEF4658" w14:textId="77777777" w:rsidR="006D16F4" w:rsidRPr="005459C0" w:rsidRDefault="006D16F4" w:rsidP="006D16F4">
      <w:pPr>
        <w:pStyle w:val="Perdefecte"/>
        <w:jc w:val="both"/>
      </w:pPr>
      <w:r w:rsidRPr="005459C0">
        <w:rPr>
          <w:rFonts w:cs="Times New Roman"/>
          <w:i/>
          <w:lang w:val="en-GB"/>
        </w:rPr>
        <w:t>Respirometry analysis</w:t>
      </w:r>
    </w:p>
    <w:p w14:paraId="486A9328" w14:textId="77777777" w:rsidR="006D16F4" w:rsidRPr="005459C0" w:rsidRDefault="006D16F4" w:rsidP="006D16F4">
      <w:pPr>
        <w:pStyle w:val="Perdefecte"/>
        <w:ind w:firstLine="720"/>
        <w:jc w:val="both"/>
      </w:pPr>
      <w:r w:rsidRPr="005459C0">
        <w:rPr>
          <w:rFonts w:cs="Times New Roman"/>
          <w:bCs/>
          <w:lang w:val="en-GB"/>
        </w:rPr>
        <w:t>Spinal cord permeabilization was a modification of a previously published method</w:t>
      </w:r>
      <w:r w:rsidRPr="005459C0">
        <w:rPr>
          <w:rFonts w:cs="Times New Roman"/>
          <w:bCs/>
          <w:lang w:val="en-GB"/>
        </w:rPr>
        <w:fldChar w:fldCharType="begin" w:fldLock="1"/>
      </w:r>
      <w:r w:rsidRPr="005459C0">
        <w:rPr>
          <w:rFonts w:cs="Times New Roman"/>
          <w:bCs/>
          <w:lang w:val="en-GB"/>
        </w:rPr>
        <w:instrText>ADDIN CSL_CITATION { "citationItems" : [ { "id" : "ITEM-1", "itemData" : { "DOI" : "10.1016/j.jneumeth.2004.02.027", "ISSN" : "0165-0270", "author" : [ { "dropping-particle" : "", "family" : "Safiulina", "given" : "Dzhamilja", "non-dropping-particle" : "", "parse-names" : false, "suffix" : "" }, { "dropping-particle" : "", "family" : "Kaasik", "given" : "Allen", "non-dropping-particle" : "", "parse-names" : false, "suffix" : "" }, { "dropping-particle" : "", "family" : "Seppet", "given" : "Evelin", "non-dropping-particle" : "", "parse-names" : false, "suffix" : "" }, { "dropping-particle" : "", "family" : "Peet", "given" : "Nadezhda", "non-dropping-particle" : "", "parse-names" : false, "suffix" : "" }, { "dropping-particle" : "", "family" : "Zharkovsky", "given" : "Alexander", "non-dropping-particle" : "", "parse-names" : false, "suffix" : "" }, { "dropping-particle" : "", "family" : "Seppet", "given" : "Enn", "non-dropping-particle" : "", "parse-names" : false, "suffix" : "" } ], "container-title" : "Journal of Neuroscience Methods", "id" : "ITEM-1", "issue" : "1", "issued" : { "date-parts" : [ [ "2004" ] ] }, "page" : "87-95", "publisher" : "Elsevier BV", "title" : "Method for in situ detection of the mitochondrial function in neurons", "type" : "article-journal", "volume" : "137" }, "uris" : [ "http://www.mendeley.com/documents/?uuid=743b5eed-ce00-4fbd-9adf-6bfd6e7ba7ba" ] } ], "mendeley" : { "formattedCitation" : "[2]", "plainTextFormattedCitation" : "[2]", "previouslyFormattedCitation" : "[2]" }, "properties" : { "noteIndex" : 0 }, "schema" : "https://github.com/citation-style-language/schema/raw/master/csl-citation.json" }</w:instrText>
      </w:r>
      <w:r w:rsidRPr="005459C0">
        <w:rPr>
          <w:rFonts w:cs="Times New Roman"/>
          <w:bCs/>
          <w:lang w:val="en-GB"/>
        </w:rPr>
        <w:fldChar w:fldCharType="separate"/>
      </w:r>
      <w:r w:rsidRPr="005459C0">
        <w:rPr>
          <w:rFonts w:cs="Times New Roman"/>
          <w:bCs/>
          <w:noProof/>
          <w:lang w:val="en-GB"/>
        </w:rPr>
        <w:t>[2]</w:t>
      </w:r>
      <w:r w:rsidRPr="005459C0">
        <w:rPr>
          <w:rFonts w:cs="Times New Roman"/>
          <w:bCs/>
          <w:lang w:val="en-GB"/>
        </w:rPr>
        <w:fldChar w:fldCharType="end"/>
      </w:r>
      <w:r w:rsidRPr="005459C0">
        <w:rPr>
          <w:rFonts w:cs="Times New Roman"/>
          <w:bCs/>
          <w:lang w:val="en-GB"/>
        </w:rPr>
        <w:t>. About 12-15 slices of the lumbar region were collected and transferred quickly into individual wells of a 6-well tissue culture plate with 2 ml of ice-cold permeabilization medium (</w:t>
      </w:r>
      <w:r w:rsidRPr="005459C0">
        <w:rPr>
          <w:rFonts w:cs="Times New Roman"/>
          <w:lang w:val="en-GB"/>
        </w:rPr>
        <w:t>in mM: 7.23 potassium ethylene glycol-bis(b-aminoethyl ether)</w:t>
      </w:r>
      <w:r w:rsidRPr="005459C0">
        <w:rPr>
          <w:rFonts w:cs="Times New Roman"/>
          <w:i/>
          <w:iCs/>
          <w:lang w:val="en-GB"/>
        </w:rPr>
        <w:t>N</w:t>
      </w:r>
      <w:r w:rsidRPr="005459C0">
        <w:rPr>
          <w:rFonts w:cs="Times New Roman"/>
          <w:lang w:val="en-GB"/>
        </w:rPr>
        <w:t>,</w:t>
      </w:r>
      <w:r w:rsidRPr="005459C0">
        <w:rPr>
          <w:rFonts w:cs="Times New Roman"/>
          <w:i/>
          <w:iCs/>
          <w:lang w:val="en-GB"/>
        </w:rPr>
        <w:t>N</w:t>
      </w:r>
      <w:r w:rsidRPr="005459C0">
        <w:rPr>
          <w:rFonts w:cs="Times New Roman"/>
          <w:lang w:val="en-GB"/>
        </w:rPr>
        <w:t>,</w:t>
      </w:r>
      <w:r w:rsidRPr="005459C0">
        <w:rPr>
          <w:rFonts w:cs="Times New Roman"/>
          <w:i/>
          <w:iCs/>
          <w:lang w:val="en-GB"/>
        </w:rPr>
        <w:t>N’</w:t>
      </w:r>
      <w:r w:rsidRPr="005459C0">
        <w:rPr>
          <w:rFonts w:cs="Times New Roman"/>
          <w:lang w:val="en-GB"/>
        </w:rPr>
        <w:t>,</w:t>
      </w:r>
      <w:r w:rsidRPr="005459C0">
        <w:rPr>
          <w:rFonts w:cs="Times New Roman"/>
          <w:i/>
          <w:iCs/>
          <w:lang w:val="en-GB"/>
        </w:rPr>
        <w:t>N’</w:t>
      </w:r>
      <w:r w:rsidRPr="005459C0">
        <w:rPr>
          <w:rFonts w:cs="Times New Roman"/>
          <w:lang w:val="en-GB"/>
        </w:rPr>
        <w:t>-tetraacetate (K</w:t>
      </w:r>
      <w:r w:rsidRPr="005459C0">
        <w:rPr>
          <w:rFonts w:cs="Times New Roman"/>
          <w:vertAlign w:val="subscript"/>
          <w:lang w:val="en-GB"/>
        </w:rPr>
        <w:t>2</w:t>
      </w:r>
      <w:r w:rsidRPr="005459C0">
        <w:rPr>
          <w:rFonts w:cs="Times New Roman"/>
          <w:lang w:val="en-GB"/>
        </w:rPr>
        <w:t xml:space="preserve"> EGTA), 2.77 CaK</w:t>
      </w:r>
      <w:r w:rsidRPr="005459C0">
        <w:rPr>
          <w:rFonts w:cs="Times New Roman"/>
          <w:vertAlign w:val="subscript"/>
          <w:lang w:val="en-GB"/>
        </w:rPr>
        <w:t>2</w:t>
      </w:r>
      <w:r w:rsidRPr="005459C0">
        <w:rPr>
          <w:rFonts w:cs="Times New Roman"/>
          <w:lang w:val="en-GB"/>
        </w:rPr>
        <w:t xml:space="preserve"> EGTA, 60 </w:t>
      </w:r>
      <w:r w:rsidRPr="005459C0">
        <w:rPr>
          <w:rFonts w:cs="Times New Roman"/>
          <w:i/>
          <w:iCs/>
          <w:lang w:val="en-GB"/>
        </w:rPr>
        <w:t>N</w:t>
      </w:r>
      <w:r w:rsidRPr="005459C0">
        <w:rPr>
          <w:rFonts w:cs="Times New Roman"/>
          <w:lang w:val="en-GB"/>
        </w:rPr>
        <w:t>,</w:t>
      </w:r>
      <w:r w:rsidRPr="005459C0">
        <w:rPr>
          <w:rFonts w:cs="Times New Roman"/>
          <w:i/>
          <w:iCs/>
          <w:lang w:val="en-GB"/>
        </w:rPr>
        <w:t>N</w:t>
      </w:r>
      <w:r w:rsidRPr="005459C0">
        <w:rPr>
          <w:rFonts w:cs="Times New Roman"/>
          <w:lang w:val="en-GB"/>
        </w:rPr>
        <w:t>-bis[2-hydroxyethyl]- 2-aminoethanesulfonic acid (BES), 5.69 MgATP, 20 taurine, 3 K</w:t>
      </w:r>
      <w:r w:rsidRPr="005459C0">
        <w:rPr>
          <w:rFonts w:cs="Times New Roman"/>
          <w:vertAlign w:val="subscript"/>
          <w:lang w:val="en-GB"/>
        </w:rPr>
        <w:t>2</w:t>
      </w:r>
      <w:r w:rsidRPr="005459C0">
        <w:rPr>
          <w:rFonts w:cs="Times New Roman"/>
          <w:lang w:val="en-GB"/>
        </w:rPr>
        <w:t xml:space="preserve">HPO4 , 0.5 dithiothreitol and 81 potassium methanesulfonate, pH </w:t>
      </w:r>
      <w:r w:rsidRPr="005459C0">
        <w:rPr>
          <w:rFonts w:cs="Times New Roman"/>
          <w:lang w:val="en-GB"/>
        </w:rPr>
        <w:lastRenderedPageBreak/>
        <w:t>7.1 at 25ºC)</w:t>
      </w:r>
      <w:r w:rsidRPr="005459C0">
        <w:rPr>
          <w:rFonts w:cs="Times New Roman"/>
          <w:bCs/>
          <w:lang w:val="en-GB"/>
        </w:rPr>
        <w:t>, rinsed and immediately transferred again into another well with the same medium containing 20 μl of saponin stock solution (5 mg/ml; final concentration 50 μg/ml). Lumbar spinal cord slices (LSCS) were then shaken by gentle agitation in the cold room (on ice) for 30 min. Afterwards, all samples were quickly transferred from the saponin permeabilization medium into 2 ml of respiration medium (in mM: 7.23 K</w:t>
      </w:r>
      <w:r w:rsidRPr="005459C0">
        <w:rPr>
          <w:rFonts w:cs="Times New Roman"/>
          <w:bCs/>
          <w:vertAlign w:val="subscript"/>
          <w:lang w:val="en-GB"/>
        </w:rPr>
        <w:t>2</w:t>
      </w:r>
      <w:r w:rsidRPr="005459C0">
        <w:rPr>
          <w:rFonts w:cs="Times New Roman"/>
          <w:bCs/>
          <w:lang w:val="en-GB"/>
        </w:rPr>
        <w:t xml:space="preserve"> EGTA, 2.77 CaK</w:t>
      </w:r>
      <w:r w:rsidRPr="005459C0">
        <w:rPr>
          <w:rFonts w:cs="Times New Roman"/>
          <w:bCs/>
          <w:vertAlign w:val="subscript"/>
          <w:lang w:val="en-GB"/>
        </w:rPr>
        <w:t>2</w:t>
      </w:r>
      <w:r w:rsidRPr="005459C0">
        <w:rPr>
          <w:rFonts w:cs="Times New Roman"/>
          <w:bCs/>
          <w:lang w:val="en-GB"/>
        </w:rPr>
        <w:t xml:space="preserve"> EGTA, 100 potassium salt of 2-(N-morpholino)ethanesulfonic acid (K-MES), 1.38 MgCl</w:t>
      </w:r>
      <w:r w:rsidRPr="005459C0">
        <w:rPr>
          <w:rFonts w:cs="Times New Roman"/>
          <w:bCs/>
          <w:vertAlign w:val="subscript"/>
          <w:lang w:val="en-GB"/>
        </w:rPr>
        <w:t>2</w:t>
      </w:r>
      <w:r w:rsidRPr="005459C0">
        <w:rPr>
          <w:rFonts w:cs="Times New Roman"/>
          <w:bCs/>
          <w:lang w:val="en-GB"/>
        </w:rPr>
        <w:t xml:space="preserve"> , 20 taurine, 3 K</w:t>
      </w:r>
      <w:r w:rsidRPr="005459C0">
        <w:rPr>
          <w:rFonts w:cs="Times New Roman"/>
          <w:bCs/>
          <w:vertAlign w:val="subscript"/>
          <w:lang w:val="en-GB"/>
        </w:rPr>
        <w:t>2</w:t>
      </w:r>
      <w:r w:rsidRPr="005459C0">
        <w:rPr>
          <w:rFonts w:cs="Times New Roman"/>
          <w:bCs/>
          <w:lang w:val="en-GB"/>
        </w:rPr>
        <w:t>HPO4 , 0.5 dithiothreitol, 20 imidazole and 5 mg/ml bovine serum albumine (BSA), pH 7.1 at 25ºC), and shaken by gentle agitation for 10 min in the cold room (on ice) before performing respirometry.</w:t>
      </w:r>
    </w:p>
    <w:p w14:paraId="3B9C42AB" w14:textId="77777777" w:rsidR="006D16F4" w:rsidRPr="005459C0" w:rsidRDefault="006D16F4" w:rsidP="006D16F4">
      <w:pPr>
        <w:pStyle w:val="Perdefecte"/>
        <w:ind w:firstLine="720"/>
        <w:jc w:val="both"/>
      </w:pPr>
      <w:r w:rsidRPr="005459C0">
        <w:rPr>
          <w:rFonts w:cs="Times New Roman"/>
          <w:lang w:val="en-GB"/>
        </w:rPr>
        <w:t xml:space="preserve"> In order to avoid tissue disaggregation, LSCSC required setting a slow bar stirring speed (150 rpm), but not too low to compromise homogeneity of substrate and oxygen concentrations in the measuring chambers, and, therefore, signal stability. Stirring speed for suspensions of N2A cells was set to 400 rpm after a trypan blue exclusion assay showed cell viability was &gt; 95% (data not shown) after 1 h of agitation. DatLab software (Oroboros Instruments, Innsbruck, Austria) was used for data acquisition (2 s time intervals) and analysis, which includes calculation of the time derivative of oxygen concentration and correction for instrumental background oxygen flux</w:t>
      </w:r>
      <w:r w:rsidRPr="005459C0">
        <w:rPr>
          <w:rFonts w:cs="Times New Roman"/>
          <w:lang w:val="en-GB"/>
        </w:rPr>
        <w:fldChar w:fldCharType="begin" w:fldLock="1"/>
      </w:r>
      <w:r w:rsidRPr="005459C0">
        <w:rPr>
          <w:rFonts w:cs="Times New Roman"/>
          <w:lang w:val="en-GB"/>
        </w:rPr>
        <w:instrText>ADDIN CSL_CITATION { "citationItems" : [ { "id" : "ITEM-1", "itemData" : { "ISSN" : "0034-5687; 0034-5687", "abstract" : "Oxygen limitation is generally considered as impairment of mitochondrial respiration under hypoxia and ischemia. Low intracellular oxygen levels under normoxia, however, imply mild oxygen limitation, provide protection from oxidative stress, and result from economical strategies for oxygen transport through the respiratory cascade to cytochrome c oxidase. Both perspectives relate to the critical oxygen pressure, which inhibits mitochondrial respiration. Based on methodological considerations of oxygen kinetics and a presentation of high-resolution respirometry, mitochondrial oxygen affinities (1/P(50)) are reviewed with particular emphasis on the turnover effect under control of adenosine diphosphate ADP concentration, which increases the P(50) in active states. ADP/O(2) flux ratios are high even under severe oxygen limitation, as demonstrated by calorespirometry. Oxygen limitation reduces the uncoupled respiration observed under control by ADP, as shown by relationships derived between ADP/O(2) flux ratios, respiratory control ratios, and ADP kinetics. Bioenergetics at low oxygen versus oxidative stress must be considered in the context of limitation of maximum aerobic activity, ischemia-reperfusion injury, mitochondrial signalling to apoptosis, and mitochondrial theories of ageing. ", "author" : [ { "dropping-particle" : "", "family" : "Gnaiger", "given" : "E", "non-dropping-particle" : "", "parse-names" : false, "suffix" : "" } ], "container-title" : "Respiration physiology", "id" : "ITEM-1", "issue" : "3", "issued" : { "date-parts" : [ [ "2001", "11", "15" ] ] }, "note" : "id: 1; LR: 20091111; JID: 0047142; 58-64-0 (Adenosine Diphosphate); 7782-44-7 (Oxygen); RF: 54; ppublish ", "page" : "277-297", "publisher-place" : "D. Swarovski Research Laboratory, Department of Transplant Surgery, University Hospital Innsbruck, Anichstrasse 35, 6020, Innsbruck, Austria. erich.gnaiger@uibk.ac.at", "title" : "Bioenergetics at low oxygen: dependence of respiration and phosphorylation on oxygen and adenosine diphosphate supply ", "type" : "article-journal", "volume" : "128" }, "uris" : [ "http://www.mendeley.com/documents/?uuid=b908fd82-7635-40c7-ba7f-3e71d9941d3f" ] } ], "mendeley" : { "formattedCitation" : "[3]", "plainTextFormattedCitation" : "[3]", "previouslyFormattedCitation" : "[3]" }, "properties" : { "noteIndex" : 0 }, "schema" : "https://github.com/citation-style-language/schema/raw/master/csl-citation.json" }</w:instrText>
      </w:r>
      <w:r w:rsidRPr="005459C0">
        <w:rPr>
          <w:rFonts w:cs="Times New Roman"/>
          <w:lang w:val="en-GB"/>
        </w:rPr>
        <w:fldChar w:fldCharType="separate"/>
      </w:r>
      <w:r w:rsidRPr="005459C0">
        <w:rPr>
          <w:rFonts w:cs="Times New Roman"/>
          <w:noProof/>
          <w:lang w:val="en-GB"/>
        </w:rPr>
        <w:t>[3]</w:t>
      </w:r>
      <w:r w:rsidRPr="005459C0">
        <w:rPr>
          <w:rFonts w:cs="Times New Roman"/>
          <w:lang w:val="en-GB"/>
        </w:rPr>
        <w:fldChar w:fldCharType="end"/>
      </w:r>
      <w:r w:rsidRPr="005459C0">
        <w:rPr>
          <w:rFonts w:cs="Times New Roman"/>
          <w:lang w:val="en-GB"/>
        </w:rPr>
        <w:t>.</w:t>
      </w:r>
    </w:p>
    <w:p w14:paraId="74B66B7E" w14:textId="77777777" w:rsidR="006D16F4" w:rsidRPr="005459C0" w:rsidRDefault="006D16F4" w:rsidP="006D16F4">
      <w:pPr>
        <w:pStyle w:val="Perdefecte"/>
        <w:ind w:firstLine="720"/>
        <w:jc w:val="both"/>
      </w:pPr>
      <w:r w:rsidRPr="005459C0">
        <w:rPr>
          <w:rFonts w:cs="Times New Roman"/>
          <w:lang w:val="en-GB"/>
        </w:rPr>
        <w:t xml:space="preserve">Respiration of LSCS and N2A cells was analysed following two standardized protocols. The experimental regime for intact LSCS and N2A cells started with routine respiration, which we defined as the oxygen flux in Hank’s balanced solution and cell culture medium, respectively, without additional substrates or effectors. After observing steady-state respiratory flux in the time interval between 5 and 10 min after closing the chamber, respiration was inhibited by sequential addition of rotenone at 0.5 μM (to test for the effect of inhibiting complex I activity) and antimycin A at 2.5 μM (inhibiting complex III). This titration method was completed within 30 min. In order to avoid oxygen limitations, all the experiments were performed above 50% oxygen saturation. Oxygen consumption was normalized for actual protein content </w:t>
      </w:r>
      <w:r w:rsidRPr="005459C0">
        <w:rPr>
          <w:rFonts w:cs="Times New Roman"/>
          <w:bCs/>
          <w:lang w:val="en-GB"/>
        </w:rPr>
        <w:t>and citrate synthase activity</w:t>
      </w:r>
      <w:r w:rsidRPr="005459C0">
        <w:rPr>
          <w:rFonts w:cs="Times New Roman"/>
          <w:lang w:val="en-GB"/>
        </w:rPr>
        <w:t xml:space="preserve"> in the respirometer chambers</w:t>
      </w:r>
      <w:r w:rsidRPr="005459C0">
        <w:rPr>
          <w:rFonts w:cs="Times New Roman"/>
          <w:bCs/>
          <w:lang w:val="en-GB"/>
        </w:rPr>
        <w:t xml:space="preserve">. </w:t>
      </w:r>
    </w:p>
    <w:p w14:paraId="1546A4A8" w14:textId="77777777" w:rsidR="006D16F4" w:rsidRPr="005459C0" w:rsidRDefault="006D16F4" w:rsidP="006D16F4">
      <w:pPr>
        <w:pStyle w:val="Perdefecte"/>
        <w:ind w:firstLine="720"/>
        <w:jc w:val="both"/>
      </w:pPr>
      <w:r w:rsidRPr="005459C0">
        <w:rPr>
          <w:rFonts w:cs="Times New Roman"/>
          <w:lang w:val="en-GB"/>
        </w:rPr>
        <w:t xml:space="preserve">The second experimental regime required tissue or cell permeabilization before placing the sample in the measurement chamber. Initially, we measured endogenous respiration in the absence of additional substrates. </w:t>
      </w:r>
      <w:r w:rsidRPr="005459C0">
        <w:rPr>
          <w:rFonts w:cs="Times New Roman"/>
          <w:bCs/>
          <w:lang w:val="en-GB"/>
        </w:rPr>
        <w:t xml:space="preserve">For evaluation of relative contributions of mitochondrial complexes to oxygen consumption, several specific mitochondrial inhibitors and substrates were added sequentially as routinely performed in our laboratory and calculated as steady-state respiratory flux in the time interval between 5 and 10 min after their </w:t>
      </w:r>
      <w:r w:rsidRPr="005459C0">
        <w:rPr>
          <w:rFonts w:cs="Times New Roman"/>
          <w:bCs/>
          <w:lang w:val="en-GB"/>
        </w:rPr>
        <w:lastRenderedPageBreak/>
        <w:t xml:space="preserve">addition. </w:t>
      </w:r>
      <w:r w:rsidRPr="005459C0">
        <w:rPr>
          <w:rFonts w:cs="Times New Roman"/>
          <w:lang w:val="en-GB"/>
        </w:rPr>
        <w:t xml:space="preserve">First, we added glutamate (10mM) and malate (5mM) to increase NADH levels in order to measure the complex I non-phosphorylative activity, or state 2. 10 mM ADP was added to quantify the complex I-dependent phosphorylative activity, or state 3. Immediately afterwards, we added succinate (10mM), which is the substrate for complex II. At this point, the level of oxygen consumption corresponded to complex I- and II-dependent phosphorylative activity. The addition of 0.5 μM rotenone inhibits complex I; therefore, oxygen consumption measured after the addition of rotenone only reflects complex II-dependent phosphorylative activity (in the absence of electron back flux to complex I). Then, complex III activity was inhibited with antimycin A (2.5 μM), and finally complex IV maximal activity was measured after addition of the non-physiological substrate </w:t>
      </w:r>
      <w:r w:rsidRPr="005459C0">
        <w:rPr>
          <w:rFonts w:cs="Times New Roman"/>
          <w:i/>
          <w:iCs/>
          <w:lang w:val="en-GB"/>
        </w:rPr>
        <w:t>N,N,N’,N’</w:t>
      </w:r>
      <w:r w:rsidRPr="005459C0">
        <w:rPr>
          <w:rFonts w:cs="Times New Roman"/>
          <w:lang w:val="en-GB"/>
        </w:rPr>
        <w:t>-tetramethyl-</w:t>
      </w:r>
      <w:r w:rsidRPr="005459C0">
        <w:rPr>
          <w:rFonts w:cs="Times New Roman"/>
          <w:i/>
          <w:iCs/>
          <w:lang w:val="en-GB"/>
        </w:rPr>
        <w:t>p</w:t>
      </w:r>
      <w:r w:rsidRPr="005459C0">
        <w:rPr>
          <w:rFonts w:cs="Times New Roman"/>
          <w:lang w:val="en-GB"/>
        </w:rPr>
        <w:t xml:space="preserve">-phenylenediamine (TMPD) at 0.5 mM, ascorbate (2mM) and cytochrome c (10 </w:t>
      </w:r>
      <w:r w:rsidRPr="005459C0">
        <w:rPr>
          <w:rFonts w:ascii="Symbol" w:hAnsi="Symbol" w:cs="Times New Roman"/>
          <w:lang w:val="en-GB"/>
        </w:rPr>
        <w:t></w:t>
      </w:r>
      <w:r w:rsidRPr="005459C0">
        <w:rPr>
          <w:rFonts w:cs="Times New Roman"/>
          <w:lang w:val="en-GB"/>
        </w:rPr>
        <w:t xml:space="preserve">M). Maximal oxygen consumption rates of spinal cords were measured after addition of carbonyl cyanide-p-trifluoromethoxyphenylhydrazone (FCCP). </w:t>
      </w:r>
      <w:r w:rsidRPr="005459C0">
        <w:rPr>
          <w:rFonts w:cs="Times New Roman"/>
          <w:bCs/>
          <w:lang w:val="en-GB"/>
        </w:rPr>
        <w:t>In order to avoid oxygen limitations, all the experiments were performed above 50% oxygen saturation.</w:t>
      </w:r>
      <w:r w:rsidRPr="005459C0">
        <w:rPr>
          <w:rFonts w:cs="Times New Roman"/>
          <w:lang w:val="en-GB"/>
        </w:rPr>
        <w:t xml:space="preserve"> </w:t>
      </w:r>
      <w:r w:rsidRPr="005459C0">
        <w:rPr>
          <w:rFonts w:cs="Times New Roman"/>
          <w:bCs/>
          <w:lang w:val="en-GB"/>
        </w:rPr>
        <w:t>Oxygen consumption was normalized for actual protein content in the respirometer chambers.</w:t>
      </w:r>
    </w:p>
    <w:p w14:paraId="52277974" w14:textId="77777777" w:rsidR="006D16F4" w:rsidRPr="005459C0" w:rsidRDefault="006D16F4" w:rsidP="006D16F4">
      <w:pPr>
        <w:pStyle w:val="Perdefecte"/>
        <w:ind w:firstLine="720"/>
        <w:jc w:val="both"/>
      </w:pPr>
    </w:p>
    <w:p w14:paraId="4F6B285D" w14:textId="77777777" w:rsidR="006D16F4" w:rsidRPr="005459C0" w:rsidRDefault="006D16F4" w:rsidP="006D16F4">
      <w:pPr>
        <w:pStyle w:val="Perdefecte"/>
        <w:jc w:val="both"/>
        <w:rPr>
          <w:i/>
        </w:rPr>
      </w:pPr>
      <w:r w:rsidRPr="005459C0">
        <w:rPr>
          <w:rFonts w:cs="Times New Roman"/>
          <w:bCs/>
          <w:i/>
          <w:lang w:val="en-GB"/>
        </w:rPr>
        <w:t>Analyses of protein oxidative modifications</w:t>
      </w:r>
    </w:p>
    <w:p w14:paraId="5CF84DBA" w14:textId="67996B4D" w:rsidR="006D16F4" w:rsidRPr="005459C0" w:rsidRDefault="006D16F4" w:rsidP="006D16F4">
      <w:pPr>
        <w:pStyle w:val="Perdefecte"/>
        <w:ind w:firstLine="720"/>
        <w:jc w:val="both"/>
        <w:rPr>
          <w:rFonts w:cs="Times New Roman"/>
          <w:lang w:val="en-GB"/>
        </w:rPr>
      </w:pPr>
      <w:r w:rsidRPr="005459C0">
        <w:rPr>
          <w:rFonts w:cs="Times New Roman"/>
          <w:lang w:val="en-GB"/>
        </w:rPr>
        <w:t xml:space="preserve">Samples containing 0.75-1 mg of protein were delipidated using chloroform:methanol (2:1 v/v), and proteins were precipitated by adding 10% trichloroacetic acid (final concentration) and subsequent centrifugation. Protein samples were reduced overnight with 500 mM NaBH4 (final concentration) in 0.2M borate buffer, pH 9.2, containing 1 drop of hexanol as an anti-foam reagent. Proteins were then reprecipitated by adding 1ml of 20% trichloroacetic acid and subsequent centrifugation. The following isotopically labelled internal standards were then added: [2H8]Lysine (d8-Lys; CDN Isotopes); [2H4]CML (d4-CML), [2H4]CEL (d4-CEL), and [2H8]MDAL (d8-MDAL), prepared as described (8,26); [2H5] 5-hydroxy-2-aminovaleric acid (for GSA quantization) and [2H4]6-hydroxy-2-aminocaproic acid (for AASA quantization) prepared as described in </w:t>
      </w:r>
      <w:r w:rsidRPr="005459C0">
        <w:rPr>
          <w:rFonts w:cs="Times New Roman"/>
          <w:lang w:val="en-GB"/>
        </w:rPr>
        <w:fldChar w:fldCharType="begin" w:fldLock="1"/>
      </w:r>
      <w:r w:rsidR="00753386" w:rsidRPr="005459C0">
        <w:rPr>
          <w:rFonts w:cs="Times New Roman"/>
          <w:lang w:val="en-GB"/>
        </w:rPr>
        <w:instrText>ADDIN CSL_CITATION { "citationItems" : [ { "id" : "ITEM-1", "itemData" : { "DOI" : "10.1074/jbc.M502255200", "ISSN" : "0021-9258", "PMID" : "15799962", "abstract" : "Diverse oxidative pathways, such as direct oxidation of amino acids, glycoxidation, and lipoxidation could contribute to Alzheimer disease pathogenesis. A global survey for the amount of structurally characterized probes for these reactions is lacking and could overcome the lack of specificity derived from measurement of 2,4-dinitrophenylhydrazine reactive carbonyls. Consequently we analyzed (i) the presence and concentrations of glutamic and aminoadipic semialdehydes, N(epsilon)-(carboxymethyl)-lysine, N(epsilon)-(carboxyethyl)-lysine, and N(epsilon)-(malondialdehyde)-lysine by means of gas chromatography/mass spectrometry, (ii) the biological response through expression of the receptor for advanced glycation end products, (iii) the fatty acid composition in brain samples from Alzheimer disease patients and age-matched controls, and (iv) the targets of N(epsilon)-(malondialdehyde)-lysine formation in brain cortex by proteomic techniques. Alzheimer disease was associated with significant, although heterogeneous, increases in the concentrations of all evaluated markers. Alzheimer disease samples presented increases in expression of the receptor for advanced glycation end products with high molecular heterogeneity. Samples from Alzheimer disease patients also showed content of docosahexaenoic acid, which increased lipid peroxidizability. In accordance, N(epsilon)-(malondialdehyde)-lysine formation targeted important proteins for both glial and neuronal homeostasis such as neurofilament L, alpha-tubulin, glial fibrillary acidic protein, ubiquinol-cytochrome c reductase complex protein I, and the beta chain of ATP synthase. These data support an important role for lipid peroxidation-derived protein modifications in Alzheimer disease pathogenesis.", "author" : [ { "dropping-particle" : "", "family" : "Pamplona", "given" : "Reinald", "non-dropping-particle" : "", "parse-names" : false, "suffix" : "" }, { "dropping-particle" : "", "family" : "Dalf\u00f3", "given" : "Esther", "non-dropping-particle" : "", "parse-names" : false, "suffix" : "" }, { "dropping-particle" : "", "family" : "Ayala", "given" : "Vict\u00f2ria", "non-dropping-particle" : "", "parse-names" : false, "suffix" : "" }, { "dropping-particle" : "", "family" : "Bellmunt", "given" : "Maria Josep", "non-dropping-particle" : "", "parse-names" : false, "suffix" : "" }, { "dropping-particle" : "", "family" : "Prat", "given" : "Joan", "non-dropping-particle" : "", "parse-names" : false, "suffix" : "" }, { "dropping-particle" : "", "family" : "Ferrer", "given" : "Isidre", "non-dropping-particle" : "", "parse-names" : false, "suffix" : "" }, { "dropping-particle" : "", "family" : "Portero-Ot\u00edn", "given" : "Manuel", "non-dropping-particle" : "", "parse-names" : false, "suffix" : "" } ], "container-title" : "The Journal of biological chemistry", "id" : "ITEM-1", "issue" : "22", "issued" : { "date-parts" : [ [ "2005", "6", "3" ] ] }, "page" : "21522-30", "title" : "Proteins in human brain cortex are modified by oxidation, glycoxidation, and lipoxidation. Effects of Alzheimer disease and identification of lipoxidation targets.", "type" : "article-journal", "volume" : "280" }, "uris" : [ "http://www.mendeley.com/documents/?uuid=09665dea-ebee-4220-a017-407eaa6a5e3b" ] } ], "mendeley" : { "formattedCitation" : "[4]", "plainTextFormattedCitation" : "[4]", "previouslyFormattedCitation" : "[4]" }, "properties" : { "noteIndex" : 0 }, "schema" : "https://github.com/citation-style-language/schema/raw/master/csl-citation.json" }</w:instrText>
      </w:r>
      <w:r w:rsidRPr="005459C0">
        <w:rPr>
          <w:rFonts w:cs="Times New Roman"/>
          <w:lang w:val="en-GB"/>
        </w:rPr>
        <w:fldChar w:fldCharType="separate"/>
      </w:r>
      <w:r w:rsidRPr="005459C0">
        <w:rPr>
          <w:rFonts w:cs="Times New Roman"/>
          <w:noProof/>
          <w:lang w:val="en-GB"/>
        </w:rPr>
        <w:t>[4]</w:t>
      </w:r>
      <w:r w:rsidRPr="005459C0">
        <w:rPr>
          <w:rFonts w:cs="Times New Roman"/>
          <w:lang w:val="en-GB"/>
        </w:rPr>
        <w:fldChar w:fldCharType="end"/>
      </w:r>
      <w:r w:rsidRPr="005459C0">
        <w:rPr>
          <w:rFonts w:cs="Times New Roman"/>
          <w:lang w:val="en-GB"/>
        </w:rPr>
        <w:t>. The samples were hydrolysed at 155ºC for 30 min in 1ml of 6N HCl, and then dried in vacuo. The N,O-trifluoroacetyl methyl ester derivatives of the protein hydrolysate were prepared as previously described</w:t>
      </w:r>
      <w:r w:rsidRPr="005459C0">
        <w:rPr>
          <w:rFonts w:cs="Times New Roman"/>
          <w:lang w:val="en-GB"/>
        </w:rPr>
        <w:fldChar w:fldCharType="begin" w:fldLock="1"/>
      </w:r>
      <w:r w:rsidRPr="005459C0">
        <w:rPr>
          <w:rFonts w:cs="Times New Roman"/>
          <w:lang w:val="en-GB"/>
        </w:rPr>
        <w:instrText>ADDIN CSL_CITATION { "citationItems" : [ { "id" : "ITEM-1", "itemData" : { "DOI" : "10.1074/jbc.M502255200", "ISSN" : "0021-9258", "PMID" : "15799962", "abstract" : "Diverse oxidative pathways, such as direct oxidation of amino acids, glycoxidation, and lipoxidation could contribute to Alzheimer disease pathogenesis. A global survey for the amount of structurally characterized probes for these reactions is lacking and could overcome the lack of specificity derived from measurement of 2,4-dinitrophenylhydrazine reactive carbonyls. Consequently we analyzed (i) the presence and concentrations of glutamic and aminoadipic semialdehydes, N(epsilon)-(carboxymethyl)-lysine, N(epsilon)-(carboxyethyl)-lysine, and N(epsilon)-(malondialdehyde)-lysine by means of gas chromatography/mass spectrometry, (ii) the biological response through expression of the receptor for advanced glycation end products, (iii) the fatty acid composition in brain samples from Alzheimer disease patients and age-matched controls, and (iv) the targets of N(epsilon)-(malondialdehyde)-lysine formation in brain cortex by proteomic techniques. Alzheimer disease was associated with significant, although heterogeneous, increases in the concentrations of all evaluated markers. Alzheimer disease samples presented increases in expression of the receptor for advanced glycation end products with high molecular heterogeneity. Samples from Alzheimer disease patients also showed content of docosahexaenoic acid, which increased lipid peroxidizability. In accordance, N(epsilon)-(malondialdehyde)-lysine formation targeted important proteins for both glial and neuronal homeostasis such as neurofilament L, alpha-tubulin, glial fibrillary acidic protein, ubiquinol-cytochrome c reductase complex protein I, and the beta chain of ATP synthase. These data support an important role for lipid peroxidation-derived protein modifications in Alzheimer disease pathogenesis.", "author" : [ { "dropping-particle" : "", "family" : "Pamplona", "given" : "Reinald", "non-dropping-particle" : "", "parse-names" : false, "suffix" : "" }, { "dropping-particle" : "", "family" : "Dalf\u00f3", "given" : "Esther", "non-dropping-particle" : "", "parse-names" : false, "suffix" : "" }, { "dropping-particle" : "", "family" : "Ayala", "given" : "Vict\u00f2ria", "non-dropping-particle" : "", "parse-names" : false, "suffix" : "" }, { "dropping-particle" : "", "family" : "Bellmunt", "given" : "Maria Josep", "non-dropping-particle" : "", "parse-names" : false, "suffix" : "" }, { "dropping-particle" : "", "family" : "Prat", "given" : "Joan", "non-dropping-particle" : "", "parse-names" : false, "suffix" : "" }, { "dropping-particle" : "", "family" : "Ferrer", "given" : "Isidre", "non-dropping-particle" : "", "parse-names" : false, "suffix" : "" }, { "dropping-particle" : "", "family" : "Portero-Ot\u00edn", "given" : "Manuel", "non-dropping-particle" : "", "parse-names" : false, "suffix" : "" } ], "container-title" : "The Journal of biological chemistry", "id" : "ITEM-1", "issue" : "22", "issued" : { "date-parts" : [ [ "2005", "6", "3" ] ] }, "page" : "21522-30", "title" : "Proteins in human brain cortex are modified by oxidation, glycoxidation, and lipoxidation. Effects of Alzheimer disease and identification of lipoxidation targets.", "type" : "article-journal", "volume" : "280" }, "uris" : [ "http://www.mendeley.com/documents/?uuid=09665dea-ebee-4220-a017-407eaa6a5e3b" ] } ], "mendeley" : { "formattedCitation" : "[4]", "plainTextFormattedCitation" : "[4]", "previouslyFormattedCitation" : "[4]" }, "properties" : { "noteIndex" : 0 }, "schema" : "https://github.com/citation-style-language/schema/raw/master/csl-citation.json" }</w:instrText>
      </w:r>
      <w:r w:rsidRPr="005459C0">
        <w:rPr>
          <w:rFonts w:cs="Times New Roman"/>
          <w:lang w:val="en-GB"/>
        </w:rPr>
        <w:fldChar w:fldCharType="separate"/>
      </w:r>
      <w:r w:rsidRPr="005459C0">
        <w:rPr>
          <w:rFonts w:cs="Times New Roman"/>
          <w:noProof/>
          <w:lang w:val="en-GB"/>
        </w:rPr>
        <w:t>[4]</w:t>
      </w:r>
      <w:r w:rsidRPr="005459C0">
        <w:rPr>
          <w:rFonts w:cs="Times New Roman"/>
          <w:lang w:val="en-GB"/>
        </w:rPr>
        <w:fldChar w:fldCharType="end"/>
      </w:r>
      <w:r w:rsidRPr="005459C0">
        <w:rPr>
          <w:rFonts w:cs="Times New Roman"/>
          <w:lang w:val="en-GB"/>
        </w:rPr>
        <w:t xml:space="preserve">. GC/MS analyses were carried out on a Hewlett-Packard model 6890 gas chromatograph equipped with a 30m HP-5MS capillary column (30m x 0.25mm x 0.25 μm) coupled to a Hewlett-Packard model 5973A mass selective detector (Agilent, Barcelona, Spain). The injection port was maintained at 275ºC; the temperature program was 5 min at 110ºC, then 2ºC/min to 150ºC, then 5ºC/min to 240ºC, then 25ºC/min to 300ºC, and finally a hold at 300ºC for 5 min. </w:t>
      </w:r>
      <w:r w:rsidRPr="005459C0">
        <w:rPr>
          <w:rFonts w:cs="Times New Roman"/>
          <w:lang w:val="en-GB"/>
        </w:rPr>
        <w:lastRenderedPageBreak/>
        <w:t>Quantification was performed by external standardisation using standard curves constructed from mixtures of deuterated and non-deuterated standards. Analytes were detected by selected ion-monitoring GC/MS. The ions used were: lysine and d8-lysine, m/z 180 and 187, respectively; 5-hydroxy-2-aminovaleric acid and d5-5-hydroxy-2-aminovaleric acid (stable derivatives of GSA), m/z 280 and 285, respectively; 6-hydroxy-2-aminocaproic acid and d4-6-hydroxy-2-aminocaproic acid (stable derivatives of AASA), m/z 294 and 298, respectively; CML and d4-CML , m/z 392 and 396, respectively; CEL and d4-CEL, m/z 379 and 383, respectively; and MDAL and d8-MDAL, m/z 474 and 482, respectively. The amounts of products were expressed as the ratio μmol GSA, AASA, CML, CEL or MDAL per mol lysine.</w:t>
      </w:r>
    </w:p>
    <w:p w14:paraId="3CCABF86" w14:textId="77777777" w:rsidR="002E4BAE" w:rsidRPr="005459C0" w:rsidRDefault="002E4BAE" w:rsidP="002E4BAE">
      <w:pPr>
        <w:pStyle w:val="Perdefecte"/>
        <w:jc w:val="both"/>
        <w:rPr>
          <w:rFonts w:cs="Times New Roman"/>
          <w:lang w:val="en-GB"/>
        </w:rPr>
      </w:pPr>
    </w:p>
    <w:p w14:paraId="4922412F" w14:textId="77777777" w:rsidR="002E4BAE" w:rsidRPr="005459C0" w:rsidRDefault="002E4BAE" w:rsidP="002E4BAE">
      <w:pPr>
        <w:pStyle w:val="Perdefecte"/>
        <w:jc w:val="both"/>
        <w:rPr>
          <w:rFonts w:cs="Times New Roman"/>
          <w:lang w:val="en-GB"/>
        </w:rPr>
      </w:pPr>
    </w:p>
    <w:p w14:paraId="422B892E" w14:textId="77777777" w:rsidR="002E4BAE" w:rsidRPr="005459C0" w:rsidRDefault="002E4BAE" w:rsidP="002E4BAE">
      <w:pPr>
        <w:pStyle w:val="Perdefecte"/>
        <w:jc w:val="both"/>
        <w:rPr>
          <w:rFonts w:cs="Times New Roman"/>
          <w:i/>
          <w:lang w:val="en-GB"/>
        </w:rPr>
      </w:pPr>
      <w:r w:rsidRPr="005459C0">
        <w:rPr>
          <w:rFonts w:cs="Times New Roman"/>
          <w:i/>
          <w:lang w:val="en-GB"/>
        </w:rPr>
        <w:t>Fatty acid analysis</w:t>
      </w:r>
    </w:p>
    <w:p w14:paraId="1B3A9323" w14:textId="77777777" w:rsidR="002E4BAE" w:rsidRPr="005459C0" w:rsidRDefault="002E4BAE" w:rsidP="002E4BAE">
      <w:pPr>
        <w:pStyle w:val="Perdefecte"/>
        <w:ind w:firstLine="720"/>
        <w:jc w:val="both"/>
      </w:pPr>
      <w:r w:rsidRPr="005459C0">
        <w:rPr>
          <w:rFonts w:cs="Times New Roman"/>
          <w:lang w:val="en-GB"/>
        </w:rPr>
        <w:t xml:space="preserve">Total lipids from homogenates were extracted with chloroform/methanol (2:1, v/v) (3 times) in the presence of 0.01% butylated hydroxytoluene. The chloroform phase was evaporated under nitrogen, and the fatty acids were transesterified by incubation in 2 ml of 5% methanolic HCl for 90 min at 75 °C. The resulting fatty acid methyl esters were extracted by adding 2 ml of n-pentane and 1 ml of saturated NaCl solution. The n-pentane phase was separated, evaporated under nitrogen, and redissolved in 80 μl of carbon disulfide, and then 2 μl was used for GC analysis. Separation was performed with a DBWAX capillary column (30 m×0.25 mm×0.20 μm) in a GC System 7890A with a Series Injector 7683B and a FID detector (Agilent Technologies, Barcelona, Spain). The injection port was maintained at 220°C and the detector at 250°C; the temperature program was 2 min at 100°C, then 10°C/min to 200°C, then 5°C/min to 240°C, and finally a hold at 240°C for 10 min. Identification of fatty acid methyl esters was made by comparison with authentic standards (Larodan Fine Chemicals, Malmö, Sweden). Results are expressed as mol%. </w:t>
      </w:r>
    </w:p>
    <w:p w14:paraId="312B6EFF" w14:textId="77777777" w:rsidR="002E4BAE" w:rsidRPr="005459C0" w:rsidRDefault="002E4BAE" w:rsidP="002E4BAE">
      <w:pPr>
        <w:pStyle w:val="Perdefecte"/>
        <w:jc w:val="both"/>
        <w:rPr>
          <w:rFonts w:cs="Times New Roman"/>
          <w:lang w:val="en-GB"/>
        </w:rPr>
      </w:pPr>
    </w:p>
    <w:p w14:paraId="6A4DF8D6" w14:textId="77777777" w:rsidR="006D16F4" w:rsidRPr="005459C0" w:rsidRDefault="006D16F4" w:rsidP="006D16F4">
      <w:pPr>
        <w:pStyle w:val="Perdefecte"/>
        <w:ind w:firstLine="720"/>
        <w:jc w:val="both"/>
        <w:rPr>
          <w:rFonts w:cs="Times New Roman"/>
          <w:lang w:val="en-GB"/>
        </w:rPr>
      </w:pPr>
    </w:p>
    <w:p w14:paraId="4C501F87" w14:textId="77777777" w:rsidR="006D16F4" w:rsidRPr="005459C0" w:rsidRDefault="006D16F4" w:rsidP="006D16F4">
      <w:pPr>
        <w:pStyle w:val="Perdefecte"/>
        <w:ind w:firstLine="720"/>
        <w:jc w:val="both"/>
        <w:rPr>
          <w:rFonts w:cs="Times New Roman"/>
          <w:b/>
          <w:lang w:val="en-GB"/>
        </w:rPr>
      </w:pPr>
      <w:r w:rsidRPr="005459C0">
        <w:rPr>
          <w:rFonts w:cs="Times New Roman"/>
          <w:b/>
          <w:lang w:val="en-GB"/>
        </w:rPr>
        <w:t>Legends to supplemental figures</w:t>
      </w:r>
    </w:p>
    <w:p w14:paraId="38D66C90" w14:textId="77777777" w:rsidR="006D16F4" w:rsidRPr="005459C0" w:rsidRDefault="006D16F4" w:rsidP="006D16F4">
      <w:pPr>
        <w:pStyle w:val="Perdefecte"/>
        <w:ind w:firstLine="720"/>
        <w:jc w:val="both"/>
        <w:rPr>
          <w:rFonts w:cs="Times New Roman"/>
          <w:lang w:val="en-GB"/>
        </w:rPr>
      </w:pPr>
    </w:p>
    <w:p w14:paraId="150FA715" w14:textId="77777777" w:rsidR="006D16F4" w:rsidRPr="005459C0" w:rsidRDefault="006D16F4" w:rsidP="006D16F4">
      <w:pPr>
        <w:pStyle w:val="Perdefecte"/>
        <w:ind w:firstLine="720"/>
        <w:jc w:val="both"/>
        <w:rPr>
          <w:rFonts w:cs="Times New Roman"/>
          <w:lang w:val="en-GB"/>
        </w:rPr>
      </w:pPr>
    </w:p>
    <w:p w14:paraId="14899125" w14:textId="77777777" w:rsidR="006D16F4" w:rsidRPr="005459C0" w:rsidRDefault="006D16F4" w:rsidP="006D16F4">
      <w:pPr>
        <w:pStyle w:val="Perdefecte"/>
        <w:jc w:val="both"/>
        <w:rPr>
          <w:rFonts w:cs="Times New Roman"/>
          <w:lang w:val="en-US"/>
        </w:rPr>
      </w:pPr>
    </w:p>
    <w:p w14:paraId="0D403C8C" w14:textId="77777777" w:rsidR="005459C0" w:rsidRDefault="006D16F4" w:rsidP="005459C0">
      <w:pPr>
        <w:pStyle w:val="Perdefecte"/>
        <w:jc w:val="both"/>
        <w:rPr>
          <w:rFonts w:cs="Times New Roman"/>
          <w:lang w:val="en-GB"/>
        </w:rPr>
      </w:pPr>
      <w:r w:rsidRPr="005459C0">
        <w:rPr>
          <w:rFonts w:cs="Times New Roman"/>
          <w:lang w:val="en-US"/>
        </w:rPr>
        <w:lastRenderedPageBreak/>
        <w:tab/>
        <w:t>Supplemental figure 1.</w:t>
      </w:r>
      <w:r w:rsidRPr="005459C0">
        <w:rPr>
          <w:rFonts w:cs="Times New Roman"/>
          <w:sz w:val="22"/>
          <w:szCs w:val="22"/>
          <w:lang w:val="en-US"/>
        </w:rPr>
        <w:t xml:space="preserve"> </w:t>
      </w:r>
      <w:r w:rsidRPr="005459C0">
        <w:rPr>
          <w:rFonts w:cs="Times New Roman"/>
          <w:lang w:val="en-US"/>
        </w:rPr>
        <w:t xml:space="preserve">Weight changes </w:t>
      </w:r>
      <w:r w:rsidR="00D95F27" w:rsidRPr="005459C0">
        <w:rPr>
          <w:rFonts w:cs="Times New Roman"/>
          <w:lang w:val="en-US"/>
        </w:rPr>
        <w:t xml:space="preserve">in </w:t>
      </w:r>
      <w:r w:rsidRPr="005459C0">
        <w:rPr>
          <w:rFonts w:cs="Times New Roman"/>
          <w:lang w:val="en-US"/>
        </w:rPr>
        <w:t xml:space="preserve">control littermates. Weight evolution across the study for controls. Dots show means ±SEM values in grams n=12 *, </w:t>
      </w:r>
      <w:r w:rsidR="00D95F27" w:rsidRPr="005459C0">
        <w:rPr>
          <w:rFonts w:cs="Times New Roman"/>
          <w:lang w:val="en-US"/>
        </w:rPr>
        <w:t>p</w:t>
      </w:r>
      <w:r w:rsidRPr="005459C0">
        <w:rPr>
          <w:rFonts w:cs="Times New Roman"/>
          <w:lang w:val="en-US"/>
        </w:rPr>
        <w:t>&lt;0.05 between male and age matched females after Student’s t test.</w:t>
      </w:r>
    </w:p>
    <w:p w14:paraId="11771DCB" w14:textId="77777777" w:rsidR="005459C0" w:rsidRDefault="005459C0" w:rsidP="005459C0">
      <w:pPr>
        <w:pStyle w:val="Perdefecte"/>
        <w:jc w:val="both"/>
        <w:rPr>
          <w:rFonts w:cs="Times New Roman"/>
          <w:lang w:val="en-GB"/>
        </w:rPr>
      </w:pPr>
    </w:p>
    <w:p w14:paraId="52F547D1" w14:textId="21BEA1A1" w:rsidR="005459C0" w:rsidRPr="005459C0" w:rsidRDefault="005459C0" w:rsidP="005459C0">
      <w:pPr>
        <w:pStyle w:val="Perdefecte"/>
        <w:jc w:val="both"/>
        <w:rPr>
          <w:rFonts w:cs="Times New Roman"/>
          <w:lang w:val="en-US"/>
        </w:rPr>
      </w:pPr>
      <w:r>
        <w:rPr>
          <w:rFonts w:cs="Times New Roman"/>
          <w:lang w:val="en-GB"/>
        </w:rPr>
        <w:tab/>
      </w:r>
      <w:r w:rsidR="006D16F4" w:rsidRPr="005459C0">
        <w:rPr>
          <w:rFonts w:cs="Times New Roman"/>
          <w:lang w:val="en-GB"/>
        </w:rPr>
        <w:t>Supplemental figure 2.</w:t>
      </w:r>
      <w:r w:rsidR="006D16F4" w:rsidRPr="005459C0">
        <w:rPr>
          <w:rFonts w:cs="Times New Roman"/>
          <w:sz w:val="22"/>
          <w:szCs w:val="22"/>
          <w:lang w:val="en-US"/>
        </w:rPr>
        <w:t xml:space="preserve"> </w:t>
      </w:r>
      <w:r w:rsidR="006D16F4" w:rsidRPr="005459C0">
        <w:rPr>
          <w:rFonts w:cs="Times New Roman"/>
          <w:lang w:val="en-US"/>
        </w:rPr>
        <w:t xml:space="preserve">Time course of G93A-hSOD1 protein expression in G93A mice spinal cord. Western-blot analysis of transgenic male and female mice at 30 and 60 days leads to the expression of a protein with an apparent MW of 16 kDa, whereas, as expected, the protein was not detected in control mice. </w:t>
      </w:r>
    </w:p>
    <w:p w14:paraId="0A942090" w14:textId="77777777" w:rsidR="006D16F4" w:rsidRPr="005459C0" w:rsidRDefault="006D16F4" w:rsidP="006D16F4">
      <w:pPr>
        <w:pStyle w:val="Perdefecte"/>
        <w:ind w:firstLine="720"/>
        <w:jc w:val="both"/>
        <w:rPr>
          <w:rFonts w:cs="Times New Roman"/>
          <w:lang w:val="en-US"/>
        </w:rPr>
      </w:pPr>
    </w:p>
    <w:p w14:paraId="26D0F99D" w14:textId="649A1FD9" w:rsidR="006D16F4" w:rsidRPr="005459C0" w:rsidRDefault="006D16F4" w:rsidP="00121700">
      <w:pPr>
        <w:pStyle w:val="Perdefecte"/>
        <w:ind w:firstLine="720"/>
        <w:jc w:val="both"/>
        <w:rPr>
          <w:rFonts w:cs="Times New Roman"/>
          <w:lang w:val="en-US"/>
        </w:rPr>
      </w:pPr>
      <w:r w:rsidRPr="005459C0">
        <w:rPr>
          <w:rFonts w:cs="Times New Roman"/>
          <w:lang w:val="en-US"/>
        </w:rPr>
        <w:t>Supplemental figure 3. O</w:t>
      </w:r>
      <w:r w:rsidRPr="005459C0">
        <w:rPr>
          <w:rFonts w:cs="Times New Roman"/>
          <w:vertAlign w:val="subscript"/>
          <w:lang w:val="en-US"/>
        </w:rPr>
        <w:t>2</w:t>
      </w:r>
      <w:r w:rsidRPr="005459C0">
        <w:rPr>
          <w:rFonts w:cs="Times New Roman"/>
          <w:lang w:val="en-US"/>
        </w:rPr>
        <w:t xml:space="preserve"> consumption of sets of 5 intact LSCS from male and female G93A and control mice measured at 30, 60, 90, and 120 (endpoint) days of age. Experimental procedures allow measurement of baseline (A-B), complex I (C-D), and residual (E-F) O</w:t>
      </w:r>
      <w:r w:rsidRPr="005459C0">
        <w:rPr>
          <w:rFonts w:cs="Times New Roman"/>
          <w:vertAlign w:val="subscript"/>
          <w:lang w:val="en-US"/>
        </w:rPr>
        <w:t>2</w:t>
      </w:r>
      <w:r w:rsidRPr="005459C0">
        <w:rPr>
          <w:rFonts w:cs="Times New Roman"/>
          <w:lang w:val="en-US"/>
        </w:rPr>
        <w:t xml:space="preserve"> consumption differences between G93A and controls, depicted by sex. Measurements were taken at 37 °C in Hank’s balanced salt solution containing 10mM Hepes, pH 7.4, and corrected for instrumental background </w:t>
      </w:r>
      <w:r w:rsidR="00753386" w:rsidRPr="005459C0">
        <w:rPr>
          <w:rFonts w:cs="Times New Roman"/>
          <w:lang w:val="en-US"/>
        </w:rPr>
        <w:t>O</w:t>
      </w:r>
      <w:r w:rsidR="00753386" w:rsidRPr="005459C0">
        <w:rPr>
          <w:rFonts w:cs="Times New Roman"/>
          <w:vertAlign w:val="subscript"/>
          <w:lang w:val="en-US"/>
        </w:rPr>
        <w:t>2</w:t>
      </w:r>
      <w:r w:rsidRPr="005459C0">
        <w:rPr>
          <w:rFonts w:cs="Times New Roman"/>
          <w:lang w:val="en-US"/>
        </w:rPr>
        <w:t xml:space="preserve"> flux. Values were normalized for actual protein content in the respirometer chambers. Means ± SEM, expressed as pmol O</w:t>
      </w:r>
      <w:r w:rsidRPr="005459C0">
        <w:rPr>
          <w:rFonts w:cs="Times New Roman"/>
          <w:vertAlign w:val="subscript"/>
          <w:lang w:val="en-US"/>
        </w:rPr>
        <w:t>2</w:t>
      </w:r>
      <w:r w:rsidR="00121700">
        <w:rPr>
          <w:rFonts w:cs="Times New Roman"/>
          <w:lang w:val="en-US"/>
        </w:rPr>
        <w:t>/s·mg protein. *, p</w:t>
      </w:r>
      <w:bookmarkStart w:id="6" w:name="_GoBack"/>
      <w:bookmarkEnd w:id="6"/>
      <w:r w:rsidRPr="005459C0">
        <w:rPr>
          <w:rFonts w:cs="Times New Roman"/>
          <w:lang w:val="en-US"/>
        </w:rPr>
        <w:t>&lt;0.05, between male and female mice of the same age by Student’s t test.</w:t>
      </w:r>
    </w:p>
    <w:p w14:paraId="3A04C9F6" w14:textId="77777777" w:rsidR="006D16F4" w:rsidRPr="005459C0" w:rsidRDefault="006D16F4" w:rsidP="006D16F4">
      <w:pPr>
        <w:pStyle w:val="Perdefecte"/>
        <w:jc w:val="both"/>
        <w:rPr>
          <w:rFonts w:cs="Times New Roman"/>
          <w:lang w:val="en-US"/>
        </w:rPr>
      </w:pPr>
    </w:p>
    <w:p w14:paraId="64C4B89C" w14:textId="0C3C9496" w:rsidR="006D16F4" w:rsidRPr="005459C0" w:rsidRDefault="006D16F4" w:rsidP="006D16F4">
      <w:pPr>
        <w:pStyle w:val="Perdefecte"/>
        <w:ind w:firstLine="720"/>
        <w:jc w:val="both"/>
        <w:rPr>
          <w:lang w:val="en-US"/>
        </w:rPr>
      </w:pPr>
      <w:r w:rsidRPr="005459C0">
        <w:t>Supplemental figure 4.</w:t>
      </w:r>
      <w:r w:rsidRPr="005459C0">
        <w:rPr>
          <w:rFonts w:cs="Times New Roman"/>
          <w:sz w:val="22"/>
          <w:szCs w:val="22"/>
          <w:lang w:val="en-US"/>
        </w:rPr>
        <w:t xml:space="preserve"> </w:t>
      </w:r>
      <w:r w:rsidRPr="005459C0">
        <w:rPr>
          <w:lang w:val="en-US"/>
        </w:rPr>
        <w:t>O</w:t>
      </w:r>
      <w:r w:rsidRPr="005459C0">
        <w:rPr>
          <w:vertAlign w:val="subscript"/>
          <w:lang w:val="en-US"/>
        </w:rPr>
        <w:t>2</w:t>
      </w:r>
      <w:r w:rsidRPr="005459C0">
        <w:rPr>
          <w:lang w:val="en-US"/>
        </w:rPr>
        <w:t xml:space="preserve"> consumption of sets of 5 LSCS from male and female control mice measured at 30, 60, 90, and 120 (endpoint) days of age. In the upper panel, intact measures showed baseline (A), complex I (B) and complex II (C) oxygen consumption differences between males and age-matched females in the control colony. Measurements were taken at 37 °C in Hank’s balanced salt solution containing 10</w:t>
      </w:r>
      <w:r w:rsidR="00753386" w:rsidRPr="005459C0">
        <w:rPr>
          <w:lang w:val="en-US"/>
        </w:rPr>
        <w:t xml:space="preserve"> </w:t>
      </w:r>
      <w:r w:rsidRPr="005459C0">
        <w:rPr>
          <w:lang w:val="en-US"/>
        </w:rPr>
        <w:t>mM Hepes, pH 7.4, and corrected for instrumental background oxygen flux.</w:t>
      </w:r>
      <w:r w:rsidRPr="005459C0">
        <w:rPr>
          <w:rFonts w:cs="Times New Roman"/>
          <w:sz w:val="22"/>
          <w:szCs w:val="22"/>
          <w:lang w:val="en-US"/>
        </w:rPr>
        <w:t xml:space="preserve"> </w:t>
      </w:r>
      <w:r w:rsidRPr="005459C0">
        <w:rPr>
          <w:lang w:val="en-US"/>
        </w:rPr>
        <w:t>Values shown are means ± SEM expressed as pmol O</w:t>
      </w:r>
      <w:r w:rsidRPr="005459C0">
        <w:rPr>
          <w:vertAlign w:val="subscript"/>
          <w:lang w:val="en-US"/>
        </w:rPr>
        <w:t>2</w:t>
      </w:r>
      <w:r w:rsidRPr="005459C0">
        <w:rPr>
          <w:lang w:val="en-US"/>
        </w:rPr>
        <w:t>/min·mg protein for 4-6 independent measures. *, p &lt; 0.01 respect to females of the same age by Student’s t test.</w:t>
      </w:r>
    </w:p>
    <w:p w14:paraId="69EB1522" w14:textId="77777777" w:rsidR="006D16F4" w:rsidRPr="005459C0" w:rsidRDefault="006D16F4" w:rsidP="006D16F4">
      <w:pPr>
        <w:pStyle w:val="Perdefecte"/>
        <w:ind w:firstLine="720"/>
        <w:jc w:val="both"/>
        <w:rPr>
          <w:lang w:val="en-US"/>
        </w:rPr>
      </w:pPr>
    </w:p>
    <w:p w14:paraId="7A9698BB" w14:textId="77777777" w:rsidR="006D16F4" w:rsidRPr="005459C0" w:rsidRDefault="006D16F4" w:rsidP="006D16F4">
      <w:pPr>
        <w:pStyle w:val="Perdefecte"/>
        <w:ind w:firstLine="720"/>
        <w:jc w:val="both"/>
        <w:rPr>
          <w:lang w:val="en-US"/>
        </w:rPr>
      </w:pPr>
      <w:r w:rsidRPr="005459C0">
        <w:rPr>
          <w:lang w:val="en-US"/>
        </w:rPr>
        <w:t>Supplemental figure 5. Heat map showing relative fatty acid abundance across different ages and genders in G93A colony.</w:t>
      </w:r>
    </w:p>
    <w:p w14:paraId="7E6E46E6" w14:textId="77777777" w:rsidR="006D16F4" w:rsidRPr="005459C0" w:rsidRDefault="006D16F4" w:rsidP="006D16F4">
      <w:pPr>
        <w:pStyle w:val="Perdefecte"/>
        <w:ind w:firstLine="720"/>
        <w:jc w:val="both"/>
        <w:rPr>
          <w:lang w:val="en-US"/>
        </w:rPr>
      </w:pPr>
    </w:p>
    <w:p w14:paraId="67A2E741" w14:textId="77777777" w:rsidR="006D16F4" w:rsidRPr="005459C0" w:rsidRDefault="006D16F4" w:rsidP="006D16F4">
      <w:pPr>
        <w:pStyle w:val="Perdefecte"/>
        <w:ind w:firstLine="720"/>
        <w:jc w:val="both"/>
        <w:rPr>
          <w:lang w:val="en-US"/>
        </w:rPr>
      </w:pPr>
      <w:r w:rsidRPr="005459C0">
        <w:rPr>
          <w:lang w:val="en-US"/>
        </w:rPr>
        <w:t>Supplemental figure 6. Phase contrast (A, B) and fluorescence (C, D) microscopy images of the N2A culture after pEGFP-hSOD-wt (A) and (C) or pEGFP-G93A-hSOD1 (B) and (D) transfection. Trasfection efficiency reached 80-90%.</w:t>
      </w:r>
    </w:p>
    <w:p w14:paraId="6F8E92A2" w14:textId="77777777" w:rsidR="006D16F4" w:rsidRPr="005459C0" w:rsidRDefault="006D16F4" w:rsidP="006D16F4">
      <w:pPr>
        <w:pStyle w:val="Perdefecte"/>
        <w:ind w:firstLine="720"/>
        <w:jc w:val="both"/>
      </w:pPr>
    </w:p>
    <w:p w14:paraId="203EF5CA" w14:textId="2A6803F0" w:rsidR="00753386" w:rsidRPr="005459C0" w:rsidRDefault="00753386">
      <w:pPr>
        <w:widowControl w:val="0"/>
        <w:autoSpaceDE w:val="0"/>
        <w:autoSpaceDN w:val="0"/>
        <w:adjustRightInd w:val="0"/>
        <w:spacing w:after="140" w:line="288" w:lineRule="auto"/>
        <w:ind w:left="480" w:hanging="480"/>
        <w:rPr>
          <w:b/>
        </w:rPr>
      </w:pPr>
      <w:r w:rsidRPr="005459C0">
        <w:rPr>
          <w:b/>
        </w:rPr>
        <w:lastRenderedPageBreak/>
        <w:t>References</w:t>
      </w:r>
    </w:p>
    <w:p w14:paraId="51DA9873" w14:textId="1D855C9F" w:rsidR="00753386" w:rsidRPr="005459C0" w:rsidRDefault="00753386">
      <w:pPr>
        <w:widowControl w:val="0"/>
        <w:autoSpaceDE w:val="0"/>
        <w:autoSpaceDN w:val="0"/>
        <w:adjustRightInd w:val="0"/>
        <w:spacing w:after="140" w:line="288" w:lineRule="auto"/>
        <w:ind w:left="480" w:hanging="480"/>
        <w:rPr>
          <w:rFonts w:ascii="Times New Roman" w:hAnsi="Times New Roman" w:cs="Times New Roman"/>
          <w:noProof/>
          <w:lang w:val="es-ES"/>
        </w:rPr>
      </w:pPr>
      <w:r w:rsidRPr="005459C0">
        <w:fldChar w:fldCharType="begin" w:fldLock="1"/>
      </w:r>
      <w:r w:rsidRPr="005459C0">
        <w:instrText xml:space="preserve">ADDIN Mendeley Bibliography CSL_BIBLIOGRAPHY </w:instrText>
      </w:r>
      <w:r w:rsidRPr="005459C0">
        <w:fldChar w:fldCharType="separate"/>
      </w:r>
      <w:r w:rsidRPr="005459C0">
        <w:rPr>
          <w:rFonts w:ascii="Times New Roman" w:hAnsi="Times New Roman" w:cs="Times New Roman"/>
          <w:noProof/>
          <w:lang w:val="es-ES"/>
        </w:rPr>
        <w:t>1. Chiu AY, Zhai P, Dal Canto MC, et al. (1995) Age-dependent penetrance of disease in a transgenic mouse model of familial amyotrophic lateral sclerosis. Mol Cell Neurosci 6:349–62. doi: 10.1006/mcne.1995.1027</w:t>
      </w:r>
    </w:p>
    <w:p w14:paraId="4A1762BF" w14:textId="77777777" w:rsidR="00753386" w:rsidRPr="005459C0" w:rsidRDefault="00753386">
      <w:pPr>
        <w:widowControl w:val="0"/>
        <w:autoSpaceDE w:val="0"/>
        <w:autoSpaceDN w:val="0"/>
        <w:adjustRightInd w:val="0"/>
        <w:spacing w:after="140" w:line="288" w:lineRule="auto"/>
        <w:ind w:left="480" w:hanging="480"/>
        <w:rPr>
          <w:rFonts w:ascii="Times New Roman" w:hAnsi="Times New Roman" w:cs="Times New Roman"/>
          <w:noProof/>
          <w:lang w:val="es-ES"/>
        </w:rPr>
      </w:pPr>
      <w:r w:rsidRPr="005459C0">
        <w:rPr>
          <w:rFonts w:ascii="Times New Roman" w:hAnsi="Times New Roman" w:cs="Times New Roman"/>
          <w:noProof/>
          <w:lang w:val="es-ES"/>
        </w:rPr>
        <w:t>2. Safiulina D, Kaasik A, Seppet E, et al. (2004) Method for in situ detection of the mitochondrial function in neurons. J Neurosci Methods 137:87–95. doi: 10.1016/j.jneumeth.2004.02.027</w:t>
      </w:r>
    </w:p>
    <w:p w14:paraId="7E341399" w14:textId="77777777" w:rsidR="00753386" w:rsidRPr="005459C0" w:rsidRDefault="00753386">
      <w:pPr>
        <w:widowControl w:val="0"/>
        <w:autoSpaceDE w:val="0"/>
        <w:autoSpaceDN w:val="0"/>
        <w:adjustRightInd w:val="0"/>
        <w:spacing w:after="140" w:line="288" w:lineRule="auto"/>
        <w:ind w:left="480" w:hanging="480"/>
        <w:rPr>
          <w:rFonts w:ascii="Times New Roman" w:hAnsi="Times New Roman" w:cs="Times New Roman"/>
          <w:noProof/>
          <w:lang w:val="es-ES"/>
        </w:rPr>
      </w:pPr>
      <w:r w:rsidRPr="005459C0">
        <w:rPr>
          <w:rFonts w:ascii="Times New Roman" w:hAnsi="Times New Roman" w:cs="Times New Roman"/>
          <w:noProof/>
          <w:lang w:val="es-ES"/>
        </w:rPr>
        <w:t>3. Gnaiger E (2001) Bioenergetics at low oxygen: dependence of respiration and phosphorylation on oxygen and adenosine diphosphate supply . Respir Physiol 128:277–297.</w:t>
      </w:r>
    </w:p>
    <w:p w14:paraId="2EE0C919" w14:textId="77777777" w:rsidR="00753386" w:rsidRPr="005459C0" w:rsidRDefault="00753386">
      <w:pPr>
        <w:widowControl w:val="0"/>
        <w:autoSpaceDE w:val="0"/>
        <w:autoSpaceDN w:val="0"/>
        <w:adjustRightInd w:val="0"/>
        <w:spacing w:after="140" w:line="288" w:lineRule="auto"/>
        <w:ind w:left="480" w:hanging="480"/>
        <w:rPr>
          <w:rFonts w:ascii="Times New Roman" w:hAnsi="Times New Roman" w:cs="Times New Roman"/>
          <w:noProof/>
        </w:rPr>
      </w:pPr>
      <w:r w:rsidRPr="005459C0">
        <w:rPr>
          <w:rFonts w:ascii="Times New Roman" w:hAnsi="Times New Roman" w:cs="Times New Roman"/>
          <w:noProof/>
          <w:lang w:val="es-ES"/>
        </w:rPr>
        <w:t>4. Pamplona R, Dalfó E, Ayala V, et al. (2005) Proteins in human brain cortex are modified by oxidation, glycoxidation, and lipoxidation. Effects of Alzheimer disease and identification of lipoxidation targets. J Biol Chem 280:21522–30. doi: 10.1074/jbc.M502255200</w:t>
      </w:r>
    </w:p>
    <w:p w14:paraId="71EC0706" w14:textId="03B6644F" w:rsidR="00753386" w:rsidRDefault="00753386" w:rsidP="006D16F4">
      <w:pPr>
        <w:pStyle w:val="Perdefecte"/>
        <w:ind w:firstLine="720"/>
        <w:jc w:val="both"/>
      </w:pPr>
      <w:r w:rsidRPr="005459C0">
        <w:fldChar w:fldCharType="end"/>
      </w:r>
    </w:p>
    <w:p w14:paraId="4B9C51E1" w14:textId="77777777" w:rsidR="006D16F4" w:rsidRDefault="006D16F4" w:rsidP="006D16F4">
      <w:pPr>
        <w:pStyle w:val="Perdefecte"/>
        <w:ind w:firstLine="720"/>
        <w:jc w:val="both"/>
      </w:pPr>
    </w:p>
    <w:p w14:paraId="46FDF67C" w14:textId="77777777" w:rsidR="006D16F4" w:rsidRDefault="006D16F4" w:rsidP="006D16F4">
      <w:pPr>
        <w:pStyle w:val="Perdefecte"/>
        <w:jc w:val="both"/>
      </w:pPr>
    </w:p>
    <w:p w14:paraId="17E5D368" w14:textId="77777777" w:rsidR="006D16F4" w:rsidRDefault="006D16F4" w:rsidP="006D16F4">
      <w:pPr>
        <w:pStyle w:val="Perdefecte"/>
        <w:jc w:val="both"/>
      </w:pPr>
    </w:p>
    <w:p w14:paraId="66EC06E2" w14:textId="77777777" w:rsidR="006D16F4" w:rsidRDefault="006D16F4" w:rsidP="006D16F4">
      <w:pPr>
        <w:pStyle w:val="Perdefecte"/>
        <w:jc w:val="both"/>
      </w:pPr>
    </w:p>
    <w:p w14:paraId="07D0FE99" w14:textId="77777777" w:rsidR="006D16F4" w:rsidRDefault="006D16F4" w:rsidP="006D16F4">
      <w:pPr>
        <w:pStyle w:val="Perdefecte"/>
        <w:jc w:val="both"/>
      </w:pPr>
    </w:p>
    <w:p w14:paraId="77C3D5AC" w14:textId="77777777" w:rsidR="006D16F4" w:rsidRDefault="006D16F4" w:rsidP="006D16F4">
      <w:pPr>
        <w:pStyle w:val="Perdefecte"/>
        <w:jc w:val="both"/>
      </w:pPr>
    </w:p>
    <w:p w14:paraId="2EE91A20" w14:textId="77777777" w:rsidR="006D16F4" w:rsidRDefault="006D16F4" w:rsidP="006D16F4">
      <w:pPr>
        <w:pStyle w:val="Perdefecte"/>
        <w:jc w:val="both"/>
      </w:pPr>
    </w:p>
    <w:p w14:paraId="3F9C142B" w14:textId="77777777" w:rsidR="00D471E6" w:rsidRDefault="00D471E6"/>
    <w:sectPr w:rsidR="00D471E6" w:rsidSect="006D16F4">
      <w:footerReference w:type="even" r:id="rId8"/>
      <w:footerReference w:type="default" r:id="rId9"/>
      <w:pgSz w:w="11906" w:h="16838"/>
      <w:pgMar w:top="1418" w:right="1418" w:bottom="1418" w:left="1418" w:header="0" w:footer="709"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7924B" w14:textId="77777777" w:rsidR="001C5F8D" w:rsidRDefault="00D95F27">
      <w:r>
        <w:separator/>
      </w:r>
    </w:p>
  </w:endnote>
  <w:endnote w:type="continuationSeparator" w:id="0">
    <w:p w14:paraId="20CA1A8E" w14:textId="77777777" w:rsidR="001C5F8D" w:rsidRDefault="00D9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Droid Sans Fallback">
    <w:panose1 w:val="00000000000000000000"/>
    <w:charset w:val="00"/>
    <w:family w:val="roman"/>
    <w:notTrueType/>
    <w:pitch w:val="default"/>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4CDD" w14:textId="77777777" w:rsidR="006D16F4" w:rsidRDefault="006D16F4">
    <w:r>
      <w:rPr>
        <w:rStyle w:val="Nmerodepgina"/>
      </w:rPr>
      <w:fldChar w:fldCharType="begin"/>
    </w:r>
    <w:r>
      <w:instrText>PAGE</w:instrText>
    </w:r>
    <w:r>
      <w:fldChar w:fldCharType="separate"/>
    </w:r>
    <w:r w:rsidR="007F1A25">
      <w:rPr>
        <w:noProof/>
      </w:rPr>
      <w:t>2</w:t>
    </w:r>
    <w:r>
      <w:fldChar w:fldCharType="end"/>
    </w:r>
  </w:p>
  <w:p w14:paraId="60C39360" w14:textId="77777777" w:rsidR="006D16F4" w:rsidRDefault="006D16F4">
    <w:pPr>
      <w:pStyle w:val="Peudepgina"/>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F5719" w14:textId="77777777" w:rsidR="006D16F4" w:rsidRDefault="006D16F4">
    <w:r>
      <w:rPr>
        <w:rStyle w:val="Nmerodepgina"/>
        <w:sz w:val="20"/>
        <w:szCs w:val="20"/>
      </w:rPr>
      <w:fldChar w:fldCharType="begin"/>
    </w:r>
    <w:r>
      <w:instrText>PAGE</w:instrText>
    </w:r>
    <w:r>
      <w:fldChar w:fldCharType="separate"/>
    </w:r>
    <w:r w:rsidR="00C630C4">
      <w:rPr>
        <w:noProof/>
      </w:rPr>
      <w:t>1</w:t>
    </w:r>
    <w:r>
      <w:fldChar w:fldCharType="end"/>
    </w:r>
  </w:p>
  <w:p w14:paraId="7B1CFE32" w14:textId="77777777" w:rsidR="006D16F4" w:rsidRDefault="006D16F4">
    <w:pPr>
      <w:pStyle w:val="Peudepgina"/>
      <w:ind w:right="360" w:firstLine="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E8797" w14:textId="77777777" w:rsidR="001C5F8D" w:rsidRDefault="00D95F27">
      <w:r>
        <w:separator/>
      </w:r>
    </w:p>
  </w:footnote>
  <w:footnote w:type="continuationSeparator" w:id="0">
    <w:p w14:paraId="6085E000" w14:textId="77777777" w:rsidR="001C5F8D" w:rsidRDefault="00D95F2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A5A"/>
    <w:multiLevelType w:val="multilevel"/>
    <w:tmpl w:val="04C68122"/>
    <w:lvl w:ilvl="0">
      <w:start w:val="1"/>
      <w:numFmt w:val="none"/>
      <w:suff w:val="nothing"/>
      <w:lvlText w:val=""/>
      <w:lvlJc w:val="left"/>
      <w:pPr>
        <w:tabs>
          <w:tab w:val="num" w:pos="432"/>
        </w:tabs>
        <w:ind w:left="432" w:hanging="432"/>
      </w:pPr>
    </w:lvl>
    <w:lvl w:ilvl="1">
      <w:start w:val="1"/>
      <w:numFmt w:val="none"/>
      <w:pStyle w:val="Encapalament2"/>
      <w:suff w:val="nothing"/>
      <w:lvlText w:val=""/>
      <w:lvlJc w:val="left"/>
      <w:pPr>
        <w:tabs>
          <w:tab w:val="num" w:pos="576"/>
        </w:tabs>
        <w:ind w:left="576" w:hanging="576"/>
      </w:pPr>
    </w:lvl>
    <w:lvl w:ilvl="2">
      <w:start w:val="1"/>
      <w:numFmt w:val="none"/>
      <w:pStyle w:val="Encapalament3"/>
      <w:suff w:val="nothing"/>
      <w:lvlText w:val=""/>
      <w:lvlJc w:val="left"/>
      <w:pPr>
        <w:tabs>
          <w:tab w:val="num" w:pos="720"/>
        </w:tabs>
        <w:ind w:left="720" w:hanging="720"/>
      </w:pPr>
    </w:lvl>
    <w:lvl w:ilvl="3">
      <w:start w:val="1"/>
      <w:numFmt w:val="none"/>
      <w:pStyle w:val="Encapalament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Encapalament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6F4"/>
    <w:rsid w:val="00121700"/>
    <w:rsid w:val="001C5F8D"/>
    <w:rsid w:val="002E4BAE"/>
    <w:rsid w:val="00453AD1"/>
    <w:rsid w:val="005459C0"/>
    <w:rsid w:val="006D16F4"/>
    <w:rsid w:val="00753386"/>
    <w:rsid w:val="007F1A25"/>
    <w:rsid w:val="00B55D79"/>
    <w:rsid w:val="00C630C4"/>
    <w:rsid w:val="00D471E6"/>
    <w:rsid w:val="00D53C25"/>
    <w:rsid w:val="00D95F2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5ADC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F4"/>
    <w:rPr>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erdefecte">
    <w:name w:val="Per defecte"/>
    <w:rsid w:val="006D16F4"/>
    <w:pPr>
      <w:tabs>
        <w:tab w:val="left" w:pos="720"/>
      </w:tabs>
      <w:suppressAutoHyphens/>
      <w:spacing w:line="360" w:lineRule="auto"/>
    </w:pPr>
    <w:rPr>
      <w:rFonts w:ascii="Times New Roman" w:eastAsia="Droid Sans Fallback" w:hAnsi="Times New Roman"/>
      <w:lang w:val="ca-ES" w:eastAsia="en-US"/>
    </w:rPr>
  </w:style>
  <w:style w:type="paragraph" w:customStyle="1" w:styleId="Encapalament2">
    <w:name w:val="Encapçalament 2"/>
    <w:basedOn w:val="Perdefecte"/>
    <w:next w:val="Normal"/>
    <w:rsid w:val="006D16F4"/>
    <w:pPr>
      <w:keepNext/>
      <w:keepLines/>
      <w:numPr>
        <w:ilvl w:val="1"/>
        <w:numId w:val="1"/>
      </w:numPr>
      <w:spacing w:before="240" w:after="120"/>
      <w:outlineLvl w:val="1"/>
    </w:pPr>
    <w:rPr>
      <w:rFonts w:cs="Times New Roman"/>
      <w:b/>
      <w:bCs/>
      <w:color w:val="000000"/>
      <w:szCs w:val="26"/>
      <w:lang w:val="en-GB" w:eastAsia="ca-ES"/>
    </w:rPr>
  </w:style>
  <w:style w:type="paragraph" w:customStyle="1" w:styleId="Encapalament3">
    <w:name w:val="Encapçalament 3"/>
    <w:basedOn w:val="Perdefecte"/>
    <w:next w:val="Normal"/>
    <w:rsid w:val="006D16F4"/>
    <w:pPr>
      <w:keepNext/>
      <w:numPr>
        <w:ilvl w:val="2"/>
        <w:numId w:val="1"/>
      </w:numPr>
      <w:spacing w:before="360" w:after="120"/>
      <w:outlineLvl w:val="2"/>
    </w:pPr>
    <w:rPr>
      <w:rFonts w:eastAsia="Times New Roman" w:cs="Arial"/>
      <w:bCs/>
      <w:i/>
      <w:szCs w:val="26"/>
      <w:lang w:eastAsia="ca-ES"/>
    </w:rPr>
  </w:style>
  <w:style w:type="paragraph" w:customStyle="1" w:styleId="Encapalament4">
    <w:name w:val="Encapçalament 4"/>
    <w:basedOn w:val="Perdefecte"/>
    <w:next w:val="Normal"/>
    <w:rsid w:val="006D16F4"/>
    <w:pPr>
      <w:keepNext/>
      <w:keepLines/>
      <w:numPr>
        <w:ilvl w:val="3"/>
        <w:numId w:val="1"/>
      </w:numPr>
      <w:outlineLvl w:val="3"/>
    </w:pPr>
    <w:rPr>
      <w:bCs/>
      <w:iCs/>
    </w:rPr>
  </w:style>
  <w:style w:type="paragraph" w:customStyle="1" w:styleId="Encapalament6">
    <w:name w:val="Encapçalament 6"/>
    <w:basedOn w:val="Perdefecte"/>
    <w:next w:val="Normal"/>
    <w:rsid w:val="006D16F4"/>
    <w:pPr>
      <w:keepNext/>
      <w:keepLines/>
      <w:numPr>
        <w:ilvl w:val="5"/>
        <w:numId w:val="1"/>
      </w:numPr>
      <w:spacing w:before="200"/>
      <w:outlineLvl w:val="5"/>
    </w:pPr>
    <w:rPr>
      <w:rFonts w:ascii="Calibri" w:hAnsi="Calibri"/>
      <w:i/>
      <w:iCs/>
      <w:color w:val="243F60"/>
    </w:rPr>
  </w:style>
  <w:style w:type="character" w:styleId="Nmerodepgina">
    <w:name w:val="page number"/>
    <w:basedOn w:val="Fuentedeprrafopredeter"/>
    <w:rsid w:val="006D16F4"/>
  </w:style>
  <w:style w:type="paragraph" w:customStyle="1" w:styleId="Peudepgina">
    <w:name w:val="Peu de pàgina"/>
    <w:basedOn w:val="Perdefecte"/>
    <w:rsid w:val="006D16F4"/>
    <w:pPr>
      <w:suppressLineNumbers/>
      <w:tabs>
        <w:tab w:val="center" w:pos="4252"/>
        <w:tab w:val="right" w:pos="8504"/>
      </w:tabs>
    </w:pPr>
    <w:rPr>
      <w:rFonts w:eastAsia="Times New Roman" w:cs="Times New Roman"/>
      <w:lang w:eastAsia="ca-ES"/>
    </w:rPr>
  </w:style>
  <w:style w:type="paragraph" w:styleId="Textodeglobo">
    <w:name w:val="Balloon Text"/>
    <w:basedOn w:val="Normal"/>
    <w:link w:val="TextodegloboCar"/>
    <w:uiPriority w:val="99"/>
    <w:semiHidden/>
    <w:unhideWhenUsed/>
    <w:rsid w:val="005459C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459C0"/>
    <w:rPr>
      <w:rFonts w:ascii="Lucida Grande" w:hAnsi="Lucida Grande" w:cs="Lucida Grande"/>
      <w:sz w:val="18"/>
      <w:szCs w:val="18"/>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F4"/>
    <w:rPr>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erdefecte">
    <w:name w:val="Per defecte"/>
    <w:rsid w:val="006D16F4"/>
    <w:pPr>
      <w:tabs>
        <w:tab w:val="left" w:pos="720"/>
      </w:tabs>
      <w:suppressAutoHyphens/>
      <w:spacing w:line="360" w:lineRule="auto"/>
    </w:pPr>
    <w:rPr>
      <w:rFonts w:ascii="Times New Roman" w:eastAsia="Droid Sans Fallback" w:hAnsi="Times New Roman"/>
      <w:lang w:val="ca-ES" w:eastAsia="en-US"/>
    </w:rPr>
  </w:style>
  <w:style w:type="paragraph" w:customStyle="1" w:styleId="Encapalament2">
    <w:name w:val="Encapçalament 2"/>
    <w:basedOn w:val="Perdefecte"/>
    <w:next w:val="Normal"/>
    <w:rsid w:val="006D16F4"/>
    <w:pPr>
      <w:keepNext/>
      <w:keepLines/>
      <w:numPr>
        <w:ilvl w:val="1"/>
        <w:numId w:val="1"/>
      </w:numPr>
      <w:spacing w:before="240" w:after="120"/>
      <w:outlineLvl w:val="1"/>
    </w:pPr>
    <w:rPr>
      <w:rFonts w:cs="Times New Roman"/>
      <w:b/>
      <w:bCs/>
      <w:color w:val="000000"/>
      <w:szCs w:val="26"/>
      <w:lang w:val="en-GB" w:eastAsia="ca-ES"/>
    </w:rPr>
  </w:style>
  <w:style w:type="paragraph" w:customStyle="1" w:styleId="Encapalament3">
    <w:name w:val="Encapçalament 3"/>
    <w:basedOn w:val="Perdefecte"/>
    <w:next w:val="Normal"/>
    <w:rsid w:val="006D16F4"/>
    <w:pPr>
      <w:keepNext/>
      <w:numPr>
        <w:ilvl w:val="2"/>
        <w:numId w:val="1"/>
      </w:numPr>
      <w:spacing w:before="360" w:after="120"/>
      <w:outlineLvl w:val="2"/>
    </w:pPr>
    <w:rPr>
      <w:rFonts w:eastAsia="Times New Roman" w:cs="Arial"/>
      <w:bCs/>
      <w:i/>
      <w:szCs w:val="26"/>
      <w:lang w:eastAsia="ca-ES"/>
    </w:rPr>
  </w:style>
  <w:style w:type="paragraph" w:customStyle="1" w:styleId="Encapalament4">
    <w:name w:val="Encapçalament 4"/>
    <w:basedOn w:val="Perdefecte"/>
    <w:next w:val="Normal"/>
    <w:rsid w:val="006D16F4"/>
    <w:pPr>
      <w:keepNext/>
      <w:keepLines/>
      <w:numPr>
        <w:ilvl w:val="3"/>
        <w:numId w:val="1"/>
      </w:numPr>
      <w:outlineLvl w:val="3"/>
    </w:pPr>
    <w:rPr>
      <w:bCs/>
      <w:iCs/>
    </w:rPr>
  </w:style>
  <w:style w:type="paragraph" w:customStyle="1" w:styleId="Encapalament6">
    <w:name w:val="Encapçalament 6"/>
    <w:basedOn w:val="Perdefecte"/>
    <w:next w:val="Normal"/>
    <w:rsid w:val="006D16F4"/>
    <w:pPr>
      <w:keepNext/>
      <w:keepLines/>
      <w:numPr>
        <w:ilvl w:val="5"/>
        <w:numId w:val="1"/>
      </w:numPr>
      <w:spacing w:before="200"/>
      <w:outlineLvl w:val="5"/>
    </w:pPr>
    <w:rPr>
      <w:rFonts w:ascii="Calibri" w:hAnsi="Calibri"/>
      <w:i/>
      <w:iCs/>
      <w:color w:val="243F60"/>
    </w:rPr>
  </w:style>
  <w:style w:type="character" w:styleId="Nmerodepgina">
    <w:name w:val="page number"/>
    <w:basedOn w:val="Fuentedeprrafopredeter"/>
    <w:rsid w:val="006D16F4"/>
  </w:style>
  <w:style w:type="paragraph" w:customStyle="1" w:styleId="Peudepgina">
    <w:name w:val="Peu de pàgina"/>
    <w:basedOn w:val="Perdefecte"/>
    <w:rsid w:val="006D16F4"/>
    <w:pPr>
      <w:suppressLineNumbers/>
      <w:tabs>
        <w:tab w:val="center" w:pos="4252"/>
        <w:tab w:val="right" w:pos="8504"/>
      </w:tabs>
    </w:pPr>
    <w:rPr>
      <w:rFonts w:eastAsia="Times New Roman" w:cs="Times New Roman"/>
      <w:lang w:eastAsia="ca-ES"/>
    </w:rPr>
  </w:style>
  <w:style w:type="paragraph" w:styleId="Textodeglobo">
    <w:name w:val="Balloon Text"/>
    <w:basedOn w:val="Normal"/>
    <w:link w:val="TextodegloboCar"/>
    <w:uiPriority w:val="99"/>
    <w:semiHidden/>
    <w:unhideWhenUsed/>
    <w:rsid w:val="005459C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459C0"/>
    <w:rPr>
      <w:rFonts w:ascii="Lucida Grande" w:hAnsi="Lucida Grande" w:cs="Lucida Grande"/>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4692</Words>
  <Characters>25809</Characters>
  <Application>Microsoft Macintosh Word</Application>
  <DocSecurity>0</DocSecurity>
  <Lines>215</Lines>
  <Paragraphs>60</Paragraphs>
  <ScaleCrop>false</ScaleCrop>
  <Company/>
  <LinksUpToDate>false</LinksUpToDate>
  <CharactersWithSpaces>30441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df</dc:creator>
  <cp:keywords/>
  <dc:description/>
  <cp:lastModifiedBy>as df</cp:lastModifiedBy>
  <cp:revision>2</cp:revision>
  <dcterms:created xsi:type="dcterms:W3CDTF">2015-11-25T23:12:00Z</dcterms:created>
  <dcterms:modified xsi:type="dcterms:W3CDTF">2015-11-25T23:12:00Z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manuel.portero@mex.udl.cat@www.mendeley.com</vt:lpwstr>
  </property>
  <property fmtid="{D5CDD505-2E9C-101B-9397-08002B2CF9AE}" pid="4" name="Mendeley Citation Style_1">
    <vt:lpwstr>http://www.zotero.org/styles/acta-neuropathologica-communications</vt:lpwstr>
  </property>
  <property fmtid="{D5CDD505-2E9C-101B-9397-08002B2CF9AE}" pid="5" name="Mendeley Recent Style Id 0_1">
    <vt:lpwstr>http://www.zotero.org/styles/acta-neuropathologica-communications</vt:lpwstr>
  </property>
  <property fmtid="{D5CDD505-2E9C-101B-9397-08002B2CF9AE}" pid="6" name="Mendeley Recent Style Name 0_1">
    <vt:lpwstr>Acta Neuropathologica Communications</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http://www.zotero.org/styles/human-molecular-genetics</vt:lpwstr>
  </property>
  <property fmtid="{D5CDD505-2E9C-101B-9397-08002B2CF9AE}" pid="10" name="Mendeley Recent Style Name 2_1">
    <vt:lpwstr>Human Molecular Genetics</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http://www.zotero.org/styles/molecular-neurodegeneration</vt:lpwstr>
  </property>
  <property fmtid="{D5CDD505-2E9C-101B-9397-08002B2CF9AE}" pid="18" name="Mendeley Recent Style Name 6_1">
    <vt:lpwstr>Molecular Neurodegeneration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http://www.zotero.org/styles/neuromolecular-medicine</vt:lpwstr>
  </property>
  <property fmtid="{D5CDD505-2E9C-101B-9397-08002B2CF9AE}" pid="22" name="Mendeley Recent Style Name 8_1">
    <vt:lpwstr>NeuroMolecular Medicine</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