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0DC3" w:rsidRDefault="00BC0ABD" w:rsidP="00BC0ABD">
      <w:pPr>
        <w:spacing w:line="240" w:lineRule="auto"/>
        <w:contextualSpacing/>
        <w:jc w:val="center"/>
        <w:rPr>
          <w:rFonts w:ascii="Arial" w:hAnsi="Arial" w:cs="Arial"/>
          <w:b/>
          <w:sz w:val="24"/>
        </w:rPr>
      </w:pPr>
      <w:r>
        <w:rPr>
          <w:rFonts w:ascii="Arial" w:hAnsi="Arial" w:cs="Arial"/>
          <w:b/>
          <w:sz w:val="24"/>
        </w:rPr>
        <w:t>Additional File</w:t>
      </w:r>
    </w:p>
    <w:p w:rsidR="00100DC3" w:rsidRDefault="00100DC3" w:rsidP="00100DC3">
      <w:pPr>
        <w:spacing w:line="240" w:lineRule="auto"/>
        <w:contextualSpacing/>
        <w:rPr>
          <w:rFonts w:ascii="Arial" w:hAnsi="Arial" w:cs="Arial"/>
          <w:b/>
          <w:sz w:val="24"/>
        </w:rPr>
      </w:pPr>
    </w:p>
    <w:p w:rsidR="001F5670" w:rsidRDefault="001F5670" w:rsidP="00100DC3">
      <w:pPr>
        <w:spacing w:line="240" w:lineRule="auto"/>
        <w:contextualSpacing/>
        <w:rPr>
          <w:rFonts w:ascii="Arial" w:hAnsi="Arial" w:cs="Arial"/>
          <w:b/>
          <w:sz w:val="24"/>
        </w:rPr>
      </w:pPr>
    </w:p>
    <w:p w:rsidR="00100DC3" w:rsidRPr="00100DC3" w:rsidRDefault="00100DC3" w:rsidP="00100DC3">
      <w:pPr>
        <w:spacing w:line="240" w:lineRule="auto"/>
        <w:contextualSpacing/>
        <w:rPr>
          <w:rFonts w:ascii="Arial" w:hAnsi="Arial" w:cs="Arial"/>
          <w:sz w:val="24"/>
        </w:rPr>
      </w:pPr>
      <w:r w:rsidRPr="00100DC3">
        <w:rPr>
          <w:rFonts w:ascii="Arial" w:hAnsi="Arial" w:cs="Arial"/>
          <w:sz w:val="24"/>
        </w:rPr>
        <w:t>Endosulfine</w:t>
      </w:r>
      <w:r w:rsidR="001F5670">
        <w:rPr>
          <w:rFonts w:ascii="Arial" w:hAnsi="Arial" w:cs="Arial"/>
          <w:sz w:val="24"/>
        </w:rPr>
        <w:t>-</w:t>
      </w:r>
      <w:r w:rsidRPr="00100DC3">
        <w:rPr>
          <w:rFonts w:ascii="Arial" w:hAnsi="Arial" w:cs="Arial"/>
          <w:sz w:val="24"/>
        </w:rPr>
        <w:t>alpha</w:t>
      </w:r>
      <w:r w:rsidR="00E000D8">
        <w:rPr>
          <w:rFonts w:ascii="Arial" w:hAnsi="Arial" w:cs="Arial"/>
          <w:sz w:val="24"/>
        </w:rPr>
        <w:t xml:space="preserve"> inhibits membrane-induced α</w:t>
      </w:r>
      <w:r w:rsidRPr="00100DC3">
        <w:rPr>
          <w:rFonts w:ascii="Arial" w:hAnsi="Arial" w:cs="Arial"/>
          <w:sz w:val="24"/>
        </w:rPr>
        <w:t>-synuclein aggreg</w:t>
      </w:r>
      <w:r w:rsidR="00E000D8">
        <w:rPr>
          <w:rFonts w:ascii="Arial" w:hAnsi="Arial" w:cs="Arial"/>
          <w:sz w:val="24"/>
        </w:rPr>
        <w:t>ation and protects against α</w:t>
      </w:r>
      <w:r w:rsidRPr="00100DC3">
        <w:rPr>
          <w:rFonts w:ascii="Arial" w:hAnsi="Arial" w:cs="Arial"/>
          <w:sz w:val="24"/>
        </w:rPr>
        <w:t>-synuclein neurotoxicity</w:t>
      </w:r>
    </w:p>
    <w:p w:rsidR="00100DC3" w:rsidRDefault="00100DC3" w:rsidP="00100DC3">
      <w:pPr>
        <w:spacing w:line="240" w:lineRule="auto"/>
        <w:contextualSpacing/>
        <w:rPr>
          <w:rFonts w:ascii="Arial" w:hAnsi="Arial" w:cs="Arial"/>
        </w:rPr>
      </w:pPr>
    </w:p>
    <w:p w:rsidR="001F5670" w:rsidRDefault="001F5670" w:rsidP="00100DC3">
      <w:pPr>
        <w:spacing w:line="240" w:lineRule="auto"/>
        <w:contextualSpacing/>
        <w:rPr>
          <w:rFonts w:ascii="Arial" w:hAnsi="Arial" w:cs="Arial"/>
        </w:rPr>
      </w:pPr>
    </w:p>
    <w:p w:rsidR="00100DC3" w:rsidRPr="00B47B15" w:rsidRDefault="00100DC3" w:rsidP="00100DC3">
      <w:pPr>
        <w:spacing w:line="240" w:lineRule="auto"/>
        <w:contextualSpacing/>
        <w:rPr>
          <w:rFonts w:ascii="Arial" w:hAnsi="Arial" w:cs="Arial"/>
        </w:rPr>
      </w:pPr>
      <w:r w:rsidRPr="00DC7AC1">
        <w:rPr>
          <w:rFonts w:ascii="Arial" w:hAnsi="Arial" w:cs="Arial"/>
        </w:rPr>
        <w:t>Daniel Ysselstein</w:t>
      </w:r>
      <w:r>
        <w:rPr>
          <w:rFonts w:ascii="Arial" w:hAnsi="Arial" w:cs="Arial"/>
          <w:vertAlign w:val="superscript"/>
        </w:rPr>
        <w:t>1</w:t>
      </w:r>
      <w:r w:rsidRPr="00DC7AC1">
        <w:rPr>
          <w:rFonts w:ascii="Arial" w:hAnsi="Arial" w:cs="Arial"/>
          <w:vertAlign w:val="superscript"/>
        </w:rPr>
        <w:t>,</w:t>
      </w:r>
      <w:r>
        <w:rPr>
          <w:rFonts w:ascii="Arial" w:hAnsi="Arial" w:cs="Arial"/>
          <w:vertAlign w:val="superscript"/>
        </w:rPr>
        <w:t>2</w:t>
      </w:r>
      <w:r w:rsidRPr="00DC7AC1">
        <w:rPr>
          <w:rFonts w:ascii="Arial" w:hAnsi="Arial" w:cs="Arial"/>
        </w:rPr>
        <w:t>, Benjamin Dehay</w:t>
      </w:r>
      <w:r>
        <w:rPr>
          <w:rFonts w:ascii="Arial" w:hAnsi="Arial" w:cs="Arial"/>
          <w:vertAlign w:val="superscript"/>
        </w:rPr>
        <w:t>3</w:t>
      </w:r>
      <w:r w:rsidRPr="00DC7AC1">
        <w:rPr>
          <w:rFonts w:ascii="Arial" w:hAnsi="Arial" w:cs="Arial"/>
          <w:vertAlign w:val="superscript"/>
        </w:rPr>
        <w:t>,</w:t>
      </w:r>
      <w:r>
        <w:rPr>
          <w:rFonts w:ascii="Arial" w:hAnsi="Arial" w:cs="Arial"/>
          <w:vertAlign w:val="superscript"/>
        </w:rPr>
        <w:t>4</w:t>
      </w:r>
      <w:r w:rsidRPr="00DC7AC1">
        <w:rPr>
          <w:rFonts w:ascii="Arial" w:hAnsi="Arial" w:cs="Arial"/>
        </w:rPr>
        <w:t>, Isabel M. Costantino</w:t>
      </w:r>
      <w:r>
        <w:rPr>
          <w:rFonts w:ascii="Arial" w:hAnsi="Arial" w:cs="Arial"/>
          <w:vertAlign w:val="superscript"/>
        </w:rPr>
        <w:t>5</w:t>
      </w:r>
      <w:r w:rsidRPr="00DC7AC1">
        <w:rPr>
          <w:rFonts w:ascii="Arial" w:hAnsi="Arial" w:cs="Arial"/>
        </w:rPr>
        <w:t>, George P. McCabe</w:t>
      </w:r>
      <w:r>
        <w:rPr>
          <w:rFonts w:ascii="Arial" w:hAnsi="Arial" w:cs="Arial"/>
          <w:vertAlign w:val="superscript"/>
        </w:rPr>
        <w:t>6</w:t>
      </w:r>
      <w:r w:rsidRPr="00DC7AC1">
        <w:rPr>
          <w:rFonts w:ascii="Arial" w:hAnsi="Arial" w:cs="Arial"/>
        </w:rPr>
        <w:t>, Matthew P. Frosch</w:t>
      </w:r>
      <w:r>
        <w:rPr>
          <w:rFonts w:ascii="Arial" w:hAnsi="Arial" w:cs="Arial"/>
          <w:vertAlign w:val="superscript"/>
        </w:rPr>
        <w:t>5</w:t>
      </w:r>
      <w:r w:rsidRPr="00DC7AC1">
        <w:rPr>
          <w:rFonts w:ascii="Arial" w:hAnsi="Arial" w:cs="Arial"/>
        </w:rPr>
        <w:t>, Julia M. George</w:t>
      </w:r>
      <w:r>
        <w:rPr>
          <w:rFonts w:ascii="Arial" w:hAnsi="Arial" w:cs="Arial"/>
          <w:vertAlign w:val="superscript"/>
        </w:rPr>
        <w:t>7</w:t>
      </w:r>
      <w:r w:rsidRPr="00DC7AC1">
        <w:rPr>
          <w:rFonts w:ascii="Arial" w:hAnsi="Arial" w:cs="Arial"/>
        </w:rPr>
        <w:t>, Erwan Bezard</w:t>
      </w:r>
      <w:r>
        <w:rPr>
          <w:rFonts w:ascii="Arial" w:hAnsi="Arial" w:cs="Arial"/>
          <w:vertAlign w:val="superscript"/>
        </w:rPr>
        <w:t>3</w:t>
      </w:r>
      <w:r w:rsidRPr="00DC7AC1">
        <w:rPr>
          <w:rFonts w:ascii="Arial" w:hAnsi="Arial" w:cs="Arial"/>
          <w:vertAlign w:val="superscript"/>
        </w:rPr>
        <w:t>,</w:t>
      </w:r>
      <w:r>
        <w:rPr>
          <w:rFonts w:ascii="Arial" w:hAnsi="Arial" w:cs="Arial"/>
          <w:vertAlign w:val="superscript"/>
        </w:rPr>
        <w:t>4</w:t>
      </w:r>
      <w:r w:rsidRPr="00DC7AC1">
        <w:rPr>
          <w:rFonts w:ascii="Arial" w:hAnsi="Arial" w:cs="Arial"/>
        </w:rPr>
        <w:t>, Jean-Christophe Rochet</w:t>
      </w:r>
      <w:r w:rsidR="00606336">
        <w:rPr>
          <w:rFonts w:ascii="Arial" w:hAnsi="Arial" w:cs="Arial"/>
          <w:vertAlign w:val="superscript"/>
        </w:rPr>
        <w:t>1,2</w:t>
      </w:r>
      <w:r w:rsidRPr="00DC7AC1">
        <w:rPr>
          <w:rFonts w:ascii="Arial" w:hAnsi="Arial" w:cs="Arial"/>
          <w:vertAlign w:val="superscript"/>
        </w:rPr>
        <w:t>,</w:t>
      </w:r>
      <w:r>
        <w:rPr>
          <w:rFonts w:ascii="Arial" w:hAnsi="Arial" w:cs="Arial"/>
        </w:rPr>
        <w:t>*</w:t>
      </w:r>
    </w:p>
    <w:p w:rsidR="00100DC3" w:rsidRPr="00DC7AC1" w:rsidRDefault="00100DC3" w:rsidP="00100DC3">
      <w:pPr>
        <w:spacing w:line="240" w:lineRule="auto"/>
        <w:contextualSpacing/>
        <w:rPr>
          <w:rFonts w:ascii="Arial" w:hAnsi="Arial" w:cs="Arial"/>
        </w:rPr>
      </w:pPr>
    </w:p>
    <w:p w:rsidR="00100DC3" w:rsidRPr="00DC7AC1" w:rsidRDefault="00100DC3" w:rsidP="00100DC3">
      <w:pPr>
        <w:spacing w:line="240" w:lineRule="auto"/>
        <w:contextualSpacing/>
        <w:rPr>
          <w:rFonts w:ascii="Arial" w:hAnsi="Arial" w:cs="Arial"/>
        </w:rPr>
      </w:pPr>
      <w:r>
        <w:rPr>
          <w:rFonts w:ascii="Arial" w:hAnsi="Arial" w:cs="Arial"/>
          <w:vertAlign w:val="superscript"/>
        </w:rPr>
        <w:t>1</w:t>
      </w:r>
      <w:r w:rsidRPr="00DC7AC1">
        <w:rPr>
          <w:rFonts w:ascii="Arial" w:hAnsi="Arial" w:cs="Arial"/>
        </w:rPr>
        <w:t>Department of Medicinal Chemistry and Molecular Pharmacology, Purdue University, West Lafayette, IN, USA</w:t>
      </w:r>
    </w:p>
    <w:p w:rsidR="00100DC3" w:rsidRPr="00DC7AC1" w:rsidRDefault="00100DC3" w:rsidP="00100DC3">
      <w:pPr>
        <w:spacing w:line="240" w:lineRule="auto"/>
        <w:contextualSpacing/>
        <w:rPr>
          <w:rFonts w:ascii="Arial" w:hAnsi="Arial" w:cs="Arial"/>
        </w:rPr>
      </w:pPr>
      <w:r>
        <w:rPr>
          <w:rFonts w:ascii="Arial" w:hAnsi="Arial" w:cs="Arial"/>
          <w:vertAlign w:val="superscript"/>
          <w:lang w:val="es-ES"/>
        </w:rPr>
        <w:t>2</w:t>
      </w:r>
      <w:r w:rsidRPr="00DC7AC1">
        <w:rPr>
          <w:rFonts w:ascii="Arial" w:hAnsi="Arial" w:cs="Arial"/>
          <w:lang w:val="es-ES"/>
        </w:rPr>
        <w:t>Purdue Institute for Integrative Neuroscience</w:t>
      </w:r>
      <w:r w:rsidRPr="00DC7AC1">
        <w:rPr>
          <w:rFonts w:ascii="Arial" w:hAnsi="Arial" w:cs="Arial"/>
        </w:rPr>
        <w:t>, Purdue University, West Lafayette, IN, USA</w:t>
      </w:r>
      <w:r w:rsidRPr="00DC7AC1">
        <w:rPr>
          <w:rFonts w:ascii="Arial" w:hAnsi="Arial" w:cs="Arial"/>
          <w:lang w:val="es-ES"/>
        </w:rPr>
        <w:t xml:space="preserve"> </w:t>
      </w:r>
    </w:p>
    <w:p w:rsidR="00100DC3" w:rsidRPr="00DC7AC1" w:rsidRDefault="00100DC3" w:rsidP="00100DC3">
      <w:pPr>
        <w:spacing w:line="240" w:lineRule="auto"/>
        <w:contextualSpacing/>
        <w:rPr>
          <w:rFonts w:ascii="Arial" w:hAnsi="Arial" w:cs="Arial"/>
          <w:vertAlign w:val="superscript"/>
          <w:lang w:val="es-ES"/>
        </w:rPr>
      </w:pPr>
      <w:r>
        <w:rPr>
          <w:rFonts w:ascii="Arial" w:hAnsi="Arial" w:cs="Arial"/>
          <w:vertAlign w:val="superscript"/>
          <w:lang w:val="es-ES"/>
        </w:rPr>
        <w:t>3</w:t>
      </w:r>
      <w:r w:rsidRPr="00DC7AC1">
        <w:rPr>
          <w:rFonts w:ascii="Arial" w:hAnsi="Arial" w:cs="Arial"/>
          <w:lang w:val="es-ES"/>
        </w:rPr>
        <w:t>Univ</w:t>
      </w:r>
      <w:r w:rsidR="00606336">
        <w:rPr>
          <w:rFonts w:ascii="Arial" w:hAnsi="Arial" w:cs="Arial"/>
          <w:lang w:val="es-ES"/>
        </w:rPr>
        <w:t>ersité</w:t>
      </w:r>
      <w:r w:rsidRPr="00DC7AC1">
        <w:rPr>
          <w:rFonts w:ascii="Arial" w:hAnsi="Arial" w:cs="Arial"/>
          <w:lang w:val="es-ES"/>
        </w:rPr>
        <w:t xml:space="preserve"> de Bordeaux, Institut des Maladies Neurodégénératives, UMR 5293, Bordeaux, France</w:t>
      </w:r>
    </w:p>
    <w:p w:rsidR="00100DC3" w:rsidRPr="00DC7AC1" w:rsidRDefault="00100DC3" w:rsidP="00100DC3">
      <w:pPr>
        <w:spacing w:line="240" w:lineRule="auto"/>
        <w:contextualSpacing/>
        <w:rPr>
          <w:rFonts w:ascii="Arial" w:hAnsi="Arial" w:cs="Arial"/>
          <w:vertAlign w:val="superscript"/>
          <w:lang w:val="es-ES"/>
        </w:rPr>
      </w:pPr>
      <w:r>
        <w:rPr>
          <w:rFonts w:ascii="Arial" w:hAnsi="Arial" w:cs="Arial"/>
          <w:vertAlign w:val="superscript"/>
          <w:lang w:val="es-ES"/>
        </w:rPr>
        <w:t>4</w:t>
      </w:r>
      <w:r w:rsidRPr="00DC7AC1">
        <w:rPr>
          <w:rFonts w:ascii="Arial" w:hAnsi="Arial" w:cs="Arial"/>
          <w:lang w:val="es-ES"/>
        </w:rPr>
        <w:t>CNRS, Institut des Maladies Neurodégénératives, UMR 5293, Bordeaux, France</w:t>
      </w:r>
    </w:p>
    <w:p w:rsidR="00100DC3" w:rsidRPr="00DC7AC1" w:rsidRDefault="00100DC3" w:rsidP="00100DC3">
      <w:pPr>
        <w:spacing w:line="240" w:lineRule="auto"/>
        <w:contextualSpacing/>
        <w:rPr>
          <w:rFonts w:ascii="Arial" w:hAnsi="Arial" w:cs="Arial"/>
        </w:rPr>
      </w:pPr>
      <w:r>
        <w:rPr>
          <w:rFonts w:ascii="Arial" w:hAnsi="Arial" w:cs="Arial"/>
          <w:vertAlign w:val="superscript"/>
        </w:rPr>
        <w:t>5</w:t>
      </w:r>
      <w:r w:rsidRPr="00DC7AC1">
        <w:rPr>
          <w:rFonts w:ascii="Arial" w:hAnsi="Arial" w:cs="Arial"/>
        </w:rPr>
        <w:t>Department of Neurology, Massachusetts Alzheimer's Disease Research Center, Massachusetts General Hospital, Charlestown, MA, USA</w:t>
      </w:r>
    </w:p>
    <w:p w:rsidR="00100DC3" w:rsidRPr="00DC7AC1" w:rsidRDefault="00100DC3" w:rsidP="00100DC3">
      <w:pPr>
        <w:spacing w:line="240" w:lineRule="auto"/>
        <w:contextualSpacing/>
        <w:rPr>
          <w:rFonts w:ascii="Arial" w:hAnsi="Arial" w:cs="Arial"/>
        </w:rPr>
      </w:pPr>
      <w:r>
        <w:rPr>
          <w:rFonts w:ascii="Arial" w:hAnsi="Arial" w:cs="Arial"/>
          <w:vertAlign w:val="superscript"/>
        </w:rPr>
        <w:t>6</w:t>
      </w:r>
      <w:r w:rsidRPr="00DC7AC1">
        <w:rPr>
          <w:rFonts w:ascii="Arial" w:hAnsi="Arial" w:cs="Arial"/>
        </w:rPr>
        <w:t>Depar</w:t>
      </w:r>
      <w:r w:rsidR="004A67FD">
        <w:rPr>
          <w:rFonts w:ascii="Arial" w:hAnsi="Arial" w:cs="Arial"/>
        </w:rPr>
        <w:t>t</w:t>
      </w:r>
      <w:r w:rsidRPr="00DC7AC1">
        <w:rPr>
          <w:rFonts w:ascii="Arial" w:hAnsi="Arial" w:cs="Arial"/>
        </w:rPr>
        <w:t>ment of Statistics, Purdue University, West Lafayette, IN, USA</w:t>
      </w:r>
    </w:p>
    <w:p w:rsidR="00100DC3" w:rsidRPr="00DC7AC1" w:rsidRDefault="00100DC3" w:rsidP="00100DC3">
      <w:pPr>
        <w:spacing w:line="240" w:lineRule="auto"/>
        <w:contextualSpacing/>
        <w:rPr>
          <w:rFonts w:ascii="Arial" w:hAnsi="Arial" w:cs="Arial"/>
        </w:rPr>
      </w:pPr>
      <w:r>
        <w:rPr>
          <w:rFonts w:ascii="Arial" w:hAnsi="Arial" w:cs="Arial"/>
          <w:vertAlign w:val="superscript"/>
        </w:rPr>
        <w:t>7</w:t>
      </w:r>
      <w:r w:rsidR="00FE78C8">
        <w:rPr>
          <w:rFonts w:ascii="Arial" w:hAnsi="Arial" w:cs="Arial"/>
        </w:rPr>
        <w:t>Department of Biological and Experimental Psychology, S</w:t>
      </w:r>
      <w:r w:rsidRPr="00DC7AC1">
        <w:rPr>
          <w:rFonts w:ascii="Arial" w:hAnsi="Arial" w:cs="Arial"/>
        </w:rPr>
        <w:t>chool of Biological and Chemical Sciences, Queen Mary University of London, London, UK</w:t>
      </w:r>
    </w:p>
    <w:p w:rsidR="00100DC3" w:rsidRPr="00DC7AC1" w:rsidRDefault="00100DC3" w:rsidP="00100DC3">
      <w:pPr>
        <w:spacing w:line="240" w:lineRule="auto"/>
        <w:contextualSpacing/>
        <w:rPr>
          <w:rFonts w:ascii="Arial" w:hAnsi="Arial" w:cs="Arial"/>
        </w:rPr>
      </w:pPr>
    </w:p>
    <w:p w:rsidR="00100DC3" w:rsidRPr="00DC7AC1" w:rsidRDefault="00100DC3" w:rsidP="00100DC3">
      <w:pPr>
        <w:spacing w:line="240" w:lineRule="auto"/>
        <w:contextualSpacing/>
        <w:rPr>
          <w:rFonts w:ascii="Arial" w:hAnsi="Arial" w:cs="Arial"/>
        </w:rPr>
      </w:pPr>
    </w:p>
    <w:p w:rsidR="00100DC3" w:rsidRPr="00DC7AC1" w:rsidRDefault="00100DC3" w:rsidP="00100DC3">
      <w:pPr>
        <w:spacing w:line="240" w:lineRule="auto"/>
        <w:contextualSpacing/>
        <w:rPr>
          <w:rFonts w:ascii="Arial" w:hAnsi="Arial" w:cs="Arial"/>
        </w:rPr>
      </w:pPr>
      <w:r>
        <w:rPr>
          <w:rFonts w:ascii="Arial" w:hAnsi="Arial" w:cs="Arial"/>
        </w:rPr>
        <w:t>*</w:t>
      </w:r>
      <w:r w:rsidRPr="00DC7AC1">
        <w:rPr>
          <w:rFonts w:ascii="Arial" w:hAnsi="Arial" w:cs="Arial"/>
        </w:rPr>
        <w:t>To whom correspondence may be addressed: Email: jrochet@purdue.edu</w:t>
      </w:r>
    </w:p>
    <w:p w:rsidR="00100DC3" w:rsidRDefault="00100DC3" w:rsidP="00100DC3">
      <w:pPr>
        <w:spacing w:line="240" w:lineRule="auto"/>
        <w:contextualSpacing/>
        <w:rPr>
          <w:rFonts w:ascii="Arial" w:hAnsi="Arial" w:cs="Arial"/>
          <w:b/>
        </w:rPr>
      </w:pPr>
    </w:p>
    <w:p w:rsidR="00100DC3" w:rsidRDefault="00100DC3" w:rsidP="00100DC3">
      <w:pPr>
        <w:spacing w:line="240" w:lineRule="auto"/>
        <w:contextualSpacing/>
        <w:rPr>
          <w:rFonts w:ascii="Arial" w:hAnsi="Arial" w:cs="Arial"/>
          <w:b/>
        </w:rPr>
      </w:pPr>
    </w:p>
    <w:p w:rsidR="00100DC3" w:rsidRDefault="00100DC3" w:rsidP="00100DC3">
      <w:pPr>
        <w:spacing w:line="240" w:lineRule="auto"/>
        <w:contextualSpacing/>
        <w:rPr>
          <w:rFonts w:ascii="Arial" w:hAnsi="Arial" w:cs="Arial"/>
          <w:b/>
        </w:rPr>
      </w:pPr>
    </w:p>
    <w:p w:rsidR="00100DC3" w:rsidRDefault="00100DC3" w:rsidP="00100DC3">
      <w:pPr>
        <w:spacing w:line="240" w:lineRule="auto"/>
        <w:contextualSpacing/>
        <w:rPr>
          <w:rFonts w:ascii="Arial" w:hAnsi="Arial" w:cs="Arial"/>
          <w:b/>
        </w:rPr>
      </w:pPr>
    </w:p>
    <w:p w:rsidR="00100DC3" w:rsidRDefault="00100DC3" w:rsidP="00100DC3">
      <w:pPr>
        <w:spacing w:line="240" w:lineRule="auto"/>
        <w:contextualSpacing/>
        <w:rPr>
          <w:rFonts w:ascii="Arial" w:hAnsi="Arial" w:cs="Arial"/>
          <w:b/>
        </w:rPr>
      </w:pPr>
    </w:p>
    <w:p w:rsidR="00100DC3" w:rsidRDefault="00100DC3" w:rsidP="00100DC3">
      <w:pPr>
        <w:spacing w:line="240" w:lineRule="auto"/>
        <w:contextualSpacing/>
        <w:rPr>
          <w:rFonts w:ascii="Arial" w:hAnsi="Arial" w:cs="Arial"/>
          <w:b/>
        </w:rPr>
      </w:pPr>
    </w:p>
    <w:p w:rsidR="00100DC3" w:rsidRDefault="00100DC3" w:rsidP="00100DC3">
      <w:pPr>
        <w:spacing w:line="240" w:lineRule="auto"/>
        <w:contextualSpacing/>
        <w:rPr>
          <w:rFonts w:ascii="Arial" w:hAnsi="Arial" w:cs="Arial"/>
          <w:b/>
        </w:rPr>
      </w:pPr>
    </w:p>
    <w:p w:rsidR="00100DC3" w:rsidRDefault="00100DC3" w:rsidP="00100DC3">
      <w:pPr>
        <w:spacing w:line="240" w:lineRule="auto"/>
        <w:contextualSpacing/>
        <w:rPr>
          <w:rFonts w:ascii="Arial" w:hAnsi="Arial" w:cs="Arial"/>
          <w:b/>
        </w:rPr>
      </w:pPr>
    </w:p>
    <w:p w:rsidR="00100DC3" w:rsidRDefault="00100DC3" w:rsidP="00100DC3">
      <w:pPr>
        <w:spacing w:line="240" w:lineRule="auto"/>
        <w:contextualSpacing/>
        <w:rPr>
          <w:rFonts w:ascii="Arial" w:hAnsi="Arial" w:cs="Arial"/>
          <w:b/>
        </w:rPr>
      </w:pPr>
    </w:p>
    <w:p w:rsidR="00100DC3" w:rsidRPr="00DC7AC1" w:rsidRDefault="00100DC3" w:rsidP="00100DC3">
      <w:pPr>
        <w:spacing w:line="240" w:lineRule="auto"/>
        <w:contextualSpacing/>
        <w:rPr>
          <w:rFonts w:ascii="Arial" w:hAnsi="Arial" w:cs="Arial"/>
          <w:b/>
        </w:rPr>
      </w:pPr>
    </w:p>
    <w:p w:rsidR="00367359" w:rsidRPr="000D4139" w:rsidRDefault="00367359" w:rsidP="00367359">
      <w:pPr>
        <w:spacing w:line="240" w:lineRule="auto"/>
        <w:contextualSpacing/>
        <w:rPr>
          <w:rFonts w:ascii="Arial" w:hAnsi="Arial" w:cs="Arial"/>
          <w:b/>
          <w:sz w:val="24"/>
        </w:rPr>
      </w:pPr>
    </w:p>
    <w:p w:rsidR="00367359" w:rsidRDefault="00367359" w:rsidP="00367359">
      <w:pPr>
        <w:spacing w:line="240" w:lineRule="auto"/>
        <w:contextualSpacing/>
        <w:rPr>
          <w:rFonts w:ascii="Arial" w:hAnsi="Arial" w:cs="Arial"/>
          <w:b/>
        </w:rPr>
      </w:pPr>
    </w:p>
    <w:p w:rsidR="00100DC3" w:rsidRDefault="00100DC3" w:rsidP="00367359">
      <w:pPr>
        <w:spacing w:line="240" w:lineRule="auto"/>
        <w:contextualSpacing/>
        <w:rPr>
          <w:rFonts w:ascii="Arial" w:hAnsi="Arial" w:cs="Arial"/>
          <w:b/>
        </w:rPr>
      </w:pPr>
    </w:p>
    <w:p w:rsidR="00100DC3" w:rsidRPr="00E718F8" w:rsidRDefault="00100DC3" w:rsidP="00367359">
      <w:pPr>
        <w:spacing w:line="240" w:lineRule="auto"/>
        <w:contextualSpacing/>
        <w:rPr>
          <w:rFonts w:ascii="Arial" w:hAnsi="Arial" w:cs="Arial"/>
          <w:b/>
        </w:rPr>
      </w:pPr>
    </w:p>
    <w:p w:rsidR="00367359" w:rsidRPr="00E718F8" w:rsidRDefault="00AC23DA" w:rsidP="00367359">
      <w:pPr>
        <w:spacing w:line="240" w:lineRule="auto"/>
        <w:contextualSpacing/>
        <w:rPr>
          <w:rFonts w:ascii="Arial" w:hAnsi="Arial" w:cs="Arial"/>
        </w:rPr>
      </w:pPr>
      <w:bookmarkStart w:id="0" w:name="_Toc448792616"/>
      <w:r>
        <w:rPr>
          <w:rFonts w:ascii="Arial" w:hAnsi="Arial" w:cs="Arial"/>
          <w:b/>
          <w:noProof/>
        </w:rPr>
        <w:lastRenderedPageBreak/>
        <w:drawing>
          <wp:anchor distT="0" distB="0" distL="114300" distR="114300" simplePos="0" relativeHeight="251668480" behindDoc="0" locked="0" layoutInCell="1" allowOverlap="1">
            <wp:simplePos x="0" y="0"/>
            <wp:positionH relativeFrom="column">
              <wp:posOffset>485775</wp:posOffset>
            </wp:positionH>
            <wp:positionV relativeFrom="paragraph">
              <wp:posOffset>0</wp:posOffset>
            </wp:positionV>
            <wp:extent cx="4352925" cy="240474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352925" cy="2404745"/>
                    </a:xfrm>
                    <a:prstGeom prst="rect">
                      <a:avLst/>
                    </a:prstGeom>
                    <a:noFill/>
                  </pic:spPr>
                </pic:pic>
              </a:graphicData>
            </a:graphic>
            <wp14:sizeRelH relativeFrom="margin">
              <wp14:pctWidth>0</wp14:pctWidth>
            </wp14:sizeRelH>
            <wp14:sizeRelV relativeFrom="margin">
              <wp14:pctHeight>0</wp14:pctHeight>
            </wp14:sizeRelV>
          </wp:anchor>
        </w:drawing>
      </w:r>
      <w:r>
        <w:rPr>
          <w:rFonts w:ascii="Arial" w:hAnsi="Arial" w:cs="Arial"/>
          <w:b/>
        </w:rPr>
        <w:t>F</w:t>
      </w:r>
      <w:r w:rsidR="00367359" w:rsidRPr="00E718F8">
        <w:rPr>
          <w:rFonts w:ascii="Arial" w:hAnsi="Arial" w:cs="Arial"/>
          <w:b/>
        </w:rPr>
        <w:t xml:space="preserve">igure </w:t>
      </w:r>
      <w:r w:rsidR="00082A92">
        <w:rPr>
          <w:rFonts w:ascii="Arial" w:hAnsi="Arial" w:cs="Arial"/>
          <w:b/>
        </w:rPr>
        <w:t>S</w:t>
      </w:r>
      <w:r w:rsidR="00367359" w:rsidRPr="00E718F8">
        <w:rPr>
          <w:rFonts w:ascii="Arial" w:hAnsi="Arial" w:cs="Arial"/>
          <w:b/>
        </w:rPr>
        <w:t>1.</w:t>
      </w:r>
      <w:bookmarkEnd w:id="0"/>
      <w:r w:rsidR="00367359" w:rsidRPr="00E718F8">
        <w:rPr>
          <w:rFonts w:ascii="Arial" w:hAnsi="Arial" w:cs="Arial"/>
          <w:b/>
        </w:rPr>
        <w:t xml:space="preserve"> ENSA does not have a pronounced effect on the binding of aSyn to phospholipid membranes.</w:t>
      </w:r>
      <w:r w:rsidR="00367359" w:rsidRPr="00E718F8">
        <w:rPr>
          <w:rFonts w:ascii="Arial" w:hAnsi="Arial" w:cs="Arial"/>
        </w:rPr>
        <w:t xml:space="preserve"> A mixture of A30P (A) or G51D (B) (40 μM of each) and SUVs was incubated in the absence (-) or presence of WT ENSA (10-40 μM) for 3 h. Membrane fractions were isolated and analyzed via Western blotting.</w:t>
      </w:r>
    </w:p>
    <w:p w:rsidR="00367359" w:rsidRPr="00E718F8" w:rsidRDefault="00367359" w:rsidP="00367359">
      <w:pPr>
        <w:spacing w:line="240" w:lineRule="auto"/>
        <w:contextualSpacing/>
        <w:rPr>
          <w:rFonts w:ascii="Arial" w:hAnsi="Arial" w:cs="Arial"/>
        </w:rPr>
      </w:pPr>
      <w:r w:rsidRPr="00E718F8">
        <w:rPr>
          <w:rFonts w:ascii="Arial" w:hAnsi="Arial" w:cs="Arial"/>
        </w:rPr>
        <w:t xml:space="preserve"> </w:t>
      </w: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b/>
        </w:rPr>
      </w:pPr>
    </w:p>
    <w:p w:rsidR="00367359" w:rsidRPr="00E718F8" w:rsidRDefault="00367359" w:rsidP="00367359">
      <w:pPr>
        <w:spacing w:line="240" w:lineRule="auto"/>
        <w:contextualSpacing/>
        <w:rPr>
          <w:rFonts w:ascii="Arial" w:hAnsi="Arial" w:cs="Arial"/>
        </w:rPr>
      </w:pPr>
      <w:r w:rsidRPr="00E718F8">
        <w:rPr>
          <w:rFonts w:ascii="Arial" w:hAnsi="Arial" w:cs="Arial"/>
          <w:noProof/>
        </w:rPr>
        <w:lastRenderedPageBreak/>
        <w:drawing>
          <wp:anchor distT="0" distB="0" distL="114300" distR="114300" simplePos="0" relativeHeight="251659264" behindDoc="0" locked="0" layoutInCell="1" allowOverlap="1" wp14:anchorId="694A2215" wp14:editId="5C0A70EB">
            <wp:simplePos x="0" y="0"/>
            <wp:positionH relativeFrom="margin">
              <wp:posOffset>1043305</wp:posOffset>
            </wp:positionH>
            <wp:positionV relativeFrom="paragraph">
              <wp:posOffset>0</wp:posOffset>
            </wp:positionV>
            <wp:extent cx="3724275" cy="2638425"/>
            <wp:effectExtent l="0" t="0" r="0" b="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24275" cy="2638425"/>
                    </a:xfrm>
                    <a:prstGeom prst="rect">
                      <a:avLst/>
                    </a:prstGeom>
                    <a:noFill/>
                    <a:ln>
                      <a:noFill/>
                    </a:ln>
                  </pic:spPr>
                </pic:pic>
              </a:graphicData>
            </a:graphic>
          </wp:anchor>
        </w:drawing>
      </w:r>
      <w:bookmarkStart w:id="1" w:name="_Toc448792619"/>
      <w:r w:rsidR="00082A92">
        <w:rPr>
          <w:rFonts w:ascii="Arial" w:hAnsi="Arial" w:cs="Arial"/>
          <w:b/>
        </w:rPr>
        <w:t>F</w:t>
      </w:r>
      <w:r w:rsidR="00082A92" w:rsidRPr="00E718F8">
        <w:rPr>
          <w:rFonts w:ascii="Arial" w:hAnsi="Arial" w:cs="Arial"/>
          <w:b/>
        </w:rPr>
        <w:t xml:space="preserve">igure </w:t>
      </w:r>
      <w:r w:rsidR="00082A92">
        <w:rPr>
          <w:rFonts w:ascii="Arial" w:hAnsi="Arial" w:cs="Arial"/>
          <w:b/>
        </w:rPr>
        <w:t>S</w:t>
      </w:r>
      <w:r w:rsidR="004C581A">
        <w:rPr>
          <w:rFonts w:ascii="Arial" w:hAnsi="Arial" w:cs="Arial"/>
          <w:b/>
        </w:rPr>
        <w:t>2</w:t>
      </w:r>
      <w:r w:rsidRPr="00E718F8">
        <w:rPr>
          <w:rFonts w:ascii="Arial" w:hAnsi="Arial" w:cs="Arial"/>
          <w:b/>
        </w:rPr>
        <w:t>.</w:t>
      </w:r>
      <w:bookmarkEnd w:id="1"/>
      <w:r w:rsidRPr="00E718F8">
        <w:rPr>
          <w:rFonts w:ascii="Arial" w:hAnsi="Arial" w:cs="Arial"/>
          <w:b/>
        </w:rPr>
        <w:t xml:space="preserve"> A29E aSyn fails to elicit membrane disruption.</w:t>
      </w:r>
      <w:r w:rsidRPr="00E718F8">
        <w:rPr>
          <w:rFonts w:ascii="Arial" w:hAnsi="Arial" w:cs="Arial"/>
        </w:rPr>
        <w:t xml:space="preserve"> Calcein-loaded SUVs were incubated in the absence (‘control’) or presence of A30P, G51D, or A29E (40 µM of each). In a previous study we showed that A29E, in contrast to A30P and G51D, lacks the ability to undergo membrane-induced aggregation</w:t>
      </w:r>
      <w:r w:rsidR="002A789F">
        <w:rPr>
          <w:rFonts w:ascii="Arial" w:hAnsi="Arial" w:cs="Arial"/>
        </w:rPr>
        <w:t xml:space="preserve"> [58]</w:t>
      </w:r>
      <w:r w:rsidRPr="00E718F8">
        <w:rPr>
          <w:rFonts w:ascii="Arial" w:hAnsi="Arial" w:cs="Arial"/>
        </w:rPr>
        <w:t xml:space="preserve">. Calcein release was monitored via fluorescence measurements at an excitation wavelength of 485 nm and an emission wavelength of 515 nm. The data are presented as % dye release versus time, with 100% release determined as the signal obtained from vesicles treated with Triton X-100 (n = 2, control and A29E; n = 1, A30P and G51D). </w:t>
      </w: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AC23DA" w:rsidRDefault="00AC23DA" w:rsidP="00367359">
      <w:pPr>
        <w:spacing w:line="240" w:lineRule="auto"/>
        <w:contextualSpacing/>
        <w:rPr>
          <w:rFonts w:ascii="Arial" w:hAnsi="Arial" w:cs="Arial"/>
          <w:b/>
        </w:rPr>
      </w:pPr>
    </w:p>
    <w:p w:rsidR="00AC23DA" w:rsidRDefault="00AC23DA" w:rsidP="00367359">
      <w:pPr>
        <w:spacing w:line="240" w:lineRule="auto"/>
        <w:contextualSpacing/>
        <w:rPr>
          <w:rFonts w:ascii="Arial" w:hAnsi="Arial" w:cs="Arial"/>
          <w:b/>
        </w:rPr>
      </w:pPr>
    </w:p>
    <w:p w:rsidR="00AC23DA" w:rsidRDefault="00AC23DA" w:rsidP="00367359">
      <w:pPr>
        <w:spacing w:line="240" w:lineRule="auto"/>
        <w:contextualSpacing/>
        <w:rPr>
          <w:rFonts w:ascii="Arial" w:hAnsi="Arial" w:cs="Arial"/>
          <w:b/>
        </w:rPr>
      </w:pPr>
    </w:p>
    <w:p w:rsidR="00AC23DA" w:rsidRDefault="00AC23DA" w:rsidP="00367359">
      <w:pPr>
        <w:spacing w:line="240" w:lineRule="auto"/>
        <w:contextualSpacing/>
        <w:rPr>
          <w:rFonts w:ascii="Arial" w:hAnsi="Arial" w:cs="Arial"/>
          <w:b/>
        </w:rPr>
      </w:pPr>
    </w:p>
    <w:p w:rsidR="00AC23DA" w:rsidRDefault="00AC23DA" w:rsidP="00367359">
      <w:pPr>
        <w:spacing w:line="240" w:lineRule="auto"/>
        <w:contextualSpacing/>
        <w:rPr>
          <w:rFonts w:ascii="Arial" w:hAnsi="Arial" w:cs="Arial"/>
          <w:b/>
        </w:rPr>
      </w:pPr>
    </w:p>
    <w:p w:rsidR="00AC23DA" w:rsidRDefault="00AC23DA" w:rsidP="00367359">
      <w:pPr>
        <w:spacing w:line="240" w:lineRule="auto"/>
        <w:contextualSpacing/>
        <w:rPr>
          <w:rFonts w:ascii="Arial" w:hAnsi="Arial" w:cs="Arial"/>
          <w:b/>
        </w:rPr>
      </w:pPr>
    </w:p>
    <w:p w:rsidR="00AC23DA" w:rsidRDefault="00AC23DA" w:rsidP="00367359">
      <w:pPr>
        <w:spacing w:line="240" w:lineRule="auto"/>
        <w:contextualSpacing/>
        <w:rPr>
          <w:rFonts w:ascii="Arial" w:hAnsi="Arial" w:cs="Arial"/>
          <w:b/>
        </w:rPr>
      </w:pPr>
    </w:p>
    <w:p w:rsidR="00AC23DA" w:rsidRDefault="00AC23DA" w:rsidP="00367359">
      <w:pPr>
        <w:spacing w:line="240" w:lineRule="auto"/>
        <w:contextualSpacing/>
        <w:rPr>
          <w:rFonts w:ascii="Arial" w:hAnsi="Arial" w:cs="Arial"/>
          <w:b/>
        </w:rPr>
      </w:pPr>
    </w:p>
    <w:p w:rsidR="00AC23DA" w:rsidRDefault="00AC23DA" w:rsidP="00367359">
      <w:pPr>
        <w:spacing w:line="240" w:lineRule="auto"/>
        <w:contextualSpacing/>
        <w:rPr>
          <w:rFonts w:ascii="Arial" w:hAnsi="Arial" w:cs="Arial"/>
          <w:b/>
        </w:rPr>
      </w:pPr>
    </w:p>
    <w:p w:rsidR="00AC23DA" w:rsidRDefault="00AC23DA" w:rsidP="00367359">
      <w:pPr>
        <w:spacing w:line="240" w:lineRule="auto"/>
        <w:contextualSpacing/>
        <w:rPr>
          <w:rFonts w:ascii="Arial" w:hAnsi="Arial" w:cs="Arial"/>
          <w:b/>
        </w:rPr>
      </w:pPr>
    </w:p>
    <w:p w:rsidR="00AC23DA" w:rsidRDefault="00AC23DA" w:rsidP="00367359">
      <w:pPr>
        <w:spacing w:line="240" w:lineRule="auto"/>
        <w:contextualSpacing/>
        <w:rPr>
          <w:rFonts w:ascii="Arial" w:hAnsi="Arial" w:cs="Arial"/>
          <w:b/>
        </w:rPr>
      </w:pPr>
    </w:p>
    <w:p w:rsidR="00AC23DA" w:rsidRDefault="00AC23DA" w:rsidP="00367359">
      <w:pPr>
        <w:spacing w:line="240" w:lineRule="auto"/>
        <w:contextualSpacing/>
        <w:rPr>
          <w:rFonts w:ascii="Arial" w:hAnsi="Arial" w:cs="Arial"/>
          <w:b/>
        </w:rPr>
      </w:pPr>
    </w:p>
    <w:p w:rsidR="00367359" w:rsidRPr="00E718F8" w:rsidRDefault="00AC23DA" w:rsidP="00367359">
      <w:pPr>
        <w:spacing w:line="240" w:lineRule="auto"/>
        <w:contextualSpacing/>
        <w:rPr>
          <w:rFonts w:ascii="Arial" w:hAnsi="Arial" w:cs="Arial"/>
        </w:rPr>
      </w:pPr>
      <w:r w:rsidRPr="00E718F8">
        <w:rPr>
          <w:rFonts w:ascii="Arial" w:hAnsi="Arial" w:cs="Arial"/>
          <w:noProof/>
        </w:rPr>
        <w:lastRenderedPageBreak/>
        <w:drawing>
          <wp:anchor distT="0" distB="0" distL="114300" distR="114300" simplePos="0" relativeHeight="251663360" behindDoc="0" locked="0" layoutInCell="1" allowOverlap="1" wp14:anchorId="01F71240" wp14:editId="7E83C9A2">
            <wp:simplePos x="0" y="0"/>
            <wp:positionH relativeFrom="column">
              <wp:posOffset>1028700</wp:posOffset>
            </wp:positionH>
            <wp:positionV relativeFrom="paragraph">
              <wp:posOffset>0</wp:posOffset>
            </wp:positionV>
            <wp:extent cx="3864610" cy="272415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64610" cy="27241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2" w:name="_Toc448792618"/>
      <w:r w:rsidR="00082A92">
        <w:rPr>
          <w:rFonts w:ascii="Arial" w:hAnsi="Arial" w:cs="Arial"/>
          <w:b/>
        </w:rPr>
        <w:t>F</w:t>
      </w:r>
      <w:r w:rsidR="00082A92" w:rsidRPr="00E718F8">
        <w:rPr>
          <w:rFonts w:ascii="Arial" w:hAnsi="Arial" w:cs="Arial"/>
          <w:b/>
        </w:rPr>
        <w:t xml:space="preserve">igure </w:t>
      </w:r>
      <w:r w:rsidR="00082A92">
        <w:rPr>
          <w:rFonts w:ascii="Arial" w:hAnsi="Arial" w:cs="Arial"/>
          <w:b/>
        </w:rPr>
        <w:t>S</w:t>
      </w:r>
      <w:r w:rsidR="004C581A">
        <w:rPr>
          <w:rFonts w:ascii="Arial" w:hAnsi="Arial" w:cs="Arial"/>
          <w:b/>
        </w:rPr>
        <w:t>3</w:t>
      </w:r>
      <w:r w:rsidR="00367359" w:rsidRPr="00E718F8">
        <w:rPr>
          <w:rFonts w:ascii="Arial" w:hAnsi="Arial" w:cs="Arial"/>
          <w:b/>
        </w:rPr>
        <w:t>.</w:t>
      </w:r>
      <w:bookmarkEnd w:id="2"/>
      <w:r w:rsidR="00367359" w:rsidRPr="00E718F8">
        <w:rPr>
          <w:rFonts w:ascii="Arial" w:hAnsi="Arial" w:cs="Arial"/>
          <w:b/>
        </w:rPr>
        <w:t xml:space="preserve"> ENSA exhibits no membrane disruption activity on its own.</w:t>
      </w:r>
      <w:r w:rsidR="00367359" w:rsidRPr="00E718F8">
        <w:rPr>
          <w:rFonts w:ascii="Arial" w:hAnsi="Arial" w:cs="Arial"/>
        </w:rPr>
        <w:t xml:space="preserve"> Calcein-loaded SUVs were incubated in the absence (‘dye alone’) or presence of ENSA (10-40 µM). Calcein release was monitored via fluorescence measurements at an excitation wavelength of 485 nm and an emission wavelength of 515 nm. The data are presented as % dye release versus time, with 100% release determined as the signal obtained from vesicles treated with Triton X-100. Mean ± SEM, n = 3.</w:t>
      </w: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AC23DA" w:rsidRDefault="00AC23DA" w:rsidP="00367359">
      <w:pPr>
        <w:spacing w:line="240" w:lineRule="auto"/>
        <w:contextualSpacing/>
        <w:rPr>
          <w:rFonts w:ascii="Arial" w:hAnsi="Arial" w:cs="Arial"/>
        </w:rPr>
      </w:pPr>
    </w:p>
    <w:p w:rsidR="00AC23DA" w:rsidRDefault="00AC23DA" w:rsidP="00367359">
      <w:pPr>
        <w:spacing w:line="240" w:lineRule="auto"/>
        <w:contextualSpacing/>
        <w:rPr>
          <w:rFonts w:ascii="Arial" w:hAnsi="Arial" w:cs="Arial"/>
        </w:rPr>
      </w:pPr>
    </w:p>
    <w:p w:rsidR="00AC23DA" w:rsidRDefault="00AC23DA" w:rsidP="00367359">
      <w:pPr>
        <w:spacing w:line="240" w:lineRule="auto"/>
        <w:contextualSpacing/>
        <w:rPr>
          <w:rFonts w:ascii="Arial" w:hAnsi="Arial" w:cs="Arial"/>
        </w:rPr>
      </w:pPr>
    </w:p>
    <w:p w:rsidR="00AC23DA" w:rsidRDefault="00AC23DA" w:rsidP="00367359">
      <w:pPr>
        <w:spacing w:line="240" w:lineRule="auto"/>
        <w:contextualSpacing/>
        <w:rPr>
          <w:rFonts w:ascii="Arial" w:hAnsi="Arial" w:cs="Arial"/>
        </w:rPr>
      </w:pPr>
    </w:p>
    <w:p w:rsidR="00AC23DA" w:rsidRDefault="00AC23DA" w:rsidP="00367359">
      <w:pPr>
        <w:spacing w:line="240" w:lineRule="auto"/>
        <w:contextualSpacing/>
        <w:rPr>
          <w:rFonts w:ascii="Arial" w:hAnsi="Arial" w:cs="Arial"/>
        </w:rPr>
      </w:pPr>
    </w:p>
    <w:p w:rsidR="00AC23DA" w:rsidRDefault="00AC23DA" w:rsidP="00367359">
      <w:pPr>
        <w:spacing w:line="240" w:lineRule="auto"/>
        <w:contextualSpacing/>
        <w:rPr>
          <w:rFonts w:ascii="Arial" w:hAnsi="Arial" w:cs="Arial"/>
        </w:rPr>
      </w:pPr>
    </w:p>
    <w:p w:rsidR="00AC23DA" w:rsidRDefault="00AC23DA" w:rsidP="00367359">
      <w:pPr>
        <w:spacing w:line="240" w:lineRule="auto"/>
        <w:contextualSpacing/>
        <w:rPr>
          <w:rFonts w:ascii="Arial" w:hAnsi="Arial" w:cs="Arial"/>
        </w:rPr>
      </w:pPr>
    </w:p>
    <w:p w:rsidR="00AC23DA" w:rsidRDefault="00AC23DA" w:rsidP="00367359">
      <w:pPr>
        <w:spacing w:line="240" w:lineRule="auto"/>
        <w:contextualSpacing/>
        <w:rPr>
          <w:rFonts w:ascii="Arial" w:hAnsi="Arial" w:cs="Arial"/>
        </w:rPr>
      </w:pPr>
    </w:p>
    <w:p w:rsidR="00AC23DA" w:rsidRDefault="00AC23DA" w:rsidP="00367359">
      <w:pPr>
        <w:spacing w:line="240" w:lineRule="auto"/>
        <w:contextualSpacing/>
        <w:rPr>
          <w:rFonts w:ascii="Arial" w:hAnsi="Arial" w:cs="Arial"/>
        </w:rPr>
      </w:pPr>
    </w:p>
    <w:p w:rsidR="00AC23DA" w:rsidRDefault="00AC23DA" w:rsidP="00367359">
      <w:pPr>
        <w:spacing w:line="240" w:lineRule="auto"/>
        <w:contextualSpacing/>
        <w:rPr>
          <w:rFonts w:ascii="Arial" w:hAnsi="Arial" w:cs="Arial"/>
        </w:rPr>
      </w:pPr>
    </w:p>
    <w:p w:rsidR="00AC23DA" w:rsidRDefault="00AC23DA" w:rsidP="00367359">
      <w:pPr>
        <w:spacing w:line="240" w:lineRule="auto"/>
        <w:contextualSpacing/>
        <w:rPr>
          <w:rFonts w:ascii="Arial" w:hAnsi="Arial" w:cs="Arial"/>
        </w:rPr>
      </w:pPr>
    </w:p>
    <w:p w:rsidR="00AC23DA" w:rsidRPr="00E718F8" w:rsidRDefault="00AC23DA"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AC23DA" w:rsidP="00367359">
      <w:pPr>
        <w:spacing w:line="240" w:lineRule="auto"/>
        <w:contextualSpacing/>
        <w:rPr>
          <w:rFonts w:ascii="Arial" w:hAnsi="Arial" w:cs="Arial"/>
        </w:rPr>
      </w:pPr>
      <w:bookmarkStart w:id="3" w:name="_Toc448792620"/>
      <w:r>
        <w:rPr>
          <w:rFonts w:ascii="Arial" w:hAnsi="Arial" w:cs="Arial"/>
          <w:noProof/>
        </w:rPr>
        <w:lastRenderedPageBreak/>
        <w:drawing>
          <wp:anchor distT="0" distB="0" distL="114300" distR="114300" simplePos="0" relativeHeight="251667456" behindDoc="0" locked="0" layoutInCell="1" allowOverlap="1" wp14:anchorId="4C7DC623" wp14:editId="1026FE3D">
            <wp:simplePos x="0" y="0"/>
            <wp:positionH relativeFrom="column">
              <wp:posOffset>714375</wp:posOffset>
            </wp:positionH>
            <wp:positionV relativeFrom="paragraph">
              <wp:posOffset>0</wp:posOffset>
            </wp:positionV>
            <wp:extent cx="4829175" cy="4187825"/>
            <wp:effectExtent l="0" t="0" r="0" b="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29175" cy="4187825"/>
                    </a:xfrm>
                    <a:prstGeom prst="rect">
                      <a:avLst/>
                    </a:prstGeom>
                    <a:noFill/>
                  </pic:spPr>
                </pic:pic>
              </a:graphicData>
            </a:graphic>
            <wp14:sizeRelH relativeFrom="margin">
              <wp14:pctWidth>0</wp14:pctWidth>
            </wp14:sizeRelH>
            <wp14:sizeRelV relativeFrom="margin">
              <wp14:pctHeight>0</wp14:pctHeight>
            </wp14:sizeRelV>
          </wp:anchor>
        </w:drawing>
      </w:r>
      <w:r w:rsidR="00082A92">
        <w:rPr>
          <w:rFonts w:ascii="Arial" w:hAnsi="Arial" w:cs="Arial"/>
          <w:b/>
        </w:rPr>
        <w:t>F</w:t>
      </w:r>
      <w:r w:rsidR="00082A92" w:rsidRPr="00E718F8">
        <w:rPr>
          <w:rFonts w:ascii="Arial" w:hAnsi="Arial" w:cs="Arial"/>
          <w:b/>
        </w:rPr>
        <w:t xml:space="preserve">igure </w:t>
      </w:r>
      <w:r w:rsidR="00082A92">
        <w:rPr>
          <w:rFonts w:ascii="Arial" w:hAnsi="Arial" w:cs="Arial"/>
          <w:b/>
        </w:rPr>
        <w:t>S4</w:t>
      </w:r>
      <w:r w:rsidR="00367359" w:rsidRPr="00E718F8">
        <w:rPr>
          <w:rFonts w:ascii="Arial" w:hAnsi="Arial" w:cs="Arial"/>
          <w:b/>
        </w:rPr>
        <w:t>.</w:t>
      </w:r>
      <w:bookmarkEnd w:id="3"/>
      <w:r w:rsidR="00367359" w:rsidRPr="00E718F8">
        <w:rPr>
          <w:rFonts w:ascii="Arial" w:hAnsi="Arial" w:cs="Arial"/>
          <w:b/>
        </w:rPr>
        <w:t xml:space="preserve"> Results of Western blot analysis showing equal expression levels of WT ENSA and S109E in primary midbrain cultures.</w:t>
      </w:r>
      <w:r w:rsidR="00367359" w:rsidRPr="00E718F8">
        <w:rPr>
          <w:rFonts w:ascii="Arial" w:hAnsi="Arial" w:cs="Arial"/>
        </w:rPr>
        <w:t xml:space="preserve"> Lysates from cultures incubated in the absence (‘control’) or presence of adenovirus encoding β-gal (‘LacZ’), WT ENSA, or S109E at an MOI of 5 were a</w:t>
      </w:r>
      <w:r w:rsidR="00DC0B89">
        <w:rPr>
          <w:rFonts w:ascii="Arial" w:hAnsi="Arial" w:cs="Arial"/>
        </w:rPr>
        <w:t>nalyzed via Western blotting. (</w:t>
      </w:r>
      <w:r w:rsidR="00DC0B89" w:rsidRPr="00DC0B89">
        <w:rPr>
          <w:rFonts w:ascii="Arial" w:hAnsi="Arial" w:cs="Arial"/>
          <w:b/>
        </w:rPr>
        <w:t>a</w:t>
      </w:r>
      <w:r w:rsidR="00367359" w:rsidRPr="00E718F8">
        <w:rPr>
          <w:rFonts w:ascii="Arial" w:hAnsi="Arial" w:cs="Arial"/>
        </w:rPr>
        <w:t>) Images of Western blots probed with a primary antibody specific for human</w:t>
      </w:r>
      <w:r w:rsidR="00DC0B89">
        <w:rPr>
          <w:rFonts w:ascii="Arial" w:hAnsi="Arial" w:cs="Arial"/>
        </w:rPr>
        <w:t xml:space="preserve"> ENSA (upper panel) or β-actin</w:t>
      </w:r>
      <w:r w:rsidR="00367359" w:rsidRPr="00E718F8">
        <w:rPr>
          <w:rFonts w:ascii="Arial" w:hAnsi="Arial" w:cs="Arial"/>
        </w:rPr>
        <w:t xml:space="preserve"> as a loading control (lower panel). The blot in the upper panel reveals a single band at </w:t>
      </w:r>
      <w:r w:rsidR="0001098F">
        <w:rPr>
          <w:rFonts w:ascii="Arial" w:hAnsi="Arial" w:cs="Arial"/>
        </w:rPr>
        <w:t>~</w:t>
      </w:r>
      <w:r w:rsidR="00367359" w:rsidRPr="00E718F8">
        <w:rPr>
          <w:rFonts w:ascii="Arial" w:hAnsi="Arial" w:cs="Arial"/>
        </w:rPr>
        <w:t>15 kDa in lanes loaded with lysates of cells expressing ENSA, but not β-gal, confirming the specificity of the anti-ENSA antibody for the human protein. (</w:t>
      </w:r>
      <w:r w:rsidR="00DC0B89" w:rsidRPr="00DC0B89">
        <w:rPr>
          <w:rFonts w:ascii="Arial" w:hAnsi="Arial" w:cs="Arial"/>
          <w:b/>
        </w:rPr>
        <w:t>b</w:t>
      </w:r>
      <w:r w:rsidR="00367359" w:rsidRPr="00E718F8">
        <w:rPr>
          <w:rFonts w:ascii="Arial" w:hAnsi="Arial" w:cs="Arial"/>
        </w:rPr>
        <w:t>) Bar graph showing relative ENSA expression levels determined via densitometric analysis of the Western blot. ENSA band intensities were normalized to the corresponding β-actin signals and divided by the value obtained for cells expressing WT ENSA.</w:t>
      </w: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b/>
        </w:rPr>
      </w:pPr>
      <w:bookmarkStart w:id="4" w:name="_Toc448792621"/>
    </w:p>
    <w:p w:rsidR="00367359" w:rsidRPr="00E718F8" w:rsidRDefault="00367359" w:rsidP="00367359">
      <w:pPr>
        <w:spacing w:line="240" w:lineRule="auto"/>
        <w:contextualSpacing/>
        <w:rPr>
          <w:rFonts w:ascii="Arial" w:hAnsi="Arial" w:cs="Arial"/>
          <w:b/>
        </w:rPr>
      </w:pPr>
    </w:p>
    <w:p w:rsidR="00367359" w:rsidRPr="00E718F8" w:rsidRDefault="00367359" w:rsidP="00367359">
      <w:pPr>
        <w:spacing w:line="240" w:lineRule="auto"/>
        <w:contextualSpacing/>
        <w:rPr>
          <w:rFonts w:ascii="Arial" w:hAnsi="Arial" w:cs="Arial"/>
          <w:b/>
        </w:rPr>
      </w:pPr>
    </w:p>
    <w:p w:rsidR="00367359" w:rsidRPr="00E718F8" w:rsidRDefault="00367359" w:rsidP="00367359">
      <w:pPr>
        <w:spacing w:line="240" w:lineRule="auto"/>
        <w:contextualSpacing/>
        <w:rPr>
          <w:rFonts w:ascii="Arial" w:hAnsi="Arial" w:cs="Arial"/>
          <w:b/>
        </w:rPr>
      </w:pPr>
    </w:p>
    <w:p w:rsidR="00367359" w:rsidRPr="00E718F8" w:rsidRDefault="00367359" w:rsidP="00367359">
      <w:pPr>
        <w:spacing w:line="240" w:lineRule="auto"/>
        <w:contextualSpacing/>
        <w:rPr>
          <w:rFonts w:ascii="Arial" w:hAnsi="Arial" w:cs="Arial"/>
          <w:b/>
        </w:rPr>
      </w:pPr>
    </w:p>
    <w:p w:rsidR="00367359" w:rsidRPr="00E718F8" w:rsidRDefault="00367359" w:rsidP="00367359">
      <w:pPr>
        <w:spacing w:line="240" w:lineRule="auto"/>
        <w:contextualSpacing/>
        <w:rPr>
          <w:rFonts w:ascii="Arial" w:hAnsi="Arial" w:cs="Arial"/>
          <w:b/>
        </w:rPr>
      </w:pPr>
    </w:p>
    <w:p w:rsidR="00367359" w:rsidRPr="00E718F8" w:rsidRDefault="00367359" w:rsidP="00367359">
      <w:pPr>
        <w:spacing w:line="240" w:lineRule="auto"/>
        <w:contextualSpacing/>
        <w:rPr>
          <w:rFonts w:ascii="Arial" w:hAnsi="Arial" w:cs="Arial"/>
        </w:rPr>
      </w:pPr>
      <w:r w:rsidRPr="00E718F8">
        <w:rPr>
          <w:rFonts w:ascii="Arial" w:hAnsi="Arial" w:cs="Arial"/>
          <w:b/>
          <w:noProof/>
        </w:rPr>
        <w:lastRenderedPageBreak/>
        <w:drawing>
          <wp:anchor distT="0" distB="0" distL="114300" distR="114300" simplePos="0" relativeHeight="251665408" behindDoc="0" locked="0" layoutInCell="1" allowOverlap="1" wp14:anchorId="793CB6D0" wp14:editId="293E3550">
            <wp:simplePos x="0" y="0"/>
            <wp:positionH relativeFrom="column">
              <wp:posOffset>1133475</wp:posOffset>
            </wp:positionH>
            <wp:positionV relativeFrom="paragraph">
              <wp:posOffset>0</wp:posOffset>
            </wp:positionV>
            <wp:extent cx="3724275" cy="259715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724275" cy="2597150"/>
                    </a:xfrm>
                    <a:prstGeom prst="rect">
                      <a:avLst/>
                    </a:prstGeom>
                    <a:noFill/>
                  </pic:spPr>
                </pic:pic>
              </a:graphicData>
            </a:graphic>
            <wp14:sizeRelH relativeFrom="margin">
              <wp14:pctWidth>0</wp14:pctWidth>
            </wp14:sizeRelH>
            <wp14:sizeRelV relativeFrom="margin">
              <wp14:pctHeight>0</wp14:pctHeight>
            </wp14:sizeRelV>
          </wp:anchor>
        </w:drawing>
      </w:r>
      <w:r w:rsidR="00082A92">
        <w:rPr>
          <w:rFonts w:ascii="Arial" w:hAnsi="Arial" w:cs="Arial"/>
          <w:b/>
        </w:rPr>
        <w:t>F</w:t>
      </w:r>
      <w:r w:rsidR="00082A92" w:rsidRPr="00E718F8">
        <w:rPr>
          <w:rFonts w:ascii="Arial" w:hAnsi="Arial" w:cs="Arial"/>
          <w:b/>
        </w:rPr>
        <w:t xml:space="preserve">igure </w:t>
      </w:r>
      <w:r w:rsidR="00082A92">
        <w:rPr>
          <w:rFonts w:ascii="Arial" w:hAnsi="Arial" w:cs="Arial"/>
          <w:b/>
        </w:rPr>
        <w:t>S5</w:t>
      </w:r>
      <w:r w:rsidRPr="00E718F8">
        <w:rPr>
          <w:rFonts w:ascii="Arial" w:hAnsi="Arial" w:cs="Arial"/>
          <w:b/>
        </w:rPr>
        <w:t>.</w:t>
      </w:r>
      <w:bookmarkEnd w:id="4"/>
      <w:r w:rsidRPr="00E718F8">
        <w:rPr>
          <w:rFonts w:ascii="Arial" w:hAnsi="Arial" w:cs="Arial"/>
          <w:b/>
        </w:rPr>
        <w:t xml:space="preserve"> WT ENSA and S109E do not elicit neurotoxicity when expressed alone or in combination with β-gal.</w:t>
      </w:r>
      <w:r w:rsidRPr="00E718F8">
        <w:rPr>
          <w:rFonts w:ascii="Arial" w:hAnsi="Arial" w:cs="Arial"/>
        </w:rPr>
        <w:t xml:space="preserve"> Primary midbrain cultures were transduced with adenoviruses encoding LacZ, WT ENSA, S109E, LacZ plus WT ENSA, or LacZ plus S109E at MOIs equivalent to those used in the experiment described in Fig. </w:t>
      </w:r>
      <w:r w:rsidR="00EB417E">
        <w:rPr>
          <w:rFonts w:ascii="Arial" w:hAnsi="Arial" w:cs="Arial"/>
        </w:rPr>
        <w:t>4</w:t>
      </w:r>
      <w:r w:rsidRPr="00E718F8">
        <w:rPr>
          <w:rFonts w:ascii="Arial" w:hAnsi="Arial" w:cs="Arial"/>
        </w:rPr>
        <w:t>. Additional cultures were untransduced (‘control’). The cells were fixed, stained with antibodies specific for MAP2 and TH, and scored for neurite lengths. The data are presented as the mean ± SEM (n = 1).</w:t>
      </w: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u w:val="single"/>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AC23DA" w:rsidP="00367359">
      <w:pPr>
        <w:spacing w:line="240" w:lineRule="auto"/>
        <w:contextualSpacing/>
        <w:rPr>
          <w:rFonts w:ascii="Arial" w:hAnsi="Arial" w:cs="Arial"/>
          <w:b/>
        </w:rPr>
      </w:pPr>
      <w:r>
        <w:rPr>
          <w:rFonts w:ascii="Arial" w:hAnsi="Arial" w:cs="Arial"/>
          <w:b/>
          <w:noProof/>
        </w:rPr>
        <w:lastRenderedPageBreak/>
        <w:drawing>
          <wp:anchor distT="0" distB="0" distL="114300" distR="114300" simplePos="0" relativeHeight="251666432" behindDoc="0" locked="0" layoutInCell="1" allowOverlap="1">
            <wp:simplePos x="0" y="0"/>
            <wp:positionH relativeFrom="column">
              <wp:posOffset>542925</wp:posOffset>
            </wp:positionH>
            <wp:positionV relativeFrom="paragraph">
              <wp:posOffset>0</wp:posOffset>
            </wp:positionV>
            <wp:extent cx="4752975" cy="3637915"/>
            <wp:effectExtent l="0" t="0" r="0"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52975" cy="3637915"/>
                    </a:xfrm>
                    <a:prstGeom prst="rect">
                      <a:avLst/>
                    </a:prstGeom>
                    <a:noFill/>
                  </pic:spPr>
                </pic:pic>
              </a:graphicData>
            </a:graphic>
            <wp14:sizeRelH relativeFrom="page">
              <wp14:pctWidth>0</wp14:pctWidth>
            </wp14:sizeRelH>
            <wp14:sizeRelV relativeFrom="page">
              <wp14:pctHeight>0</wp14:pctHeight>
            </wp14:sizeRelV>
          </wp:anchor>
        </w:drawing>
      </w:r>
    </w:p>
    <w:p w:rsidR="00367359" w:rsidRPr="00E718F8" w:rsidRDefault="00082A92" w:rsidP="00367359">
      <w:pPr>
        <w:spacing w:line="240" w:lineRule="auto"/>
        <w:contextualSpacing/>
        <w:rPr>
          <w:rFonts w:ascii="Arial" w:hAnsi="Arial" w:cs="Arial"/>
        </w:rPr>
      </w:pPr>
      <w:r>
        <w:rPr>
          <w:rFonts w:ascii="Arial" w:hAnsi="Arial" w:cs="Arial"/>
          <w:b/>
        </w:rPr>
        <w:t>F</w:t>
      </w:r>
      <w:r w:rsidRPr="00E718F8">
        <w:rPr>
          <w:rFonts w:ascii="Arial" w:hAnsi="Arial" w:cs="Arial"/>
          <w:b/>
        </w:rPr>
        <w:t xml:space="preserve">igure </w:t>
      </w:r>
      <w:r>
        <w:rPr>
          <w:rFonts w:ascii="Arial" w:hAnsi="Arial" w:cs="Arial"/>
          <w:b/>
        </w:rPr>
        <w:t>S6</w:t>
      </w:r>
      <w:r w:rsidR="00367359" w:rsidRPr="00E718F8">
        <w:rPr>
          <w:rFonts w:ascii="Arial" w:hAnsi="Arial" w:cs="Arial"/>
          <w:b/>
        </w:rPr>
        <w:t xml:space="preserve">. Western blot image showing a trend towards reduced ENSA expression levels in the </w:t>
      </w:r>
      <w:r w:rsidR="00367359" w:rsidRPr="00E718F8">
        <w:rPr>
          <w:rFonts w:ascii="Arial" w:hAnsi="Arial" w:cs="Arial"/>
          <w:b/>
          <w:i/>
        </w:rPr>
        <w:t>substantia nigra</w:t>
      </w:r>
      <w:r w:rsidR="00367359" w:rsidRPr="00E718F8">
        <w:rPr>
          <w:rFonts w:ascii="Arial" w:hAnsi="Arial" w:cs="Arial"/>
          <w:b/>
        </w:rPr>
        <w:t xml:space="preserve"> region of PD patients versus non-diseased individuals.</w:t>
      </w:r>
      <w:r w:rsidR="00367359" w:rsidRPr="00E718F8">
        <w:rPr>
          <w:rFonts w:ascii="Arial" w:hAnsi="Arial" w:cs="Arial"/>
        </w:rPr>
        <w:t xml:space="preserve"> </w:t>
      </w:r>
      <w:r w:rsidR="00DC0B89">
        <w:rPr>
          <w:rFonts w:ascii="Arial" w:hAnsi="Arial" w:cs="Arial"/>
        </w:rPr>
        <w:t xml:space="preserve">Tissue samples consisted of the </w:t>
      </w:r>
      <w:r w:rsidR="00DC0B89" w:rsidRPr="00DC0B89">
        <w:rPr>
          <w:rFonts w:ascii="Arial" w:hAnsi="Arial" w:cs="Arial"/>
          <w:i/>
        </w:rPr>
        <w:t>substantia nigra</w:t>
      </w:r>
      <w:r w:rsidR="00DC0B89">
        <w:rPr>
          <w:rFonts w:ascii="Arial" w:hAnsi="Arial" w:cs="Arial"/>
        </w:rPr>
        <w:t xml:space="preserve"> region of PD patients and age</w:t>
      </w:r>
      <w:r w:rsidR="00EE4791">
        <w:rPr>
          <w:rFonts w:ascii="Arial" w:hAnsi="Arial" w:cs="Arial"/>
        </w:rPr>
        <w:t>-</w:t>
      </w:r>
      <w:r w:rsidR="00DC0B89">
        <w:rPr>
          <w:rFonts w:ascii="Arial" w:hAnsi="Arial" w:cs="Arial"/>
        </w:rPr>
        <w:t xml:space="preserve">matched controls, provided by GIE Neuro-CEB. </w:t>
      </w:r>
      <w:r w:rsidR="00DC0B89" w:rsidRPr="00DC7AC1">
        <w:rPr>
          <w:rFonts w:ascii="Arial" w:hAnsi="Arial" w:cs="Arial"/>
        </w:rPr>
        <w:t xml:space="preserve">The tissues were homogenized and examined for ENSA expression via Western blotting. </w:t>
      </w:r>
      <w:r w:rsidR="00DC0B89">
        <w:rPr>
          <w:rFonts w:ascii="Arial" w:hAnsi="Arial" w:cs="Arial"/>
        </w:rPr>
        <w:t xml:space="preserve"> (</w:t>
      </w:r>
      <w:r w:rsidR="00DC0B89" w:rsidRPr="00DC0B89">
        <w:rPr>
          <w:rFonts w:ascii="Arial" w:hAnsi="Arial" w:cs="Arial"/>
          <w:b/>
        </w:rPr>
        <w:t>a</w:t>
      </w:r>
      <w:r w:rsidR="00DC0B89">
        <w:rPr>
          <w:rFonts w:ascii="Arial" w:hAnsi="Arial" w:cs="Arial"/>
        </w:rPr>
        <w:t xml:space="preserve">) Images of a Western blot </w:t>
      </w:r>
      <w:r w:rsidR="00367359" w:rsidRPr="00E718F8">
        <w:rPr>
          <w:rFonts w:ascii="Arial" w:hAnsi="Arial" w:cs="Arial"/>
        </w:rPr>
        <w:t>probed with a primary antibody specific for human ENSA (</w:t>
      </w:r>
      <w:r w:rsidR="00DC0B89">
        <w:rPr>
          <w:rFonts w:ascii="Arial" w:hAnsi="Arial" w:cs="Arial"/>
        </w:rPr>
        <w:t>upper panel) or β-actin (lower panel</w:t>
      </w:r>
      <w:r w:rsidR="00367359" w:rsidRPr="00E718F8">
        <w:rPr>
          <w:rFonts w:ascii="Arial" w:hAnsi="Arial" w:cs="Arial"/>
        </w:rPr>
        <w:t xml:space="preserve">) as a loading control. </w:t>
      </w:r>
      <w:r w:rsidR="00DC0B89">
        <w:rPr>
          <w:rFonts w:ascii="Arial" w:hAnsi="Arial" w:cs="Arial"/>
        </w:rPr>
        <w:t>(</w:t>
      </w:r>
      <w:r w:rsidR="00DC0B89" w:rsidRPr="00DC0B89">
        <w:rPr>
          <w:rFonts w:ascii="Arial" w:hAnsi="Arial" w:cs="Arial"/>
          <w:b/>
        </w:rPr>
        <w:t>b</w:t>
      </w:r>
      <w:r w:rsidR="00DC0B89">
        <w:rPr>
          <w:rFonts w:ascii="Arial" w:hAnsi="Arial" w:cs="Arial"/>
        </w:rPr>
        <w:t xml:space="preserve">) </w:t>
      </w:r>
      <w:r w:rsidR="0001098F">
        <w:rPr>
          <w:rFonts w:ascii="Arial" w:hAnsi="Arial" w:cs="Arial"/>
        </w:rPr>
        <w:t>Bar graph</w:t>
      </w:r>
      <w:r w:rsidR="00DC0B89" w:rsidRPr="00DC7AC1">
        <w:rPr>
          <w:rFonts w:ascii="Arial" w:hAnsi="Arial" w:cs="Arial"/>
        </w:rPr>
        <w:t xml:space="preserve"> showing relative ENSA expression levels determined via densito</w:t>
      </w:r>
      <w:r w:rsidR="004829C6">
        <w:rPr>
          <w:rFonts w:ascii="Arial" w:hAnsi="Arial" w:cs="Arial"/>
        </w:rPr>
        <w:t>metric analysis of the Western blot</w:t>
      </w:r>
      <w:r w:rsidR="00DC0B89">
        <w:rPr>
          <w:rFonts w:ascii="Arial" w:hAnsi="Arial" w:cs="Arial"/>
        </w:rPr>
        <w:t xml:space="preserve">. </w:t>
      </w:r>
      <w:r w:rsidR="00DC0B89" w:rsidRPr="00DC7AC1">
        <w:rPr>
          <w:rFonts w:ascii="Arial" w:hAnsi="Arial" w:cs="Arial"/>
        </w:rPr>
        <w:t>ENSA band intensities were normalized to the corresponding β-actin signals and divided by the mean value obtained for control samples.</w:t>
      </w:r>
      <w:r w:rsidR="00DC0B89">
        <w:rPr>
          <w:rFonts w:ascii="Arial" w:hAnsi="Arial" w:cs="Arial"/>
        </w:rPr>
        <w:t xml:space="preserve"> </w:t>
      </w:r>
      <w:r w:rsidR="00DC0B89" w:rsidRPr="00DC7AC1">
        <w:rPr>
          <w:rFonts w:ascii="Arial" w:hAnsi="Arial" w:cs="Arial"/>
        </w:rPr>
        <w:t>The data are presented as the mean ± SEM, n = 4 (controls) or n = 7 (patien</w:t>
      </w:r>
      <w:r w:rsidR="00DC0B89" w:rsidRPr="003015FD">
        <w:rPr>
          <w:rFonts w:ascii="Arial" w:hAnsi="Arial" w:cs="Arial"/>
        </w:rPr>
        <w:t>ts)</w:t>
      </w:r>
      <w:r w:rsidR="00A362B3" w:rsidRPr="003015FD">
        <w:rPr>
          <w:rFonts w:ascii="Arial" w:hAnsi="Arial" w:cs="Arial"/>
        </w:rPr>
        <w:t xml:space="preserve">. Although there is variation in the β-actin band intensities among the different </w:t>
      </w:r>
      <w:r w:rsidR="00100577" w:rsidRPr="003015FD">
        <w:rPr>
          <w:rFonts w:ascii="Arial" w:hAnsi="Arial" w:cs="Arial"/>
        </w:rPr>
        <w:t>samples</w:t>
      </w:r>
      <w:r w:rsidR="00A362B3" w:rsidRPr="003015FD">
        <w:rPr>
          <w:rFonts w:ascii="Arial" w:hAnsi="Arial" w:cs="Arial"/>
        </w:rPr>
        <w:t xml:space="preserve">, this variation does not affect the interpretation of the data because the ENSA band intensities were normalized to the corresponding β-actin signals. </w:t>
      </w:r>
      <w:r w:rsidR="00100577" w:rsidRPr="003015FD">
        <w:rPr>
          <w:rFonts w:ascii="Arial" w:hAnsi="Arial" w:cs="Arial"/>
        </w:rPr>
        <w:t xml:space="preserve">Moreover, </w:t>
      </w:r>
      <w:r w:rsidR="00A362B3" w:rsidRPr="003015FD">
        <w:rPr>
          <w:rFonts w:ascii="Arial" w:hAnsi="Arial" w:cs="Arial"/>
        </w:rPr>
        <w:t xml:space="preserve">the </w:t>
      </w:r>
      <w:r w:rsidR="00100577" w:rsidRPr="003015FD">
        <w:rPr>
          <w:rFonts w:ascii="Arial" w:hAnsi="Arial" w:cs="Arial"/>
        </w:rPr>
        <w:t xml:space="preserve">~50% </w:t>
      </w:r>
      <w:r w:rsidR="00CF14C2" w:rsidRPr="003015FD">
        <w:rPr>
          <w:rFonts w:ascii="Arial" w:hAnsi="Arial" w:cs="Arial"/>
        </w:rPr>
        <w:t xml:space="preserve">down-regulation of ENSA </w:t>
      </w:r>
      <w:r w:rsidR="00A362B3" w:rsidRPr="003015FD">
        <w:rPr>
          <w:rFonts w:ascii="Arial" w:hAnsi="Arial" w:cs="Arial"/>
        </w:rPr>
        <w:t>shown in panel B</w:t>
      </w:r>
      <w:r w:rsidR="00CF14C2" w:rsidRPr="003015FD">
        <w:rPr>
          <w:rFonts w:ascii="Arial" w:hAnsi="Arial" w:cs="Arial"/>
        </w:rPr>
        <w:t xml:space="preserve"> cannot be attributed to nigral neurodegeneration because the total neuronal loss in PD </w:t>
      </w:r>
      <w:r w:rsidR="00CF14C2" w:rsidRPr="003015FD">
        <w:rPr>
          <w:rFonts w:ascii="Arial" w:hAnsi="Arial" w:cs="Arial"/>
          <w:i/>
        </w:rPr>
        <w:t>substantia nigra</w:t>
      </w:r>
      <w:r w:rsidR="00CF14C2" w:rsidRPr="003015FD">
        <w:rPr>
          <w:rFonts w:ascii="Arial" w:hAnsi="Arial" w:cs="Arial"/>
        </w:rPr>
        <w:t xml:space="preserve"> relative to controls is much less than 50%</w:t>
      </w:r>
      <w:r w:rsidR="00A362B3" w:rsidRPr="003015FD">
        <w:rPr>
          <w:rFonts w:ascii="Arial" w:hAnsi="Arial" w:cs="Arial"/>
        </w:rPr>
        <w:t>.</w:t>
      </w:r>
    </w:p>
    <w:p w:rsidR="00367359" w:rsidRPr="00E718F8" w:rsidRDefault="00367359" w:rsidP="00367359">
      <w:pPr>
        <w:spacing w:line="240" w:lineRule="auto"/>
        <w:contextualSpacing/>
        <w:rPr>
          <w:rFonts w:ascii="Arial" w:hAnsi="Arial" w:cs="Arial"/>
        </w:rPr>
      </w:pPr>
    </w:p>
    <w:p w:rsidR="00DC0B89" w:rsidRDefault="00DC0B89" w:rsidP="00367359">
      <w:pPr>
        <w:spacing w:line="240" w:lineRule="auto"/>
        <w:contextualSpacing/>
        <w:rPr>
          <w:rFonts w:ascii="Arial" w:hAnsi="Arial" w:cs="Arial"/>
          <w:szCs w:val="24"/>
        </w:rPr>
      </w:pPr>
    </w:p>
    <w:p w:rsidR="00DC0B89" w:rsidRDefault="00DC0B89" w:rsidP="00367359">
      <w:pPr>
        <w:spacing w:line="240" w:lineRule="auto"/>
        <w:contextualSpacing/>
        <w:rPr>
          <w:rFonts w:ascii="Arial" w:hAnsi="Arial" w:cs="Arial"/>
          <w:szCs w:val="24"/>
        </w:rPr>
      </w:pPr>
    </w:p>
    <w:p w:rsidR="00DC0B89" w:rsidRDefault="00DC0B89" w:rsidP="00367359">
      <w:pPr>
        <w:spacing w:line="240" w:lineRule="auto"/>
        <w:contextualSpacing/>
        <w:rPr>
          <w:rFonts w:ascii="Arial" w:hAnsi="Arial" w:cs="Arial"/>
          <w:szCs w:val="24"/>
        </w:rPr>
      </w:pPr>
    </w:p>
    <w:p w:rsidR="00DC0B89" w:rsidRDefault="00DC0B89" w:rsidP="00367359">
      <w:pPr>
        <w:spacing w:line="240" w:lineRule="auto"/>
        <w:contextualSpacing/>
        <w:rPr>
          <w:rFonts w:ascii="Arial" w:hAnsi="Arial" w:cs="Arial"/>
          <w:szCs w:val="24"/>
        </w:rPr>
      </w:pPr>
    </w:p>
    <w:p w:rsidR="00DC0B89" w:rsidRDefault="00DC0B89" w:rsidP="00367359">
      <w:pPr>
        <w:spacing w:line="240" w:lineRule="auto"/>
        <w:contextualSpacing/>
        <w:rPr>
          <w:rFonts w:ascii="Arial" w:hAnsi="Arial" w:cs="Arial"/>
          <w:szCs w:val="24"/>
        </w:rPr>
      </w:pPr>
    </w:p>
    <w:p w:rsidR="00DC0B89" w:rsidRDefault="00DC0B89" w:rsidP="00367359">
      <w:pPr>
        <w:spacing w:line="240" w:lineRule="auto"/>
        <w:contextualSpacing/>
        <w:rPr>
          <w:rFonts w:ascii="Arial" w:hAnsi="Arial" w:cs="Arial"/>
          <w:szCs w:val="24"/>
        </w:rPr>
      </w:pPr>
    </w:p>
    <w:p w:rsidR="00DC0B89" w:rsidRDefault="00DC0B89" w:rsidP="00367359">
      <w:pPr>
        <w:spacing w:line="240" w:lineRule="auto"/>
        <w:contextualSpacing/>
        <w:rPr>
          <w:rFonts w:ascii="Arial" w:hAnsi="Arial" w:cs="Arial"/>
          <w:szCs w:val="24"/>
        </w:rPr>
      </w:pPr>
    </w:p>
    <w:p w:rsidR="00DC0B89" w:rsidRDefault="00DC0B89" w:rsidP="00367359">
      <w:pPr>
        <w:spacing w:line="240" w:lineRule="auto"/>
        <w:contextualSpacing/>
        <w:rPr>
          <w:rFonts w:ascii="Arial" w:hAnsi="Arial" w:cs="Arial"/>
          <w:szCs w:val="24"/>
        </w:rPr>
      </w:pPr>
    </w:p>
    <w:p w:rsidR="00DC0B89" w:rsidRDefault="00DC0B89" w:rsidP="00367359">
      <w:pPr>
        <w:spacing w:line="240" w:lineRule="auto"/>
        <w:contextualSpacing/>
        <w:rPr>
          <w:rFonts w:ascii="Arial" w:hAnsi="Arial" w:cs="Arial"/>
          <w:szCs w:val="24"/>
        </w:rPr>
      </w:pPr>
    </w:p>
    <w:p w:rsidR="00DC0B89" w:rsidRDefault="00DC0B89" w:rsidP="00367359">
      <w:pPr>
        <w:spacing w:line="240" w:lineRule="auto"/>
        <w:contextualSpacing/>
        <w:rPr>
          <w:rFonts w:ascii="Arial" w:hAnsi="Arial" w:cs="Arial"/>
          <w:szCs w:val="24"/>
        </w:rPr>
      </w:pPr>
    </w:p>
    <w:p w:rsidR="00DC0B89" w:rsidRDefault="00DC0B89" w:rsidP="00367359">
      <w:pPr>
        <w:spacing w:line="240" w:lineRule="auto"/>
        <w:contextualSpacing/>
        <w:rPr>
          <w:rFonts w:ascii="Arial" w:hAnsi="Arial" w:cs="Arial"/>
          <w:szCs w:val="24"/>
        </w:rPr>
      </w:pPr>
    </w:p>
    <w:p w:rsidR="00367359" w:rsidRPr="00E718F8" w:rsidRDefault="00082A92" w:rsidP="00367359">
      <w:pPr>
        <w:spacing w:line="240" w:lineRule="auto"/>
        <w:contextualSpacing/>
        <w:rPr>
          <w:rFonts w:ascii="Arial" w:hAnsi="Arial" w:cs="Arial"/>
          <w:szCs w:val="24"/>
        </w:rPr>
      </w:pPr>
      <w:r>
        <w:rPr>
          <w:rFonts w:ascii="Arial" w:hAnsi="Arial" w:cs="Arial"/>
        </w:rPr>
        <w:lastRenderedPageBreak/>
        <w:t>Table S1</w:t>
      </w:r>
      <w:r w:rsidR="00367359" w:rsidRPr="009553F4">
        <w:rPr>
          <w:rFonts w:ascii="Arial" w:hAnsi="Arial" w:cs="Arial"/>
          <w:szCs w:val="24"/>
        </w:rPr>
        <w:t xml:space="preserve">: </w:t>
      </w:r>
      <w:r w:rsidR="00367359" w:rsidRPr="004829C6">
        <w:rPr>
          <w:rFonts w:ascii="Arial" w:hAnsi="Arial" w:cs="Arial"/>
          <w:i/>
          <w:szCs w:val="24"/>
        </w:rPr>
        <w:t>P</w:t>
      </w:r>
      <w:r w:rsidR="00367359" w:rsidRPr="009553F4">
        <w:rPr>
          <w:rFonts w:ascii="Arial" w:hAnsi="Arial" w:cs="Arial"/>
          <w:szCs w:val="24"/>
        </w:rPr>
        <w:t xml:space="preserve"> </w:t>
      </w:r>
      <w:r w:rsidR="00367359" w:rsidRPr="00E718F8">
        <w:rPr>
          <w:rFonts w:ascii="Arial" w:hAnsi="Arial" w:cs="Arial"/>
          <w:szCs w:val="24"/>
        </w:rPr>
        <w:t xml:space="preserve">values for vesicle permeabilization data in Fig. </w:t>
      </w:r>
      <w:r w:rsidR="009553F4">
        <w:rPr>
          <w:rFonts w:ascii="Arial" w:hAnsi="Arial" w:cs="Arial"/>
          <w:szCs w:val="24"/>
        </w:rPr>
        <w:t>3</w:t>
      </w:r>
      <w:r w:rsidR="00367359" w:rsidRPr="00E718F8">
        <w:rPr>
          <w:rFonts w:ascii="Arial" w:hAnsi="Arial" w:cs="Arial"/>
          <w:szCs w:val="24"/>
        </w:rPr>
        <w:t xml:space="preserve"> </w:t>
      </w:r>
      <w:r w:rsidR="00E50BC8">
        <w:rPr>
          <w:rFonts w:ascii="Arial" w:hAnsi="Arial" w:cs="Arial"/>
          <w:szCs w:val="24"/>
        </w:rPr>
        <w:t>a</w:t>
      </w:r>
      <w:r w:rsidR="00367359" w:rsidRPr="00E718F8">
        <w:rPr>
          <w:rFonts w:ascii="Arial" w:hAnsi="Arial" w:cs="Arial"/>
          <w:szCs w:val="24"/>
        </w:rPr>
        <w:t xml:space="preserve"> and </w:t>
      </w:r>
      <w:r w:rsidR="00E50BC8">
        <w:rPr>
          <w:rFonts w:ascii="Arial" w:hAnsi="Arial" w:cs="Arial"/>
          <w:szCs w:val="24"/>
        </w:rPr>
        <w:t>b</w:t>
      </w:r>
      <w:r w:rsidR="003C7C32">
        <w:rPr>
          <w:rFonts w:ascii="Arial" w:hAnsi="Arial" w:cs="Arial"/>
          <w:szCs w:val="24"/>
        </w:rPr>
        <w:t xml:space="preserve"> </w:t>
      </w:r>
      <w:r w:rsidR="003C7C32" w:rsidRPr="00E718F8">
        <w:rPr>
          <w:rFonts w:ascii="Arial" w:hAnsi="Arial" w:cs="Arial"/>
          <w:vertAlign w:val="superscript"/>
        </w:rPr>
        <w:t>a</w:t>
      </w:r>
    </w:p>
    <w:tbl>
      <w:tblPr>
        <w:tblW w:w="8640" w:type="dxa"/>
        <w:tblCellMar>
          <w:left w:w="0" w:type="dxa"/>
          <w:right w:w="0" w:type="dxa"/>
        </w:tblCellMar>
        <w:tblLook w:val="0200" w:firstRow="0" w:lastRow="0" w:firstColumn="0" w:lastColumn="0" w:noHBand="1" w:noVBand="0"/>
      </w:tblPr>
      <w:tblGrid>
        <w:gridCol w:w="4330"/>
        <w:gridCol w:w="862"/>
        <w:gridCol w:w="862"/>
        <w:gridCol w:w="862"/>
        <w:gridCol w:w="862"/>
        <w:gridCol w:w="862"/>
      </w:tblGrid>
      <w:tr w:rsidR="00367359" w:rsidRPr="00E718F8" w:rsidTr="00BF6862">
        <w:trPr>
          <w:trHeight w:val="158"/>
        </w:trPr>
        <w:tc>
          <w:tcPr>
            <w:tcW w:w="4330" w:type="dxa"/>
            <w:tcBorders>
              <w:top w:val="single" w:sz="4" w:space="0" w:color="auto"/>
              <w:left w:val="nil"/>
              <w:right w:val="nil"/>
            </w:tcBorders>
            <w:shd w:val="clear" w:color="auto" w:fill="DBDBDB"/>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Comparison</w:t>
            </w:r>
          </w:p>
        </w:tc>
        <w:tc>
          <w:tcPr>
            <w:tcW w:w="4310" w:type="dxa"/>
            <w:gridSpan w:val="5"/>
            <w:tcBorders>
              <w:top w:val="single" w:sz="4" w:space="0" w:color="auto"/>
              <w:left w:val="nil"/>
              <w:right w:val="nil"/>
            </w:tcBorders>
            <w:shd w:val="clear" w:color="auto" w:fill="DBDBDB"/>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Time (h)</w:t>
            </w:r>
          </w:p>
        </w:tc>
      </w:tr>
      <w:tr w:rsidR="00367359" w:rsidRPr="00E718F8" w:rsidTr="00BF6862">
        <w:trPr>
          <w:trHeight w:val="311"/>
        </w:trPr>
        <w:tc>
          <w:tcPr>
            <w:tcW w:w="4330" w:type="dxa"/>
            <w:tcBorders>
              <w:left w:val="nil"/>
              <w:bottom w:val="single" w:sz="8" w:space="0" w:color="000000"/>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p>
        </w:tc>
        <w:tc>
          <w:tcPr>
            <w:tcW w:w="862" w:type="dxa"/>
            <w:tcBorders>
              <w:left w:val="nil"/>
              <w:bottom w:val="single" w:sz="8" w:space="0" w:color="000000"/>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24</w:t>
            </w:r>
          </w:p>
        </w:tc>
        <w:tc>
          <w:tcPr>
            <w:tcW w:w="862" w:type="dxa"/>
            <w:tcBorders>
              <w:left w:val="nil"/>
              <w:bottom w:val="single" w:sz="8" w:space="0" w:color="000000"/>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 xml:space="preserve">48 </w:t>
            </w:r>
          </w:p>
        </w:tc>
        <w:tc>
          <w:tcPr>
            <w:tcW w:w="862" w:type="dxa"/>
            <w:tcBorders>
              <w:left w:val="nil"/>
              <w:bottom w:val="single" w:sz="8" w:space="0" w:color="000000"/>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 xml:space="preserve">72 </w:t>
            </w:r>
          </w:p>
        </w:tc>
        <w:tc>
          <w:tcPr>
            <w:tcW w:w="862" w:type="dxa"/>
            <w:tcBorders>
              <w:left w:val="nil"/>
              <w:bottom w:val="single" w:sz="8" w:space="0" w:color="000000"/>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 xml:space="preserve">96 </w:t>
            </w:r>
          </w:p>
        </w:tc>
        <w:tc>
          <w:tcPr>
            <w:tcW w:w="862" w:type="dxa"/>
            <w:tcBorders>
              <w:left w:val="nil"/>
              <w:bottom w:val="single" w:sz="8" w:space="0" w:color="000000"/>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120</w:t>
            </w:r>
          </w:p>
        </w:tc>
      </w:tr>
      <w:tr w:rsidR="00367359" w:rsidRPr="00E718F8" w:rsidTr="00BF6862">
        <w:trPr>
          <w:trHeight w:val="311"/>
        </w:trPr>
        <w:tc>
          <w:tcPr>
            <w:tcW w:w="4330" w:type="dxa"/>
            <w:tcBorders>
              <w:top w:val="single" w:sz="8" w:space="0" w:color="000000"/>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Dye vs. A30P</w:t>
            </w:r>
          </w:p>
        </w:tc>
        <w:tc>
          <w:tcPr>
            <w:tcW w:w="862" w:type="dxa"/>
            <w:tcBorders>
              <w:top w:val="single" w:sz="8" w:space="0" w:color="000000"/>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000000"/>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000000"/>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000000"/>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000000"/>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11"/>
        </w:trPr>
        <w:tc>
          <w:tcPr>
            <w:tcW w:w="4330"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096065">
            <w:pPr>
              <w:spacing w:line="240" w:lineRule="auto"/>
              <w:contextualSpacing/>
              <w:rPr>
                <w:rFonts w:ascii="Arial" w:hAnsi="Arial" w:cs="Arial"/>
              </w:rPr>
            </w:pPr>
            <w:r w:rsidRPr="00E718F8">
              <w:rPr>
                <w:rFonts w:ascii="Arial" w:hAnsi="Arial" w:cs="Arial"/>
                <w:lang w:val="pt-BR"/>
              </w:rPr>
              <w:t xml:space="preserve">Dye vs. A30P ENSA 10 </w:t>
            </w:r>
            <w:r w:rsidR="00096065">
              <w:rPr>
                <w:rFonts w:ascii="Arial" w:hAnsi="Arial" w:cs="Arial"/>
                <w:lang w:val="pt-BR"/>
              </w:rPr>
              <w:t>µ</w:t>
            </w:r>
            <w:r w:rsidRPr="00E718F8">
              <w:rPr>
                <w:rFonts w:ascii="Arial" w:hAnsi="Arial" w:cs="Arial"/>
                <w:lang w:val="pt-BR"/>
              </w:rPr>
              <w:t>M</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11"/>
        </w:trPr>
        <w:tc>
          <w:tcPr>
            <w:tcW w:w="4330"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Dye vs. A30P ENSA 20 </w:t>
            </w:r>
            <w:r w:rsidR="00096065">
              <w:rPr>
                <w:rFonts w:ascii="Arial" w:hAnsi="Arial" w:cs="Arial"/>
                <w:lang w:val="pt-BR"/>
              </w:rPr>
              <w:t>µ</w:t>
            </w:r>
            <w:r w:rsidRPr="00E718F8">
              <w:rPr>
                <w:rFonts w:ascii="Arial" w:hAnsi="Arial" w:cs="Arial"/>
                <w:lang w:val="pt-BR"/>
              </w:rPr>
              <w:t>M</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11"/>
        </w:trPr>
        <w:tc>
          <w:tcPr>
            <w:tcW w:w="4330"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Dye vs. A30P ENSA 40 </w:t>
            </w:r>
            <w:r w:rsidR="00096065">
              <w:rPr>
                <w:rFonts w:ascii="Arial" w:hAnsi="Arial" w:cs="Arial"/>
                <w:lang w:val="pt-BR"/>
              </w:rPr>
              <w:t>µ</w:t>
            </w:r>
            <w:r w:rsidRPr="00E718F8">
              <w:rPr>
                <w:rFonts w:ascii="Arial" w:hAnsi="Arial" w:cs="Arial"/>
                <w:lang w:val="pt-BR"/>
              </w:rPr>
              <w:t>M</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025558">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11"/>
        </w:trPr>
        <w:tc>
          <w:tcPr>
            <w:tcW w:w="4330"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A30P vs. A30P ENSA 10 </w:t>
            </w:r>
            <w:r w:rsidR="00096065">
              <w:rPr>
                <w:rFonts w:ascii="Arial" w:hAnsi="Arial" w:cs="Arial"/>
                <w:lang w:val="pt-BR"/>
              </w:rPr>
              <w:t>µ</w:t>
            </w:r>
            <w:r w:rsidRPr="00E718F8">
              <w:rPr>
                <w:rFonts w:ascii="Arial" w:hAnsi="Arial" w:cs="Arial"/>
                <w:lang w:val="pt-BR"/>
              </w:rPr>
              <w:t>M</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02555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02555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025558">
              <w:rPr>
                <w:rFonts w:ascii="Arial" w:hAnsi="Arial" w:cs="Arial"/>
              </w:rPr>
              <w:t>*</w:t>
            </w:r>
          </w:p>
        </w:tc>
      </w:tr>
      <w:tr w:rsidR="00367359" w:rsidRPr="00E718F8" w:rsidTr="00BF6862">
        <w:trPr>
          <w:trHeight w:val="311"/>
        </w:trPr>
        <w:tc>
          <w:tcPr>
            <w:tcW w:w="4330"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A30P vs. A30P ENSA 20 </w:t>
            </w:r>
            <w:r w:rsidR="00096065">
              <w:rPr>
                <w:rFonts w:ascii="Arial" w:hAnsi="Arial" w:cs="Arial"/>
                <w:lang w:val="pt-BR"/>
              </w:rPr>
              <w:t>µ</w:t>
            </w:r>
            <w:r w:rsidRPr="00E718F8">
              <w:rPr>
                <w:rFonts w:ascii="Arial" w:hAnsi="Arial" w:cs="Arial"/>
                <w:lang w:val="pt-BR"/>
              </w:rPr>
              <w:t>M</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02555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11"/>
        </w:trPr>
        <w:tc>
          <w:tcPr>
            <w:tcW w:w="4330"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A30P vs. A30P ENSA 40 </w:t>
            </w:r>
            <w:r w:rsidR="00096065">
              <w:rPr>
                <w:rFonts w:ascii="Arial" w:hAnsi="Arial" w:cs="Arial"/>
                <w:lang w:val="pt-BR"/>
              </w:rPr>
              <w:t>µ</w:t>
            </w:r>
            <w:r w:rsidRPr="00E718F8">
              <w:rPr>
                <w:rFonts w:ascii="Arial" w:hAnsi="Arial" w:cs="Arial"/>
                <w:lang w:val="pt-BR"/>
              </w:rPr>
              <w:t>M</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11"/>
        </w:trPr>
        <w:tc>
          <w:tcPr>
            <w:tcW w:w="4330"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A30P ENSA 10 </w:t>
            </w:r>
            <w:r w:rsidR="00096065">
              <w:rPr>
                <w:rFonts w:ascii="Arial" w:hAnsi="Arial" w:cs="Arial"/>
                <w:lang w:val="pt-BR"/>
              </w:rPr>
              <w:t>µM</w:t>
            </w:r>
            <w:r w:rsidRPr="00E718F8">
              <w:rPr>
                <w:rFonts w:ascii="Arial" w:hAnsi="Arial" w:cs="Arial"/>
                <w:lang w:val="pt-BR"/>
              </w:rPr>
              <w:t xml:space="preserve"> vs. A30P ENSA 20 </w:t>
            </w:r>
            <w:r w:rsidR="00096065">
              <w:rPr>
                <w:rFonts w:ascii="Arial" w:hAnsi="Arial" w:cs="Arial"/>
                <w:lang w:val="pt-BR"/>
              </w:rPr>
              <w:t>µ</w:t>
            </w:r>
            <w:r w:rsidRPr="00E718F8">
              <w:rPr>
                <w:rFonts w:ascii="Arial" w:hAnsi="Arial" w:cs="Arial"/>
                <w:lang w:val="pt-BR"/>
              </w:rPr>
              <w:t>M</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r>
      <w:tr w:rsidR="00367359" w:rsidRPr="00E718F8" w:rsidTr="00BF6862">
        <w:trPr>
          <w:trHeight w:val="311"/>
        </w:trPr>
        <w:tc>
          <w:tcPr>
            <w:tcW w:w="4330"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A30P ENSA 10 </w:t>
            </w:r>
            <w:r w:rsidR="00096065">
              <w:rPr>
                <w:rFonts w:ascii="Arial" w:hAnsi="Arial" w:cs="Arial"/>
                <w:lang w:val="pt-BR"/>
              </w:rPr>
              <w:t>µM</w:t>
            </w:r>
            <w:r w:rsidRPr="00E718F8">
              <w:rPr>
                <w:rFonts w:ascii="Arial" w:hAnsi="Arial" w:cs="Arial"/>
                <w:lang w:val="pt-BR"/>
              </w:rPr>
              <w:t xml:space="preserve"> vs. A30P ENSA 40 </w:t>
            </w:r>
            <w:r w:rsidR="00096065">
              <w:rPr>
                <w:rFonts w:ascii="Arial" w:hAnsi="Arial" w:cs="Arial"/>
                <w:lang w:val="pt-BR"/>
              </w:rPr>
              <w:t>µ</w:t>
            </w:r>
            <w:r w:rsidRPr="00E718F8">
              <w:rPr>
                <w:rFonts w:ascii="Arial" w:hAnsi="Arial" w:cs="Arial"/>
                <w:lang w:val="pt-BR"/>
              </w:rPr>
              <w:t>M</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02555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02555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025558">
              <w:rPr>
                <w:rFonts w:ascii="Arial" w:hAnsi="Arial" w:cs="Arial"/>
              </w:rPr>
              <w:t>*</w:t>
            </w:r>
          </w:p>
        </w:tc>
        <w:tc>
          <w:tcPr>
            <w:tcW w:w="862" w:type="dxa"/>
            <w:tcBorders>
              <w:top w:val="nil"/>
              <w:left w:val="nil"/>
              <w:bottom w:val="nil"/>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025558">
              <w:rPr>
                <w:rFonts w:ascii="Arial" w:hAnsi="Arial" w:cs="Arial"/>
              </w:rPr>
              <w:t>*</w:t>
            </w:r>
          </w:p>
        </w:tc>
      </w:tr>
      <w:tr w:rsidR="00367359" w:rsidRPr="00E718F8" w:rsidTr="00BF6862">
        <w:trPr>
          <w:trHeight w:val="311"/>
        </w:trPr>
        <w:tc>
          <w:tcPr>
            <w:tcW w:w="4330" w:type="dxa"/>
            <w:tcBorders>
              <w:top w:val="nil"/>
              <w:left w:val="nil"/>
              <w:bottom w:val="single" w:sz="8" w:space="0" w:color="000000"/>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A30P ENSA 20 </w:t>
            </w:r>
            <w:r w:rsidR="00096065">
              <w:rPr>
                <w:rFonts w:ascii="Arial" w:hAnsi="Arial" w:cs="Arial"/>
                <w:lang w:val="pt-BR"/>
              </w:rPr>
              <w:t>µM</w:t>
            </w:r>
            <w:r w:rsidRPr="00E718F8">
              <w:rPr>
                <w:rFonts w:ascii="Arial" w:hAnsi="Arial" w:cs="Arial"/>
                <w:lang w:val="pt-BR"/>
              </w:rPr>
              <w:t xml:space="preserve"> vs. A30P ENSA 40 </w:t>
            </w:r>
            <w:r w:rsidR="00096065">
              <w:rPr>
                <w:rFonts w:ascii="Arial" w:hAnsi="Arial" w:cs="Arial"/>
                <w:lang w:val="pt-BR"/>
              </w:rPr>
              <w:t>µ</w:t>
            </w:r>
            <w:r w:rsidRPr="00E718F8">
              <w:rPr>
                <w:rFonts w:ascii="Arial" w:hAnsi="Arial" w:cs="Arial"/>
                <w:lang w:val="pt-BR"/>
              </w:rPr>
              <w:t>M</w:t>
            </w:r>
          </w:p>
        </w:tc>
        <w:tc>
          <w:tcPr>
            <w:tcW w:w="862" w:type="dxa"/>
            <w:tcBorders>
              <w:top w:val="nil"/>
              <w:left w:val="nil"/>
              <w:bottom w:val="single" w:sz="8" w:space="0" w:color="000000"/>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nil"/>
              <w:left w:val="nil"/>
              <w:bottom w:val="single" w:sz="8" w:space="0" w:color="000000"/>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nil"/>
              <w:left w:val="nil"/>
              <w:bottom w:val="single" w:sz="8" w:space="0" w:color="000000"/>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025558">
              <w:rPr>
                <w:rFonts w:ascii="Arial" w:hAnsi="Arial" w:cs="Arial"/>
              </w:rPr>
              <w:t>*</w:t>
            </w:r>
          </w:p>
        </w:tc>
        <w:tc>
          <w:tcPr>
            <w:tcW w:w="862" w:type="dxa"/>
            <w:tcBorders>
              <w:top w:val="nil"/>
              <w:left w:val="nil"/>
              <w:bottom w:val="single" w:sz="8" w:space="0" w:color="000000"/>
              <w:right w:val="nil"/>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025558">
              <w:rPr>
                <w:rFonts w:ascii="Arial" w:hAnsi="Arial" w:cs="Arial"/>
              </w:rPr>
              <w:t>*</w:t>
            </w:r>
          </w:p>
        </w:tc>
        <w:tc>
          <w:tcPr>
            <w:tcW w:w="862" w:type="dxa"/>
            <w:tcBorders>
              <w:top w:val="nil"/>
              <w:left w:val="nil"/>
              <w:bottom w:val="single" w:sz="8" w:space="0" w:color="000000"/>
              <w:right w:val="nil"/>
            </w:tcBorders>
            <w:shd w:val="clear" w:color="auto" w:fill="FFFFFF"/>
            <w:tcMar>
              <w:top w:w="15" w:type="dxa"/>
              <w:left w:w="15" w:type="dxa"/>
              <w:bottom w:w="0" w:type="dxa"/>
              <w:right w:w="15" w:type="dxa"/>
            </w:tcMar>
            <w:vAlign w:val="bottom"/>
            <w:hideMark/>
          </w:tcPr>
          <w:p w:rsidR="00367359" w:rsidRPr="00E718F8" w:rsidRDefault="00025558" w:rsidP="00BF6862">
            <w:pPr>
              <w:spacing w:line="240" w:lineRule="auto"/>
              <w:contextualSpacing/>
              <w:rPr>
                <w:rFonts w:ascii="Arial" w:hAnsi="Arial" w:cs="Arial"/>
              </w:rPr>
            </w:pPr>
            <w:r>
              <w:rPr>
                <w:rFonts w:ascii="Arial" w:hAnsi="Arial" w:cs="Arial"/>
              </w:rPr>
              <w:t>**</w:t>
            </w:r>
          </w:p>
        </w:tc>
      </w:tr>
    </w:tbl>
    <w:p w:rsidR="00367359" w:rsidRPr="00E718F8" w:rsidRDefault="00367359" w:rsidP="00367359">
      <w:pPr>
        <w:spacing w:line="240" w:lineRule="auto"/>
        <w:contextualSpacing/>
        <w:rPr>
          <w:sz w:val="24"/>
          <w:szCs w:val="24"/>
        </w:rPr>
      </w:pPr>
    </w:p>
    <w:tbl>
      <w:tblPr>
        <w:tblW w:w="8640" w:type="dxa"/>
        <w:tblCellMar>
          <w:left w:w="0" w:type="dxa"/>
          <w:right w:w="0" w:type="dxa"/>
        </w:tblCellMar>
        <w:tblLook w:val="0200" w:firstRow="0" w:lastRow="0" w:firstColumn="0" w:lastColumn="0" w:noHBand="1" w:noVBand="0"/>
      </w:tblPr>
      <w:tblGrid>
        <w:gridCol w:w="4330"/>
        <w:gridCol w:w="862"/>
        <w:gridCol w:w="862"/>
        <w:gridCol w:w="862"/>
        <w:gridCol w:w="862"/>
        <w:gridCol w:w="862"/>
      </w:tblGrid>
      <w:tr w:rsidR="00367359" w:rsidRPr="00E718F8" w:rsidTr="00BF6862">
        <w:trPr>
          <w:trHeight w:val="158"/>
        </w:trPr>
        <w:tc>
          <w:tcPr>
            <w:tcW w:w="4330" w:type="dxa"/>
            <w:tcBorders>
              <w:top w:val="single" w:sz="4" w:space="0" w:color="auto"/>
            </w:tcBorders>
            <w:shd w:val="clear" w:color="auto" w:fill="DBDBDB"/>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Comparison</w:t>
            </w:r>
          </w:p>
        </w:tc>
        <w:tc>
          <w:tcPr>
            <w:tcW w:w="4310" w:type="dxa"/>
            <w:gridSpan w:val="5"/>
            <w:tcBorders>
              <w:top w:val="single" w:sz="4" w:space="0" w:color="auto"/>
            </w:tcBorders>
            <w:shd w:val="clear" w:color="auto" w:fill="DBDBDB"/>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Time (h)</w:t>
            </w:r>
          </w:p>
        </w:tc>
      </w:tr>
      <w:tr w:rsidR="00367359" w:rsidRPr="00E718F8" w:rsidTr="00BF6862">
        <w:trPr>
          <w:trHeight w:val="300"/>
        </w:trPr>
        <w:tc>
          <w:tcPr>
            <w:tcW w:w="4330" w:type="dxa"/>
            <w:tcBorders>
              <w:bottom w:val="single" w:sz="4" w:space="0" w:color="auto"/>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p>
        </w:tc>
        <w:tc>
          <w:tcPr>
            <w:tcW w:w="862" w:type="dxa"/>
            <w:tcBorders>
              <w:bottom w:val="single" w:sz="4" w:space="0" w:color="auto"/>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24</w:t>
            </w:r>
          </w:p>
        </w:tc>
        <w:tc>
          <w:tcPr>
            <w:tcW w:w="862" w:type="dxa"/>
            <w:tcBorders>
              <w:bottom w:val="single" w:sz="4" w:space="0" w:color="auto"/>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48</w:t>
            </w:r>
          </w:p>
        </w:tc>
        <w:tc>
          <w:tcPr>
            <w:tcW w:w="862" w:type="dxa"/>
            <w:tcBorders>
              <w:bottom w:val="single" w:sz="4" w:space="0" w:color="auto"/>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72</w:t>
            </w:r>
          </w:p>
        </w:tc>
        <w:tc>
          <w:tcPr>
            <w:tcW w:w="862" w:type="dxa"/>
            <w:tcBorders>
              <w:bottom w:val="single" w:sz="4" w:space="0" w:color="auto"/>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96</w:t>
            </w:r>
          </w:p>
        </w:tc>
        <w:tc>
          <w:tcPr>
            <w:tcW w:w="862" w:type="dxa"/>
            <w:tcBorders>
              <w:bottom w:val="single" w:sz="4" w:space="0" w:color="auto"/>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120</w:t>
            </w:r>
          </w:p>
        </w:tc>
      </w:tr>
      <w:tr w:rsidR="00367359" w:rsidRPr="00E718F8" w:rsidTr="00BF6862">
        <w:trPr>
          <w:trHeight w:val="300"/>
        </w:trPr>
        <w:tc>
          <w:tcPr>
            <w:tcW w:w="4330"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Dye vs. G51D</w:t>
            </w:r>
          </w:p>
        </w:tc>
        <w:tc>
          <w:tcPr>
            <w:tcW w:w="86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Dye vs. G51D ENSA 10 </w:t>
            </w:r>
            <w:r w:rsidR="00096065">
              <w:rPr>
                <w:rFonts w:ascii="Arial" w:hAnsi="Arial" w:cs="Arial"/>
                <w:lang w:val="pt-BR"/>
              </w:rPr>
              <w:t>µM</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537047" w:rsidP="00BF6862">
            <w:pPr>
              <w:spacing w:line="240" w:lineRule="auto"/>
              <w:contextualSpacing/>
              <w:rPr>
                <w:rFonts w:ascii="Arial" w:hAnsi="Arial" w:cs="Arial"/>
              </w:rPr>
            </w:pPr>
            <w:r>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Dye vs. G51D ENSA 20 </w:t>
            </w:r>
            <w:r w:rsidR="00096065">
              <w:rPr>
                <w:rFonts w:ascii="Arial" w:hAnsi="Arial" w:cs="Arial"/>
                <w:lang w:val="pt-BR"/>
              </w:rPr>
              <w:t>µM</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Dye vs. G51D ENSA 40 </w:t>
            </w:r>
            <w:r w:rsidR="00096065">
              <w:rPr>
                <w:rFonts w:ascii="Arial" w:hAnsi="Arial" w:cs="Arial"/>
                <w:lang w:val="pt-BR"/>
              </w:rPr>
              <w:t>µM</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21651B" w:rsidP="00537047">
            <w:pPr>
              <w:spacing w:line="240" w:lineRule="auto"/>
              <w:contextualSpacing/>
              <w:rPr>
                <w:rFonts w:ascii="Arial" w:hAnsi="Arial" w:cs="Arial"/>
              </w:rPr>
            </w:pPr>
            <w:r>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537047">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G51D vs. G51D ENSA 10 </w:t>
            </w:r>
            <w:r w:rsidR="00096065">
              <w:rPr>
                <w:rFonts w:ascii="Arial" w:hAnsi="Arial" w:cs="Arial"/>
                <w:lang w:val="pt-BR"/>
              </w:rPr>
              <w:t>µM</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537047">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537047">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537047">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G51D vs. G51D ENSA 20 </w:t>
            </w:r>
            <w:r w:rsidR="00096065">
              <w:rPr>
                <w:rFonts w:ascii="Arial" w:hAnsi="Arial" w:cs="Arial"/>
                <w:lang w:val="pt-BR"/>
              </w:rPr>
              <w:t>µM</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537047">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G51D vs. G51D ENSA 40 </w:t>
            </w:r>
            <w:r w:rsidR="00096065">
              <w:rPr>
                <w:rFonts w:ascii="Arial" w:hAnsi="Arial" w:cs="Arial"/>
                <w:lang w:val="pt-BR"/>
              </w:rPr>
              <w:t>µM</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537047" w:rsidP="00BF6862">
            <w:pPr>
              <w:spacing w:line="240" w:lineRule="auto"/>
              <w:contextualSpacing/>
              <w:rPr>
                <w:rFonts w:ascii="Arial" w:hAnsi="Arial" w:cs="Arial"/>
              </w:rPr>
            </w:pPr>
            <w:r>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537047">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G51D ENSA 10 </w:t>
            </w:r>
            <w:r w:rsidR="00096065">
              <w:rPr>
                <w:rFonts w:ascii="Arial" w:hAnsi="Arial" w:cs="Arial"/>
                <w:lang w:val="pt-BR"/>
              </w:rPr>
              <w:t>µM</w:t>
            </w:r>
            <w:r w:rsidRPr="00E718F8">
              <w:rPr>
                <w:rFonts w:ascii="Arial" w:hAnsi="Arial" w:cs="Arial"/>
                <w:lang w:val="pt-BR"/>
              </w:rPr>
              <w:t xml:space="preserve"> vs. G51D ENSA 20 </w:t>
            </w:r>
            <w:r w:rsidR="00096065">
              <w:rPr>
                <w:rFonts w:ascii="Arial" w:hAnsi="Arial" w:cs="Arial"/>
                <w:lang w:val="pt-BR"/>
              </w:rPr>
              <w:t>µM</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537047" w:rsidP="00BF6862">
            <w:pPr>
              <w:spacing w:line="240" w:lineRule="auto"/>
              <w:contextualSpacing/>
              <w:rPr>
                <w:rFonts w:ascii="Arial" w:hAnsi="Arial" w:cs="Arial"/>
              </w:rPr>
            </w:pPr>
            <w:r>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G51D ENSA 10 </w:t>
            </w:r>
            <w:r w:rsidR="00096065">
              <w:rPr>
                <w:rFonts w:ascii="Arial" w:hAnsi="Arial" w:cs="Arial"/>
                <w:lang w:val="pt-BR"/>
              </w:rPr>
              <w:t>µM</w:t>
            </w:r>
            <w:r w:rsidRPr="00E718F8">
              <w:rPr>
                <w:rFonts w:ascii="Arial" w:hAnsi="Arial" w:cs="Arial"/>
                <w:lang w:val="pt-BR"/>
              </w:rPr>
              <w:t xml:space="preserve"> vs. G51D ENSA 40 </w:t>
            </w:r>
            <w:r w:rsidR="00096065">
              <w:rPr>
                <w:rFonts w:ascii="Arial" w:hAnsi="Arial" w:cs="Arial"/>
                <w:lang w:val="pt-BR"/>
              </w:rPr>
              <w:t>µM</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537047">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537047">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537047">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G51D ENSA 20 </w:t>
            </w:r>
            <w:r w:rsidR="00096065">
              <w:rPr>
                <w:rFonts w:ascii="Arial" w:hAnsi="Arial" w:cs="Arial"/>
                <w:lang w:val="pt-BR"/>
              </w:rPr>
              <w:t>µM</w:t>
            </w:r>
            <w:r w:rsidRPr="00E718F8">
              <w:rPr>
                <w:rFonts w:ascii="Arial" w:hAnsi="Arial" w:cs="Arial"/>
                <w:lang w:val="pt-BR"/>
              </w:rPr>
              <w:t xml:space="preserve"> vs. G51D ENSA 40 </w:t>
            </w:r>
            <w:r w:rsidR="00096065">
              <w:rPr>
                <w:rFonts w:ascii="Arial" w:hAnsi="Arial" w:cs="Arial"/>
                <w:lang w:val="pt-BR"/>
              </w:rPr>
              <w:t>µM</w:t>
            </w:r>
          </w:p>
        </w:tc>
        <w:tc>
          <w:tcPr>
            <w:tcW w:w="862"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r>
    </w:tbl>
    <w:p w:rsidR="00367359" w:rsidRPr="00E718F8" w:rsidRDefault="00367359" w:rsidP="00367359">
      <w:pPr>
        <w:spacing w:line="240" w:lineRule="auto"/>
        <w:contextualSpacing/>
        <w:rPr>
          <w:rFonts w:ascii="Arial" w:hAnsi="Arial" w:cs="Arial"/>
        </w:rPr>
      </w:pPr>
      <w:r w:rsidRPr="00E718F8">
        <w:rPr>
          <w:rFonts w:ascii="Arial" w:hAnsi="Arial" w:cs="Arial"/>
          <w:vertAlign w:val="superscript"/>
        </w:rPr>
        <w:t>a</w:t>
      </w:r>
      <w:r w:rsidRPr="00E718F8">
        <w:rPr>
          <w:rFonts w:ascii="Arial" w:hAnsi="Arial" w:cs="Arial"/>
        </w:rPr>
        <w:t xml:space="preserve"> Two-way ANOVA, *p&lt;0.05, **p&lt;0.01, ***p&lt;0.001, ****p&lt;0.0001</w:t>
      </w: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952F71" w:rsidRDefault="00952F71" w:rsidP="00367359">
      <w:pPr>
        <w:spacing w:line="240" w:lineRule="auto"/>
        <w:contextualSpacing/>
        <w:rPr>
          <w:rFonts w:ascii="Arial" w:hAnsi="Arial" w:cs="Arial"/>
        </w:rPr>
      </w:pPr>
    </w:p>
    <w:p w:rsidR="00952F71" w:rsidRDefault="00952F71" w:rsidP="00367359">
      <w:pPr>
        <w:spacing w:line="240" w:lineRule="auto"/>
        <w:contextualSpacing/>
        <w:rPr>
          <w:rFonts w:ascii="Arial" w:hAnsi="Arial" w:cs="Arial"/>
        </w:rPr>
      </w:pPr>
    </w:p>
    <w:p w:rsidR="00952F71" w:rsidRDefault="00952F71" w:rsidP="00367359">
      <w:pPr>
        <w:spacing w:line="240" w:lineRule="auto"/>
        <w:contextualSpacing/>
        <w:rPr>
          <w:rFonts w:ascii="Arial" w:hAnsi="Arial" w:cs="Arial"/>
        </w:rPr>
      </w:pPr>
    </w:p>
    <w:p w:rsidR="00952F71" w:rsidRDefault="00952F71"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9553F4" w:rsidP="00367359">
      <w:pPr>
        <w:spacing w:line="240" w:lineRule="auto"/>
        <w:contextualSpacing/>
        <w:rPr>
          <w:rFonts w:ascii="Arial" w:hAnsi="Arial" w:cs="Arial"/>
          <w:vertAlign w:val="superscript"/>
        </w:rPr>
      </w:pPr>
      <w:r w:rsidRPr="009553F4">
        <w:rPr>
          <w:rFonts w:ascii="Arial" w:hAnsi="Arial" w:cs="Arial"/>
        </w:rPr>
        <w:lastRenderedPageBreak/>
        <w:t xml:space="preserve">Table </w:t>
      </w:r>
      <w:r w:rsidR="00082A92">
        <w:rPr>
          <w:rFonts w:ascii="Arial" w:hAnsi="Arial" w:cs="Arial"/>
        </w:rPr>
        <w:t>S</w:t>
      </w:r>
      <w:r w:rsidR="00367359" w:rsidRPr="009553F4">
        <w:rPr>
          <w:rFonts w:ascii="Arial" w:hAnsi="Arial" w:cs="Arial"/>
        </w:rPr>
        <w:t xml:space="preserve">2: </w:t>
      </w:r>
      <w:r w:rsidR="00367359" w:rsidRPr="004829C6">
        <w:rPr>
          <w:rFonts w:ascii="Arial" w:hAnsi="Arial" w:cs="Arial"/>
          <w:i/>
        </w:rPr>
        <w:t>P</w:t>
      </w:r>
      <w:r w:rsidR="00367359" w:rsidRPr="00E718F8">
        <w:rPr>
          <w:rFonts w:ascii="Arial" w:hAnsi="Arial" w:cs="Arial"/>
        </w:rPr>
        <w:t xml:space="preserve"> values for vesicle permeabilization data in Fig. </w:t>
      </w:r>
      <w:r>
        <w:rPr>
          <w:rFonts w:ascii="Arial" w:hAnsi="Arial" w:cs="Arial"/>
        </w:rPr>
        <w:t>3</w:t>
      </w:r>
      <w:r w:rsidR="00367359" w:rsidRPr="00E718F8">
        <w:rPr>
          <w:rFonts w:ascii="Arial" w:hAnsi="Arial" w:cs="Arial"/>
        </w:rPr>
        <w:t xml:space="preserve"> </w:t>
      </w:r>
      <w:r w:rsidR="00E50BC8">
        <w:rPr>
          <w:rFonts w:ascii="Arial" w:hAnsi="Arial" w:cs="Arial"/>
        </w:rPr>
        <w:t>c</w:t>
      </w:r>
      <w:r w:rsidR="00367359" w:rsidRPr="00E718F8">
        <w:rPr>
          <w:rFonts w:ascii="Arial" w:hAnsi="Arial" w:cs="Arial"/>
        </w:rPr>
        <w:t xml:space="preserve"> and </w:t>
      </w:r>
      <w:r w:rsidR="00E50BC8">
        <w:rPr>
          <w:rFonts w:ascii="Arial" w:hAnsi="Arial" w:cs="Arial"/>
        </w:rPr>
        <w:t>d</w:t>
      </w:r>
      <w:r w:rsidR="00367359" w:rsidRPr="00E718F8">
        <w:rPr>
          <w:rFonts w:ascii="Arial" w:hAnsi="Arial" w:cs="Arial"/>
        </w:rPr>
        <w:t xml:space="preserve"> </w:t>
      </w:r>
      <w:r w:rsidR="00367359" w:rsidRPr="00E718F8">
        <w:rPr>
          <w:rFonts w:ascii="Arial" w:hAnsi="Arial" w:cs="Arial"/>
          <w:vertAlign w:val="superscript"/>
        </w:rPr>
        <w:t>a</w:t>
      </w:r>
    </w:p>
    <w:tbl>
      <w:tblPr>
        <w:tblW w:w="8640" w:type="dxa"/>
        <w:tblCellMar>
          <w:left w:w="0" w:type="dxa"/>
          <w:right w:w="0" w:type="dxa"/>
        </w:tblCellMar>
        <w:tblLook w:val="0200" w:firstRow="0" w:lastRow="0" w:firstColumn="0" w:lastColumn="0" w:noHBand="1" w:noVBand="0"/>
      </w:tblPr>
      <w:tblGrid>
        <w:gridCol w:w="4330"/>
        <w:gridCol w:w="862"/>
        <w:gridCol w:w="862"/>
        <w:gridCol w:w="862"/>
        <w:gridCol w:w="862"/>
        <w:gridCol w:w="862"/>
      </w:tblGrid>
      <w:tr w:rsidR="00367359" w:rsidRPr="00E718F8" w:rsidTr="00BF6862">
        <w:trPr>
          <w:trHeight w:val="152"/>
        </w:trPr>
        <w:tc>
          <w:tcPr>
            <w:tcW w:w="4330" w:type="dxa"/>
            <w:tcBorders>
              <w:top w:val="single" w:sz="4" w:space="0" w:color="auto"/>
              <w:left w:val="nil"/>
              <w:bottom w:val="nil"/>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Comparison</w:t>
            </w:r>
          </w:p>
        </w:tc>
        <w:tc>
          <w:tcPr>
            <w:tcW w:w="4310" w:type="dxa"/>
            <w:gridSpan w:val="5"/>
            <w:tcBorders>
              <w:top w:val="single" w:sz="4" w:space="0" w:color="auto"/>
              <w:left w:val="nil"/>
              <w:bottom w:val="nil"/>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Time (h)</w:t>
            </w:r>
          </w:p>
        </w:tc>
      </w:tr>
      <w:tr w:rsidR="00367359" w:rsidRPr="00E718F8" w:rsidTr="00BF6862">
        <w:tc>
          <w:tcPr>
            <w:tcW w:w="4330" w:type="dxa"/>
            <w:tcBorders>
              <w:top w:val="nil"/>
              <w:left w:val="nil"/>
              <w:bottom w:val="single" w:sz="4" w:space="0" w:color="auto"/>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p>
        </w:tc>
        <w:tc>
          <w:tcPr>
            <w:tcW w:w="862" w:type="dxa"/>
            <w:tcBorders>
              <w:top w:val="nil"/>
              <w:left w:val="nil"/>
              <w:bottom w:val="single" w:sz="4" w:space="0" w:color="auto"/>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24</w:t>
            </w:r>
          </w:p>
        </w:tc>
        <w:tc>
          <w:tcPr>
            <w:tcW w:w="862" w:type="dxa"/>
            <w:tcBorders>
              <w:top w:val="nil"/>
              <w:left w:val="nil"/>
              <w:bottom w:val="single" w:sz="4" w:space="0" w:color="auto"/>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48</w:t>
            </w:r>
          </w:p>
        </w:tc>
        <w:tc>
          <w:tcPr>
            <w:tcW w:w="862" w:type="dxa"/>
            <w:tcBorders>
              <w:top w:val="nil"/>
              <w:left w:val="nil"/>
              <w:bottom w:val="single" w:sz="4" w:space="0" w:color="auto"/>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72</w:t>
            </w:r>
          </w:p>
        </w:tc>
        <w:tc>
          <w:tcPr>
            <w:tcW w:w="862" w:type="dxa"/>
            <w:tcBorders>
              <w:top w:val="nil"/>
              <w:left w:val="nil"/>
              <w:bottom w:val="single" w:sz="4" w:space="0" w:color="auto"/>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96</w:t>
            </w:r>
          </w:p>
        </w:tc>
        <w:tc>
          <w:tcPr>
            <w:tcW w:w="862" w:type="dxa"/>
            <w:tcBorders>
              <w:top w:val="nil"/>
              <w:left w:val="nil"/>
              <w:bottom w:val="single" w:sz="4" w:space="0" w:color="auto"/>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120</w:t>
            </w:r>
          </w:p>
        </w:tc>
      </w:tr>
      <w:tr w:rsidR="00367359" w:rsidRPr="00E718F8" w:rsidTr="00BF6862">
        <w:trPr>
          <w:trHeight w:val="300"/>
        </w:trPr>
        <w:tc>
          <w:tcPr>
            <w:tcW w:w="4330"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Dye vs. A30P Alone</w:t>
            </w:r>
          </w:p>
        </w:tc>
        <w:tc>
          <w:tcPr>
            <w:tcW w:w="86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Dye vs. A30P ENSA </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1E65F5">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Dye vs. A30P S109E</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A30P vs. A30P ENSA </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A30P vs. A30P S109E </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r>
      <w:tr w:rsidR="00367359" w:rsidRPr="00E718F8" w:rsidTr="00BF6862">
        <w:trPr>
          <w:trHeight w:val="300"/>
        </w:trPr>
        <w:tc>
          <w:tcPr>
            <w:tcW w:w="4330"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A30P ENSA vs. A30P S109E</w:t>
            </w:r>
          </w:p>
        </w:tc>
        <w:tc>
          <w:tcPr>
            <w:tcW w:w="862"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1E65F5">
              <w:rPr>
                <w:rFonts w:ascii="Arial" w:hAnsi="Arial" w:cs="Arial"/>
              </w:rPr>
              <w:t>*</w:t>
            </w:r>
          </w:p>
        </w:tc>
        <w:tc>
          <w:tcPr>
            <w:tcW w:w="862"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bl>
    <w:p w:rsidR="00367359" w:rsidRPr="00E718F8" w:rsidRDefault="00367359" w:rsidP="00367359">
      <w:pPr>
        <w:spacing w:line="240" w:lineRule="auto"/>
        <w:contextualSpacing/>
        <w:rPr>
          <w:rFonts w:ascii="Arial" w:hAnsi="Arial" w:cs="Arial"/>
        </w:rPr>
      </w:pPr>
    </w:p>
    <w:tbl>
      <w:tblPr>
        <w:tblW w:w="8640" w:type="dxa"/>
        <w:tblCellMar>
          <w:left w:w="0" w:type="dxa"/>
          <w:right w:w="0" w:type="dxa"/>
        </w:tblCellMar>
        <w:tblLook w:val="0200" w:firstRow="0" w:lastRow="0" w:firstColumn="0" w:lastColumn="0" w:noHBand="1" w:noVBand="0"/>
      </w:tblPr>
      <w:tblGrid>
        <w:gridCol w:w="4330"/>
        <w:gridCol w:w="862"/>
        <w:gridCol w:w="862"/>
        <w:gridCol w:w="862"/>
        <w:gridCol w:w="862"/>
        <w:gridCol w:w="862"/>
      </w:tblGrid>
      <w:tr w:rsidR="00367359" w:rsidRPr="00E718F8" w:rsidTr="00BF6862">
        <w:trPr>
          <w:trHeight w:val="158"/>
        </w:trPr>
        <w:tc>
          <w:tcPr>
            <w:tcW w:w="4330" w:type="dxa"/>
            <w:tcBorders>
              <w:top w:val="single" w:sz="4" w:space="0" w:color="auto"/>
            </w:tcBorders>
            <w:shd w:val="clear" w:color="auto" w:fill="DBDBDB"/>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Comparison</w:t>
            </w:r>
          </w:p>
        </w:tc>
        <w:tc>
          <w:tcPr>
            <w:tcW w:w="4310" w:type="dxa"/>
            <w:gridSpan w:val="5"/>
            <w:tcBorders>
              <w:top w:val="single" w:sz="4" w:space="0" w:color="auto"/>
            </w:tcBorders>
            <w:shd w:val="clear" w:color="auto" w:fill="DBDBDB"/>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Time (h)</w:t>
            </w:r>
          </w:p>
        </w:tc>
      </w:tr>
      <w:tr w:rsidR="00367359" w:rsidRPr="00E718F8" w:rsidTr="00BF6862">
        <w:trPr>
          <w:trHeight w:val="274"/>
        </w:trPr>
        <w:tc>
          <w:tcPr>
            <w:tcW w:w="4330" w:type="dxa"/>
            <w:tcBorders>
              <w:bottom w:val="single" w:sz="4" w:space="0" w:color="auto"/>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p>
        </w:tc>
        <w:tc>
          <w:tcPr>
            <w:tcW w:w="862" w:type="dxa"/>
            <w:tcBorders>
              <w:bottom w:val="single" w:sz="4" w:space="0" w:color="auto"/>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24</w:t>
            </w:r>
          </w:p>
        </w:tc>
        <w:tc>
          <w:tcPr>
            <w:tcW w:w="862" w:type="dxa"/>
            <w:tcBorders>
              <w:bottom w:val="single" w:sz="4" w:space="0" w:color="auto"/>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48</w:t>
            </w:r>
          </w:p>
        </w:tc>
        <w:tc>
          <w:tcPr>
            <w:tcW w:w="862" w:type="dxa"/>
            <w:tcBorders>
              <w:bottom w:val="single" w:sz="4" w:space="0" w:color="auto"/>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72</w:t>
            </w:r>
          </w:p>
        </w:tc>
        <w:tc>
          <w:tcPr>
            <w:tcW w:w="862" w:type="dxa"/>
            <w:tcBorders>
              <w:bottom w:val="single" w:sz="4" w:space="0" w:color="auto"/>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96</w:t>
            </w:r>
          </w:p>
        </w:tc>
        <w:tc>
          <w:tcPr>
            <w:tcW w:w="862" w:type="dxa"/>
            <w:tcBorders>
              <w:bottom w:val="single" w:sz="4" w:space="0" w:color="auto"/>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120</w:t>
            </w:r>
          </w:p>
        </w:tc>
      </w:tr>
      <w:tr w:rsidR="00367359" w:rsidRPr="00E718F8" w:rsidTr="00BF6862">
        <w:trPr>
          <w:trHeight w:val="300"/>
        </w:trPr>
        <w:tc>
          <w:tcPr>
            <w:tcW w:w="4330"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Dye vs. G51D</w:t>
            </w:r>
          </w:p>
        </w:tc>
        <w:tc>
          <w:tcPr>
            <w:tcW w:w="86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4" w:space="0" w:color="auto"/>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Dye vs. G51D ENSA </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1E65F5" w:rsidP="00BF6862">
            <w:pPr>
              <w:spacing w:line="240" w:lineRule="auto"/>
              <w:contextualSpacing/>
              <w:rPr>
                <w:rFonts w:ascii="Arial" w:hAnsi="Arial" w:cs="Arial"/>
              </w:rPr>
            </w:pPr>
            <w:r>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1E65F5">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Dye vs. G51D S109E </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G51D vs. G51D ENSA </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1E65F5" w:rsidP="00BF6862">
            <w:pPr>
              <w:spacing w:line="240" w:lineRule="auto"/>
              <w:contextualSpacing/>
              <w:rPr>
                <w:rFonts w:ascii="Arial" w:hAnsi="Arial" w:cs="Arial"/>
              </w:rPr>
            </w:pPr>
            <w:r>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1E65F5">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r w:rsidR="00367359" w:rsidRPr="00E718F8" w:rsidTr="00BF6862">
        <w:trPr>
          <w:trHeight w:val="300"/>
        </w:trPr>
        <w:tc>
          <w:tcPr>
            <w:tcW w:w="4330"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G51D vs. G51D S109E </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FFFFFF"/>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r>
      <w:tr w:rsidR="00367359" w:rsidRPr="00E718F8" w:rsidTr="00BF6862">
        <w:trPr>
          <w:trHeight w:val="300"/>
        </w:trPr>
        <w:tc>
          <w:tcPr>
            <w:tcW w:w="4330"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lang w:val="pt-BR"/>
              </w:rPr>
              <w:t xml:space="preserve">G51D ENSA  vs. G51D S109E </w:t>
            </w:r>
          </w:p>
        </w:tc>
        <w:tc>
          <w:tcPr>
            <w:tcW w:w="862"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ns</w:t>
            </w:r>
          </w:p>
        </w:tc>
        <w:tc>
          <w:tcPr>
            <w:tcW w:w="862"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r w:rsidR="001E65F5">
              <w:rPr>
                <w:rFonts w:ascii="Arial" w:hAnsi="Arial" w:cs="Arial"/>
              </w:rPr>
              <w:t>*</w:t>
            </w:r>
            <w:bookmarkStart w:id="5" w:name="_GoBack"/>
            <w:bookmarkEnd w:id="5"/>
          </w:p>
        </w:tc>
        <w:tc>
          <w:tcPr>
            <w:tcW w:w="862"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c>
          <w:tcPr>
            <w:tcW w:w="862" w:type="dxa"/>
            <w:tcBorders>
              <w:top w:val="single" w:sz="8" w:space="0" w:color="FFFFFF"/>
              <w:left w:val="single" w:sz="8" w:space="0" w:color="FFFFFF"/>
              <w:bottom w:val="single" w:sz="8" w:space="0" w:color="000000"/>
              <w:right w:val="single" w:sz="8" w:space="0" w:color="FFFFFF"/>
            </w:tcBorders>
            <w:shd w:val="clear" w:color="auto" w:fill="FFFFFF"/>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w:t>
            </w:r>
          </w:p>
        </w:tc>
      </w:tr>
    </w:tbl>
    <w:p w:rsidR="00367359" w:rsidRPr="00E718F8" w:rsidRDefault="00367359" w:rsidP="00367359">
      <w:pPr>
        <w:spacing w:line="240" w:lineRule="auto"/>
        <w:contextualSpacing/>
        <w:rPr>
          <w:rFonts w:ascii="Arial" w:hAnsi="Arial" w:cs="Arial"/>
        </w:rPr>
      </w:pPr>
      <w:r w:rsidRPr="00E718F8">
        <w:rPr>
          <w:rFonts w:ascii="Arial" w:hAnsi="Arial" w:cs="Arial"/>
          <w:vertAlign w:val="superscript"/>
        </w:rPr>
        <w:t>a</w:t>
      </w:r>
      <w:r w:rsidRPr="00E718F8">
        <w:rPr>
          <w:rFonts w:ascii="Arial" w:hAnsi="Arial" w:cs="Arial"/>
        </w:rPr>
        <w:t xml:space="preserve"> Two-way ANOVA, *p&lt;0.05, **p&lt;0.01, ***p&lt;0.001, ****p&lt;0.0001</w:t>
      </w: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rPr>
      </w:pPr>
    </w:p>
    <w:p w:rsidR="00367359" w:rsidRPr="00E718F8" w:rsidRDefault="00367359" w:rsidP="00367359">
      <w:pPr>
        <w:spacing w:line="240" w:lineRule="auto"/>
        <w:contextualSpacing/>
        <w:rPr>
          <w:rFonts w:ascii="Arial" w:hAnsi="Arial" w:cs="Arial"/>
          <w:vertAlign w:val="superscript"/>
        </w:rPr>
      </w:pPr>
      <w:r>
        <w:rPr>
          <w:rFonts w:ascii="Arial" w:hAnsi="Arial" w:cs="Arial"/>
        </w:rPr>
        <w:lastRenderedPageBreak/>
        <w:t>Table S3</w:t>
      </w:r>
      <w:r w:rsidRPr="00E718F8">
        <w:rPr>
          <w:rFonts w:ascii="Arial" w:hAnsi="Arial" w:cs="Arial"/>
        </w:rPr>
        <w:t xml:space="preserve">. Summary of demographic information for donors of </w:t>
      </w:r>
      <w:r w:rsidRPr="00E718F8">
        <w:rPr>
          <w:rFonts w:ascii="Arial" w:hAnsi="Arial" w:cs="Arial"/>
          <w:i/>
        </w:rPr>
        <w:t>substantia nigra</w:t>
      </w:r>
      <w:r w:rsidRPr="00E718F8">
        <w:rPr>
          <w:rFonts w:ascii="Arial" w:hAnsi="Arial" w:cs="Arial"/>
        </w:rPr>
        <w:t xml:space="preserve"> samples</w:t>
      </w:r>
      <w:r w:rsidRPr="00E718F8">
        <w:rPr>
          <w:rFonts w:ascii="Arial" w:hAnsi="Arial" w:cs="Arial"/>
          <w:vertAlign w:val="superscript"/>
        </w:rPr>
        <w:t>a</w:t>
      </w:r>
    </w:p>
    <w:tbl>
      <w:tblPr>
        <w:tblW w:w="6480" w:type="dxa"/>
        <w:jc w:val="center"/>
        <w:tblCellMar>
          <w:left w:w="0" w:type="dxa"/>
          <w:right w:w="0" w:type="dxa"/>
        </w:tblCellMar>
        <w:tblLook w:val="0400" w:firstRow="0" w:lastRow="0" w:firstColumn="0" w:lastColumn="0" w:noHBand="0" w:noVBand="1"/>
      </w:tblPr>
      <w:tblGrid>
        <w:gridCol w:w="1380"/>
        <w:gridCol w:w="920"/>
        <w:gridCol w:w="920"/>
        <w:gridCol w:w="1080"/>
        <w:gridCol w:w="2180"/>
      </w:tblGrid>
      <w:tr w:rsidR="00367359" w:rsidRPr="00E718F8" w:rsidTr="00BF6862">
        <w:trPr>
          <w:trHeight w:val="456"/>
          <w:jc w:val="center"/>
        </w:trPr>
        <w:tc>
          <w:tcPr>
            <w:tcW w:w="6480" w:type="dxa"/>
            <w:gridSpan w:val="5"/>
            <w:tcBorders>
              <w:top w:val="nil"/>
              <w:left w:val="nil"/>
              <w:bottom w:val="single" w:sz="8" w:space="0" w:color="000000"/>
              <w:right w:val="nil"/>
            </w:tcBorders>
            <w:shd w:val="clear" w:color="auto" w:fill="auto"/>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lang w:val="fr-FR"/>
              </w:rPr>
            </w:pPr>
            <w:r w:rsidRPr="00E718F8">
              <w:rPr>
                <w:rFonts w:ascii="Arial" w:hAnsi="Arial" w:cs="Arial"/>
                <w:lang w:val="fr-FR"/>
              </w:rPr>
              <w:t>GIE Neuro-CEB BB-0033-00011 (France)</w:t>
            </w:r>
          </w:p>
        </w:tc>
      </w:tr>
      <w:tr w:rsidR="00367359" w:rsidRPr="00E718F8" w:rsidTr="00BF6862">
        <w:trPr>
          <w:trHeight w:val="614"/>
          <w:jc w:val="center"/>
        </w:trPr>
        <w:tc>
          <w:tcPr>
            <w:tcW w:w="1380" w:type="dxa"/>
            <w:tcBorders>
              <w:top w:val="single" w:sz="8" w:space="0" w:color="000000"/>
              <w:left w:val="nil"/>
              <w:bottom w:val="single" w:sz="8" w:space="0" w:color="000000"/>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Case</w:t>
            </w:r>
          </w:p>
        </w:tc>
        <w:tc>
          <w:tcPr>
            <w:tcW w:w="920" w:type="dxa"/>
            <w:tcBorders>
              <w:top w:val="single" w:sz="8" w:space="0" w:color="000000"/>
              <w:left w:val="nil"/>
              <w:bottom w:val="single" w:sz="8" w:space="0" w:color="000000"/>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Age (y)</w:t>
            </w:r>
          </w:p>
        </w:tc>
        <w:tc>
          <w:tcPr>
            <w:tcW w:w="920" w:type="dxa"/>
            <w:tcBorders>
              <w:top w:val="single" w:sz="8" w:space="0" w:color="000000"/>
              <w:left w:val="nil"/>
              <w:bottom w:val="single" w:sz="8" w:space="0" w:color="000000"/>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Sex</w:t>
            </w:r>
          </w:p>
        </w:tc>
        <w:tc>
          <w:tcPr>
            <w:tcW w:w="1080" w:type="dxa"/>
            <w:tcBorders>
              <w:top w:val="single" w:sz="8" w:space="0" w:color="000000"/>
              <w:left w:val="nil"/>
              <w:bottom w:val="single" w:sz="8" w:space="0" w:color="000000"/>
              <w:right w:val="nil"/>
            </w:tcBorders>
            <w:shd w:val="clear" w:color="auto" w:fill="DBDBDB"/>
            <w:tcMar>
              <w:top w:w="15" w:type="dxa"/>
              <w:left w:w="15" w:type="dxa"/>
              <w:bottom w:w="0" w:type="dxa"/>
              <w:right w:w="15" w:type="dxa"/>
            </w:tcMar>
            <w:vAlign w:val="bottom"/>
            <w:hideMark/>
          </w:tcPr>
          <w:p w:rsidR="00367359" w:rsidRPr="00E718F8" w:rsidRDefault="00367359" w:rsidP="00BF6862">
            <w:pPr>
              <w:spacing w:line="240" w:lineRule="auto"/>
              <w:contextualSpacing/>
              <w:rPr>
                <w:rFonts w:ascii="Arial" w:hAnsi="Arial" w:cs="Arial"/>
              </w:rPr>
            </w:pPr>
            <w:r w:rsidRPr="00E718F8">
              <w:rPr>
                <w:rFonts w:ascii="Arial" w:hAnsi="Arial" w:cs="Arial"/>
              </w:rPr>
              <w:t>PMI (h)</w:t>
            </w:r>
          </w:p>
        </w:tc>
        <w:tc>
          <w:tcPr>
            <w:tcW w:w="2180" w:type="dxa"/>
            <w:tcBorders>
              <w:top w:val="single" w:sz="8" w:space="0" w:color="000000"/>
              <w:left w:val="nil"/>
              <w:bottom w:val="single" w:sz="8" w:space="0" w:color="000000"/>
              <w:right w:val="nil"/>
            </w:tcBorders>
            <w:shd w:val="clear" w:color="auto" w:fill="DBDBDB"/>
            <w:tcMar>
              <w:top w:w="15" w:type="dxa"/>
              <w:left w:w="15" w:type="dxa"/>
              <w:bottom w:w="0" w:type="dxa"/>
              <w:right w:w="15" w:type="dxa"/>
            </w:tcMar>
            <w:vAlign w:val="bottom"/>
            <w:hideMark/>
          </w:tcPr>
          <w:p w:rsidR="00367359" w:rsidRPr="00E718F8" w:rsidRDefault="00367359" w:rsidP="009F576B">
            <w:pPr>
              <w:spacing w:line="240" w:lineRule="auto"/>
              <w:contextualSpacing/>
              <w:rPr>
                <w:rFonts w:ascii="Arial" w:hAnsi="Arial" w:cs="Arial"/>
              </w:rPr>
            </w:pPr>
            <w:r w:rsidRPr="00E718F8">
              <w:rPr>
                <w:rFonts w:ascii="Arial" w:hAnsi="Arial" w:cs="Arial"/>
              </w:rPr>
              <w:t xml:space="preserve">Neuropathological </w:t>
            </w:r>
            <w:r w:rsidR="009F576B">
              <w:rPr>
                <w:rFonts w:ascii="Arial" w:hAnsi="Arial" w:cs="Arial"/>
              </w:rPr>
              <w:t>d</w:t>
            </w:r>
            <w:r w:rsidRPr="00E718F8">
              <w:rPr>
                <w:rFonts w:ascii="Arial" w:hAnsi="Arial" w:cs="Arial"/>
              </w:rPr>
              <w:t>iagnosis</w:t>
            </w:r>
          </w:p>
        </w:tc>
      </w:tr>
      <w:tr w:rsidR="00367359" w:rsidRPr="00E718F8" w:rsidTr="00BF6862">
        <w:trPr>
          <w:trHeight w:val="346"/>
          <w:jc w:val="center"/>
        </w:trPr>
        <w:tc>
          <w:tcPr>
            <w:tcW w:w="1380" w:type="dxa"/>
            <w:tcBorders>
              <w:top w:val="single" w:sz="8" w:space="0" w:color="000000"/>
              <w:left w:val="nil"/>
              <w:bottom w:val="nil"/>
              <w:right w:val="nil"/>
            </w:tcBorders>
            <w:shd w:val="clear" w:color="auto" w:fill="auto"/>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CTRL-1</w:t>
            </w:r>
          </w:p>
        </w:tc>
        <w:tc>
          <w:tcPr>
            <w:tcW w:w="920" w:type="dxa"/>
            <w:tcBorders>
              <w:top w:val="single" w:sz="8" w:space="0" w:color="000000"/>
              <w:left w:val="nil"/>
              <w:bottom w:val="nil"/>
              <w:right w:val="nil"/>
            </w:tcBorders>
            <w:shd w:val="clear" w:color="auto" w:fill="auto"/>
            <w:tcMar>
              <w:top w:w="15" w:type="dxa"/>
              <w:left w:w="15" w:type="dxa"/>
              <w:bottom w:w="0" w:type="dxa"/>
              <w:right w:w="15" w:type="dxa"/>
            </w:tcMar>
            <w:vAlign w:val="bottom"/>
          </w:tcPr>
          <w:p w:rsidR="00367359" w:rsidRPr="00E718F8" w:rsidRDefault="003C7C32" w:rsidP="00BF6862">
            <w:pPr>
              <w:spacing w:line="240" w:lineRule="auto"/>
              <w:contextualSpacing/>
              <w:rPr>
                <w:rFonts w:ascii="Arial" w:hAnsi="Arial" w:cs="Arial"/>
              </w:rPr>
            </w:pPr>
            <w:r>
              <w:rPr>
                <w:rFonts w:ascii="Arial" w:hAnsi="Arial" w:cs="Arial"/>
              </w:rPr>
              <w:t>87</w:t>
            </w:r>
          </w:p>
        </w:tc>
        <w:tc>
          <w:tcPr>
            <w:tcW w:w="920" w:type="dxa"/>
            <w:tcBorders>
              <w:top w:val="single" w:sz="8" w:space="0" w:color="000000"/>
              <w:left w:val="nil"/>
              <w:bottom w:val="nil"/>
              <w:right w:val="nil"/>
            </w:tcBorders>
            <w:shd w:val="clear" w:color="auto" w:fill="auto"/>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M</w:t>
            </w:r>
          </w:p>
        </w:tc>
        <w:tc>
          <w:tcPr>
            <w:tcW w:w="1080" w:type="dxa"/>
            <w:tcBorders>
              <w:top w:val="single" w:sz="8" w:space="0" w:color="000000"/>
              <w:left w:val="nil"/>
              <w:bottom w:val="nil"/>
              <w:right w:val="nil"/>
            </w:tcBorders>
            <w:shd w:val="clear" w:color="auto" w:fill="auto"/>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7</w:t>
            </w:r>
          </w:p>
        </w:tc>
        <w:tc>
          <w:tcPr>
            <w:tcW w:w="2180" w:type="dxa"/>
            <w:tcBorders>
              <w:top w:val="single" w:sz="8" w:space="0" w:color="000000"/>
              <w:left w:val="nil"/>
              <w:bottom w:val="nil"/>
              <w:right w:val="nil"/>
            </w:tcBorders>
            <w:shd w:val="clear" w:color="auto" w:fill="auto"/>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control</w:t>
            </w:r>
          </w:p>
        </w:tc>
      </w:tr>
      <w:tr w:rsidR="00367359" w:rsidRPr="00E718F8" w:rsidTr="00BF6862">
        <w:trPr>
          <w:trHeight w:val="346"/>
          <w:jc w:val="center"/>
        </w:trPr>
        <w:tc>
          <w:tcPr>
            <w:tcW w:w="13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CTRL-2</w:t>
            </w:r>
          </w:p>
        </w:tc>
        <w:tc>
          <w:tcPr>
            <w:tcW w:w="92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C7C32" w:rsidP="00BF6862">
            <w:pPr>
              <w:spacing w:line="240" w:lineRule="auto"/>
              <w:contextualSpacing/>
              <w:rPr>
                <w:rFonts w:ascii="Arial" w:hAnsi="Arial" w:cs="Arial"/>
              </w:rPr>
            </w:pPr>
            <w:r>
              <w:rPr>
                <w:rFonts w:ascii="Arial" w:hAnsi="Arial" w:cs="Arial"/>
              </w:rPr>
              <w:t>31</w:t>
            </w:r>
          </w:p>
        </w:tc>
        <w:tc>
          <w:tcPr>
            <w:tcW w:w="92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M</w:t>
            </w:r>
          </w:p>
        </w:tc>
        <w:tc>
          <w:tcPr>
            <w:tcW w:w="10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17.5</w:t>
            </w:r>
          </w:p>
        </w:tc>
        <w:tc>
          <w:tcPr>
            <w:tcW w:w="21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control</w:t>
            </w:r>
          </w:p>
        </w:tc>
      </w:tr>
      <w:tr w:rsidR="00367359" w:rsidRPr="00E718F8" w:rsidTr="00BF6862">
        <w:trPr>
          <w:trHeight w:val="346"/>
          <w:jc w:val="center"/>
        </w:trPr>
        <w:tc>
          <w:tcPr>
            <w:tcW w:w="1380" w:type="dxa"/>
            <w:tcBorders>
              <w:top w:val="nil"/>
              <w:left w:val="nil"/>
              <w:bottom w:val="nil"/>
              <w:right w:val="nil"/>
            </w:tcBorders>
            <w:shd w:val="clear" w:color="auto" w:fill="auto"/>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CTRL-3</w:t>
            </w:r>
          </w:p>
        </w:tc>
        <w:tc>
          <w:tcPr>
            <w:tcW w:w="920" w:type="dxa"/>
            <w:tcBorders>
              <w:top w:val="nil"/>
              <w:left w:val="nil"/>
              <w:bottom w:val="nil"/>
              <w:right w:val="nil"/>
            </w:tcBorders>
            <w:shd w:val="clear" w:color="auto" w:fill="auto"/>
            <w:tcMar>
              <w:top w:w="15" w:type="dxa"/>
              <w:left w:w="15" w:type="dxa"/>
              <w:bottom w:w="0" w:type="dxa"/>
              <w:right w:w="15" w:type="dxa"/>
            </w:tcMar>
            <w:vAlign w:val="bottom"/>
          </w:tcPr>
          <w:p w:rsidR="00367359" w:rsidRPr="00E718F8" w:rsidRDefault="003C7C32" w:rsidP="003C7C32">
            <w:pPr>
              <w:spacing w:line="240" w:lineRule="auto"/>
              <w:contextualSpacing/>
              <w:rPr>
                <w:rFonts w:ascii="Arial" w:hAnsi="Arial" w:cs="Arial"/>
              </w:rPr>
            </w:pPr>
            <w:r>
              <w:rPr>
                <w:rFonts w:ascii="Arial" w:hAnsi="Arial" w:cs="Arial"/>
              </w:rPr>
              <w:t>82</w:t>
            </w:r>
          </w:p>
        </w:tc>
        <w:tc>
          <w:tcPr>
            <w:tcW w:w="920" w:type="dxa"/>
            <w:tcBorders>
              <w:top w:val="nil"/>
              <w:left w:val="nil"/>
              <w:bottom w:val="nil"/>
              <w:right w:val="nil"/>
            </w:tcBorders>
            <w:shd w:val="clear" w:color="auto" w:fill="auto"/>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M</w:t>
            </w:r>
          </w:p>
        </w:tc>
        <w:tc>
          <w:tcPr>
            <w:tcW w:w="1080" w:type="dxa"/>
            <w:tcBorders>
              <w:top w:val="nil"/>
              <w:left w:val="nil"/>
              <w:bottom w:val="nil"/>
              <w:right w:val="nil"/>
            </w:tcBorders>
            <w:shd w:val="clear" w:color="auto" w:fill="auto"/>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2.5</w:t>
            </w:r>
          </w:p>
        </w:tc>
        <w:tc>
          <w:tcPr>
            <w:tcW w:w="2180" w:type="dxa"/>
            <w:tcBorders>
              <w:top w:val="nil"/>
              <w:left w:val="nil"/>
              <w:bottom w:val="nil"/>
              <w:right w:val="nil"/>
            </w:tcBorders>
            <w:shd w:val="clear" w:color="auto" w:fill="auto"/>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control</w:t>
            </w:r>
          </w:p>
        </w:tc>
      </w:tr>
      <w:tr w:rsidR="00367359" w:rsidRPr="00E718F8" w:rsidTr="00BF6862">
        <w:trPr>
          <w:trHeight w:val="346"/>
          <w:jc w:val="center"/>
        </w:trPr>
        <w:tc>
          <w:tcPr>
            <w:tcW w:w="13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CTRL-4</w:t>
            </w:r>
          </w:p>
        </w:tc>
        <w:tc>
          <w:tcPr>
            <w:tcW w:w="92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3C7C32">
            <w:pPr>
              <w:spacing w:line="240" w:lineRule="auto"/>
              <w:contextualSpacing/>
              <w:rPr>
                <w:rFonts w:ascii="Arial" w:hAnsi="Arial" w:cs="Arial"/>
              </w:rPr>
            </w:pPr>
            <w:r w:rsidRPr="00E718F8">
              <w:rPr>
                <w:rFonts w:ascii="Arial" w:hAnsi="Arial" w:cs="Arial"/>
              </w:rPr>
              <w:t>6</w:t>
            </w:r>
            <w:r w:rsidR="003C7C32">
              <w:rPr>
                <w:rFonts w:ascii="Arial" w:hAnsi="Arial" w:cs="Arial"/>
              </w:rPr>
              <w:t>1</w:t>
            </w:r>
          </w:p>
        </w:tc>
        <w:tc>
          <w:tcPr>
            <w:tcW w:w="92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M</w:t>
            </w:r>
          </w:p>
        </w:tc>
        <w:tc>
          <w:tcPr>
            <w:tcW w:w="10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7</w:t>
            </w:r>
          </w:p>
        </w:tc>
        <w:tc>
          <w:tcPr>
            <w:tcW w:w="21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control</w:t>
            </w:r>
          </w:p>
        </w:tc>
      </w:tr>
      <w:tr w:rsidR="00367359" w:rsidRPr="00E718F8" w:rsidTr="00BF6862">
        <w:trPr>
          <w:trHeight w:val="346"/>
          <w:jc w:val="center"/>
        </w:trPr>
        <w:tc>
          <w:tcPr>
            <w:tcW w:w="13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PD-1</w:t>
            </w:r>
          </w:p>
        </w:tc>
        <w:tc>
          <w:tcPr>
            <w:tcW w:w="92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76</w:t>
            </w:r>
          </w:p>
        </w:tc>
        <w:tc>
          <w:tcPr>
            <w:tcW w:w="92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M</w:t>
            </w:r>
          </w:p>
        </w:tc>
        <w:tc>
          <w:tcPr>
            <w:tcW w:w="10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B14D24" w:rsidP="00BF6862">
            <w:pPr>
              <w:spacing w:line="240" w:lineRule="auto"/>
              <w:contextualSpacing/>
              <w:rPr>
                <w:rFonts w:ascii="Arial" w:hAnsi="Arial" w:cs="Arial"/>
              </w:rPr>
            </w:pPr>
            <w:r>
              <w:rPr>
                <w:rFonts w:ascii="Arial" w:hAnsi="Arial" w:cs="Arial"/>
              </w:rPr>
              <w:t>2</w:t>
            </w:r>
          </w:p>
        </w:tc>
        <w:tc>
          <w:tcPr>
            <w:tcW w:w="21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PD</w:t>
            </w:r>
          </w:p>
        </w:tc>
      </w:tr>
      <w:tr w:rsidR="00367359" w:rsidRPr="00E718F8" w:rsidTr="00BF6862">
        <w:trPr>
          <w:trHeight w:val="346"/>
          <w:jc w:val="center"/>
        </w:trPr>
        <w:tc>
          <w:tcPr>
            <w:tcW w:w="13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PD-2</w:t>
            </w:r>
          </w:p>
        </w:tc>
        <w:tc>
          <w:tcPr>
            <w:tcW w:w="92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76</w:t>
            </w:r>
          </w:p>
        </w:tc>
        <w:tc>
          <w:tcPr>
            <w:tcW w:w="92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M</w:t>
            </w:r>
          </w:p>
        </w:tc>
        <w:tc>
          <w:tcPr>
            <w:tcW w:w="10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3</w:t>
            </w:r>
          </w:p>
        </w:tc>
        <w:tc>
          <w:tcPr>
            <w:tcW w:w="21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PD</w:t>
            </w:r>
          </w:p>
        </w:tc>
      </w:tr>
      <w:tr w:rsidR="00367359" w:rsidRPr="00E718F8" w:rsidTr="00BF6862">
        <w:trPr>
          <w:trHeight w:val="346"/>
          <w:jc w:val="center"/>
        </w:trPr>
        <w:tc>
          <w:tcPr>
            <w:tcW w:w="13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PD-3</w:t>
            </w:r>
          </w:p>
        </w:tc>
        <w:tc>
          <w:tcPr>
            <w:tcW w:w="92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75</w:t>
            </w:r>
          </w:p>
        </w:tc>
        <w:tc>
          <w:tcPr>
            <w:tcW w:w="92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M</w:t>
            </w:r>
          </w:p>
        </w:tc>
        <w:tc>
          <w:tcPr>
            <w:tcW w:w="10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10</w:t>
            </w:r>
          </w:p>
        </w:tc>
        <w:tc>
          <w:tcPr>
            <w:tcW w:w="21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PD</w:t>
            </w:r>
          </w:p>
        </w:tc>
      </w:tr>
      <w:tr w:rsidR="00367359" w:rsidRPr="00E718F8" w:rsidTr="00BF6862">
        <w:trPr>
          <w:trHeight w:val="346"/>
          <w:jc w:val="center"/>
        </w:trPr>
        <w:tc>
          <w:tcPr>
            <w:tcW w:w="13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PD-4</w:t>
            </w:r>
          </w:p>
        </w:tc>
        <w:tc>
          <w:tcPr>
            <w:tcW w:w="92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85</w:t>
            </w:r>
          </w:p>
        </w:tc>
        <w:tc>
          <w:tcPr>
            <w:tcW w:w="92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F</w:t>
            </w:r>
          </w:p>
        </w:tc>
        <w:tc>
          <w:tcPr>
            <w:tcW w:w="10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15</w:t>
            </w:r>
          </w:p>
        </w:tc>
        <w:tc>
          <w:tcPr>
            <w:tcW w:w="21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PD</w:t>
            </w:r>
          </w:p>
        </w:tc>
      </w:tr>
      <w:tr w:rsidR="00367359" w:rsidRPr="00E718F8" w:rsidTr="00BF6862">
        <w:trPr>
          <w:trHeight w:val="346"/>
          <w:jc w:val="center"/>
        </w:trPr>
        <w:tc>
          <w:tcPr>
            <w:tcW w:w="13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PD-5</w:t>
            </w:r>
          </w:p>
        </w:tc>
        <w:tc>
          <w:tcPr>
            <w:tcW w:w="92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74</w:t>
            </w:r>
          </w:p>
        </w:tc>
        <w:tc>
          <w:tcPr>
            <w:tcW w:w="92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M</w:t>
            </w:r>
          </w:p>
        </w:tc>
        <w:tc>
          <w:tcPr>
            <w:tcW w:w="10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30</w:t>
            </w:r>
          </w:p>
        </w:tc>
        <w:tc>
          <w:tcPr>
            <w:tcW w:w="21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PD</w:t>
            </w:r>
          </w:p>
        </w:tc>
      </w:tr>
      <w:tr w:rsidR="00367359" w:rsidRPr="00E718F8" w:rsidTr="00BF6862">
        <w:trPr>
          <w:trHeight w:val="346"/>
          <w:jc w:val="center"/>
        </w:trPr>
        <w:tc>
          <w:tcPr>
            <w:tcW w:w="13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PD-6</w:t>
            </w:r>
          </w:p>
        </w:tc>
        <w:tc>
          <w:tcPr>
            <w:tcW w:w="92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76</w:t>
            </w:r>
          </w:p>
        </w:tc>
        <w:tc>
          <w:tcPr>
            <w:tcW w:w="92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F</w:t>
            </w:r>
          </w:p>
        </w:tc>
        <w:tc>
          <w:tcPr>
            <w:tcW w:w="10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20</w:t>
            </w:r>
          </w:p>
        </w:tc>
        <w:tc>
          <w:tcPr>
            <w:tcW w:w="2180" w:type="dxa"/>
            <w:tcBorders>
              <w:top w:val="nil"/>
              <w:left w:val="nil"/>
              <w:bottom w:val="nil"/>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PD</w:t>
            </w:r>
          </w:p>
        </w:tc>
      </w:tr>
      <w:tr w:rsidR="00367359" w:rsidRPr="00E718F8" w:rsidTr="00BF6862">
        <w:trPr>
          <w:trHeight w:val="346"/>
          <w:jc w:val="center"/>
        </w:trPr>
        <w:tc>
          <w:tcPr>
            <w:tcW w:w="1380" w:type="dxa"/>
            <w:tcBorders>
              <w:top w:val="nil"/>
              <w:left w:val="nil"/>
              <w:bottom w:val="single" w:sz="8" w:space="0" w:color="000000"/>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PD-7</w:t>
            </w:r>
          </w:p>
        </w:tc>
        <w:tc>
          <w:tcPr>
            <w:tcW w:w="920" w:type="dxa"/>
            <w:tcBorders>
              <w:top w:val="nil"/>
              <w:left w:val="nil"/>
              <w:bottom w:val="single" w:sz="8" w:space="0" w:color="000000"/>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81</w:t>
            </w:r>
          </w:p>
        </w:tc>
        <w:tc>
          <w:tcPr>
            <w:tcW w:w="920" w:type="dxa"/>
            <w:tcBorders>
              <w:top w:val="nil"/>
              <w:left w:val="nil"/>
              <w:bottom w:val="single" w:sz="8" w:space="0" w:color="000000"/>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M</w:t>
            </w:r>
          </w:p>
        </w:tc>
        <w:tc>
          <w:tcPr>
            <w:tcW w:w="1080" w:type="dxa"/>
            <w:tcBorders>
              <w:top w:val="nil"/>
              <w:left w:val="nil"/>
              <w:bottom w:val="single" w:sz="8" w:space="0" w:color="000000"/>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28</w:t>
            </w:r>
          </w:p>
        </w:tc>
        <w:tc>
          <w:tcPr>
            <w:tcW w:w="2180" w:type="dxa"/>
            <w:tcBorders>
              <w:top w:val="nil"/>
              <w:left w:val="nil"/>
              <w:bottom w:val="single" w:sz="8" w:space="0" w:color="000000"/>
              <w:right w:val="nil"/>
            </w:tcBorders>
            <w:shd w:val="clear" w:color="auto" w:fill="FFFFFF" w:themeFill="background1"/>
            <w:tcMar>
              <w:top w:w="15" w:type="dxa"/>
              <w:left w:w="15" w:type="dxa"/>
              <w:bottom w:w="0" w:type="dxa"/>
              <w:right w:w="15" w:type="dxa"/>
            </w:tcMar>
            <w:vAlign w:val="bottom"/>
          </w:tcPr>
          <w:p w:rsidR="00367359" w:rsidRPr="00E718F8" w:rsidRDefault="00367359" w:rsidP="00BF6862">
            <w:pPr>
              <w:spacing w:line="240" w:lineRule="auto"/>
              <w:contextualSpacing/>
              <w:rPr>
                <w:rFonts w:ascii="Arial" w:hAnsi="Arial" w:cs="Arial"/>
              </w:rPr>
            </w:pPr>
            <w:r w:rsidRPr="00E718F8">
              <w:rPr>
                <w:rFonts w:ascii="Arial" w:hAnsi="Arial" w:cs="Arial"/>
              </w:rPr>
              <w:t>PD</w:t>
            </w:r>
          </w:p>
        </w:tc>
      </w:tr>
    </w:tbl>
    <w:p w:rsidR="00367359" w:rsidRPr="00E718F8" w:rsidRDefault="00367359" w:rsidP="00367359">
      <w:pPr>
        <w:spacing w:line="240" w:lineRule="auto"/>
        <w:contextualSpacing/>
        <w:rPr>
          <w:rFonts w:ascii="Arial" w:hAnsi="Arial" w:cs="Arial"/>
        </w:rPr>
      </w:pPr>
      <w:r w:rsidRPr="00E718F8">
        <w:rPr>
          <w:rFonts w:ascii="Arial" w:hAnsi="Arial" w:cs="Arial"/>
          <w:vertAlign w:val="superscript"/>
        </w:rPr>
        <w:t>a</w:t>
      </w:r>
      <w:r w:rsidRPr="00E718F8">
        <w:rPr>
          <w:rFonts w:ascii="Arial" w:hAnsi="Arial" w:cs="Arial"/>
        </w:rPr>
        <w:t xml:space="preserve">Brain samples used for ENSA expression analysis were obtained from PD patients and neuropathologically normal (CTRL) individuals. The average age was </w:t>
      </w:r>
      <w:r w:rsidR="009F576B">
        <w:rPr>
          <w:rFonts w:ascii="Arial" w:hAnsi="Arial" w:cs="Arial"/>
        </w:rPr>
        <w:t>65.2</w:t>
      </w:r>
      <w:r w:rsidRPr="00E718F8">
        <w:rPr>
          <w:rFonts w:ascii="Arial" w:hAnsi="Arial" w:cs="Arial"/>
        </w:rPr>
        <w:t xml:space="preserve"> y and 77.6 y for control individuals and patients, respectively. Abbreviations: PMI, post-mortem interval; M, male; F, female.</w:t>
      </w:r>
    </w:p>
    <w:p w:rsidR="00367359" w:rsidRPr="00E718F8" w:rsidRDefault="00367359" w:rsidP="00367359">
      <w:pPr>
        <w:spacing w:line="240" w:lineRule="auto"/>
        <w:contextualSpacing/>
        <w:rPr>
          <w:rFonts w:ascii="Arial" w:hAnsi="Arial" w:cs="Arial"/>
        </w:rPr>
      </w:pPr>
    </w:p>
    <w:p w:rsidR="00FC3668" w:rsidRDefault="00FC3668"/>
    <w:sectPr w:rsidR="00FC366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359"/>
    <w:rsid w:val="000009D3"/>
    <w:rsid w:val="0001098F"/>
    <w:rsid w:val="00025558"/>
    <w:rsid w:val="00080A08"/>
    <w:rsid w:val="00082A92"/>
    <w:rsid w:val="00096065"/>
    <w:rsid w:val="00097D1C"/>
    <w:rsid w:val="000A3E6E"/>
    <w:rsid w:val="000B69C5"/>
    <w:rsid w:val="000C2EEA"/>
    <w:rsid w:val="000D4139"/>
    <w:rsid w:val="000D4A29"/>
    <w:rsid w:val="00100577"/>
    <w:rsid w:val="00100DC3"/>
    <w:rsid w:val="00160FF1"/>
    <w:rsid w:val="001623DC"/>
    <w:rsid w:val="0017232C"/>
    <w:rsid w:val="00174EC8"/>
    <w:rsid w:val="001843CC"/>
    <w:rsid w:val="00195A0F"/>
    <w:rsid w:val="001A2C53"/>
    <w:rsid w:val="001E65F5"/>
    <w:rsid w:val="001F5670"/>
    <w:rsid w:val="002069CE"/>
    <w:rsid w:val="0021651B"/>
    <w:rsid w:val="00245827"/>
    <w:rsid w:val="002538F1"/>
    <w:rsid w:val="00264686"/>
    <w:rsid w:val="0026676A"/>
    <w:rsid w:val="00272496"/>
    <w:rsid w:val="002A40FC"/>
    <w:rsid w:val="002A789F"/>
    <w:rsid w:val="002C6EAB"/>
    <w:rsid w:val="002E7877"/>
    <w:rsid w:val="002F30F9"/>
    <w:rsid w:val="003015FD"/>
    <w:rsid w:val="003061EB"/>
    <w:rsid w:val="003208C8"/>
    <w:rsid w:val="00351640"/>
    <w:rsid w:val="003520EF"/>
    <w:rsid w:val="00361E4E"/>
    <w:rsid w:val="0036678B"/>
    <w:rsid w:val="00367359"/>
    <w:rsid w:val="00383E3C"/>
    <w:rsid w:val="003B1D14"/>
    <w:rsid w:val="003C7C32"/>
    <w:rsid w:val="003F1CB7"/>
    <w:rsid w:val="004829C6"/>
    <w:rsid w:val="004A67FD"/>
    <w:rsid w:val="004A7F2C"/>
    <w:rsid w:val="004B1A2C"/>
    <w:rsid w:val="004B663B"/>
    <w:rsid w:val="004C581A"/>
    <w:rsid w:val="004F6105"/>
    <w:rsid w:val="00510A93"/>
    <w:rsid w:val="00523A64"/>
    <w:rsid w:val="0053429F"/>
    <w:rsid w:val="00537047"/>
    <w:rsid w:val="00543629"/>
    <w:rsid w:val="0055799D"/>
    <w:rsid w:val="0058016C"/>
    <w:rsid w:val="005805CC"/>
    <w:rsid w:val="005919CE"/>
    <w:rsid w:val="0059527D"/>
    <w:rsid w:val="005A7C6E"/>
    <w:rsid w:val="005B2C16"/>
    <w:rsid w:val="005E2530"/>
    <w:rsid w:val="005E325C"/>
    <w:rsid w:val="00606336"/>
    <w:rsid w:val="00607C42"/>
    <w:rsid w:val="00614365"/>
    <w:rsid w:val="00622BF1"/>
    <w:rsid w:val="006479E4"/>
    <w:rsid w:val="00673233"/>
    <w:rsid w:val="00684BD6"/>
    <w:rsid w:val="006A446D"/>
    <w:rsid w:val="006A560A"/>
    <w:rsid w:val="006A6AF9"/>
    <w:rsid w:val="006B0E8D"/>
    <w:rsid w:val="006B4E5B"/>
    <w:rsid w:val="006C23C5"/>
    <w:rsid w:val="006E4F0F"/>
    <w:rsid w:val="00733EBA"/>
    <w:rsid w:val="007356BC"/>
    <w:rsid w:val="00735B5B"/>
    <w:rsid w:val="0074337A"/>
    <w:rsid w:val="00755CFC"/>
    <w:rsid w:val="00766620"/>
    <w:rsid w:val="007A6BBB"/>
    <w:rsid w:val="007B3D73"/>
    <w:rsid w:val="007F6522"/>
    <w:rsid w:val="0081576A"/>
    <w:rsid w:val="008239F9"/>
    <w:rsid w:val="008275FA"/>
    <w:rsid w:val="0084066A"/>
    <w:rsid w:val="00844FCC"/>
    <w:rsid w:val="00847330"/>
    <w:rsid w:val="00880CDD"/>
    <w:rsid w:val="00882C61"/>
    <w:rsid w:val="008865C6"/>
    <w:rsid w:val="008C60C1"/>
    <w:rsid w:val="008F1488"/>
    <w:rsid w:val="008F3714"/>
    <w:rsid w:val="00901BA4"/>
    <w:rsid w:val="009358B3"/>
    <w:rsid w:val="009508BC"/>
    <w:rsid w:val="0095206A"/>
    <w:rsid w:val="00952F71"/>
    <w:rsid w:val="009553F4"/>
    <w:rsid w:val="00966B3C"/>
    <w:rsid w:val="00974C89"/>
    <w:rsid w:val="009754F8"/>
    <w:rsid w:val="009B2B34"/>
    <w:rsid w:val="009D3CB8"/>
    <w:rsid w:val="009D735D"/>
    <w:rsid w:val="009F576B"/>
    <w:rsid w:val="00A13949"/>
    <w:rsid w:val="00A161BE"/>
    <w:rsid w:val="00A357E8"/>
    <w:rsid w:val="00A35F0E"/>
    <w:rsid w:val="00A362B3"/>
    <w:rsid w:val="00A37180"/>
    <w:rsid w:val="00A63A13"/>
    <w:rsid w:val="00AC23DA"/>
    <w:rsid w:val="00AD124B"/>
    <w:rsid w:val="00AD7899"/>
    <w:rsid w:val="00B14D24"/>
    <w:rsid w:val="00B169CD"/>
    <w:rsid w:val="00B55182"/>
    <w:rsid w:val="00B8124A"/>
    <w:rsid w:val="00BA5B40"/>
    <w:rsid w:val="00BC0ABD"/>
    <w:rsid w:val="00BF5D7C"/>
    <w:rsid w:val="00C07CAB"/>
    <w:rsid w:val="00C306DF"/>
    <w:rsid w:val="00C30EE0"/>
    <w:rsid w:val="00C410E2"/>
    <w:rsid w:val="00C711F7"/>
    <w:rsid w:val="00C74073"/>
    <w:rsid w:val="00C8717C"/>
    <w:rsid w:val="00C95546"/>
    <w:rsid w:val="00CA2339"/>
    <w:rsid w:val="00CD058A"/>
    <w:rsid w:val="00CE558E"/>
    <w:rsid w:val="00CF14C2"/>
    <w:rsid w:val="00CF496B"/>
    <w:rsid w:val="00CF69BB"/>
    <w:rsid w:val="00D2151F"/>
    <w:rsid w:val="00D35CB3"/>
    <w:rsid w:val="00D35EAA"/>
    <w:rsid w:val="00D60A47"/>
    <w:rsid w:val="00D624DD"/>
    <w:rsid w:val="00D76F97"/>
    <w:rsid w:val="00D85BE5"/>
    <w:rsid w:val="00DA17C2"/>
    <w:rsid w:val="00DC0B89"/>
    <w:rsid w:val="00DF3809"/>
    <w:rsid w:val="00E000D8"/>
    <w:rsid w:val="00E07855"/>
    <w:rsid w:val="00E37805"/>
    <w:rsid w:val="00E50BC8"/>
    <w:rsid w:val="00E826FD"/>
    <w:rsid w:val="00E90C71"/>
    <w:rsid w:val="00E919BC"/>
    <w:rsid w:val="00EA37AA"/>
    <w:rsid w:val="00EB417E"/>
    <w:rsid w:val="00EE4791"/>
    <w:rsid w:val="00F26DE8"/>
    <w:rsid w:val="00F347D9"/>
    <w:rsid w:val="00F35129"/>
    <w:rsid w:val="00F515A6"/>
    <w:rsid w:val="00F553B7"/>
    <w:rsid w:val="00FA7E95"/>
    <w:rsid w:val="00FC3668"/>
    <w:rsid w:val="00FC75B1"/>
    <w:rsid w:val="00FD5525"/>
    <w:rsid w:val="00FE49B7"/>
    <w:rsid w:val="00FE78C8"/>
    <w:rsid w:val="00FF56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DAEB659-8F0F-4FC6-B1BC-2E3C1E1FF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7359"/>
    <w:pPr>
      <w:spacing w:line="48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1170423">
      <w:bodyDiv w:val="1"/>
      <w:marLeft w:val="0"/>
      <w:marRight w:val="0"/>
      <w:marTop w:val="0"/>
      <w:marBottom w:val="0"/>
      <w:divBdr>
        <w:top w:val="none" w:sz="0" w:space="0" w:color="auto"/>
        <w:left w:val="none" w:sz="0" w:space="0" w:color="auto"/>
        <w:bottom w:val="none" w:sz="0" w:space="0" w:color="auto"/>
        <w:right w:val="none" w:sz="0" w:space="0" w:color="auto"/>
      </w:divBdr>
    </w:div>
    <w:div w:id="12305043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emf"/><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550</TotalTime>
  <Pages>10</Pages>
  <Words>1191</Words>
  <Characters>6789</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Ysselstein</dc:creator>
  <cp:keywords/>
  <dc:description/>
  <cp:lastModifiedBy>Rochet, Chris</cp:lastModifiedBy>
  <cp:revision>23</cp:revision>
  <dcterms:created xsi:type="dcterms:W3CDTF">2016-12-20T06:28:00Z</dcterms:created>
  <dcterms:modified xsi:type="dcterms:W3CDTF">2016-12-21T21:14:00Z</dcterms:modified>
</cp:coreProperties>
</file>