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BCD77" w14:textId="77777777" w:rsidR="00CA11A2" w:rsidRPr="00D37DD3" w:rsidRDefault="00CA11A2" w:rsidP="00CA11A2">
      <w:pPr>
        <w:spacing w:after="200" w:line="360" w:lineRule="auto"/>
        <w:ind w:firstLine="0"/>
        <w:rPr>
          <w:b/>
        </w:rPr>
      </w:pPr>
      <w:r w:rsidRPr="00D37DD3">
        <w:rPr>
          <w:b/>
        </w:rPr>
        <w:t xml:space="preserve">SUPPLEMENTARY </w:t>
      </w:r>
      <w:r>
        <w:rPr>
          <w:b/>
        </w:rPr>
        <w:t>INFORMATION</w:t>
      </w:r>
    </w:p>
    <w:p w14:paraId="0C95FE90" w14:textId="3BD2903E" w:rsidR="00CA11A2" w:rsidRDefault="00B14EEA" w:rsidP="00CA11A2">
      <w:pPr>
        <w:spacing w:line="276" w:lineRule="auto"/>
        <w:ind w:firstLine="0"/>
      </w:pPr>
      <w:r>
        <w:rPr>
          <w:noProof/>
        </w:rPr>
        <w:drawing>
          <wp:inline distT="0" distB="0" distL="0" distR="0" wp14:anchorId="1CF3A2EF" wp14:editId="7FFFE3F3">
            <wp:extent cx="4751891" cy="77114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55712" cy="7717641"/>
                    </a:xfrm>
                    <a:prstGeom prst="rect">
                      <a:avLst/>
                    </a:prstGeom>
                    <a:noFill/>
                    <a:ln>
                      <a:noFill/>
                    </a:ln>
                  </pic:spPr>
                </pic:pic>
              </a:graphicData>
            </a:graphic>
          </wp:inline>
        </w:drawing>
      </w:r>
      <w:r>
        <w:softHyphen/>
      </w:r>
      <w:r>
        <w:softHyphen/>
      </w:r>
    </w:p>
    <w:p w14:paraId="715393DB" w14:textId="77777777" w:rsidR="00CA11A2" w:rsidRDefault="00CA11A2" w:rsidP="00CA11A2">
      <w:pPr>
        <w:spacing w:line="276" w:lineRule="auto"/>
        <w:ind w:firstLine="0"/>
      </w:pPr>
    </w:p>
    <w:p w14:paraId="2E5C2595" w14:textId="0932E3BC" w:rsidR="00CA11A2" w:rsidRPr="00BD10EC" w:rsidRDefault="00CA11A2" w:rsidP="00CA11A2">
      <w:pPr>
        <w:spacing w:line="276" w:lineRule="auto"/>
        <w:ind w:firstLine="0"/>
        <w:rPr>
          <w:b/>
        </w:rPr>
      </w:pPr>
      <w:r w:rsidRPr="00BD10EC">
        <w:rPr>
          <w:b/>
        </w:rPr>
        <w:t xml:space="preserve">Figure </w:t>
      </w:r>
      <w:r w:rsidR="00742AF9">
        <w:rPr>
          <w:b/>
        </w:rPr>
        <w:t>S</w:t>
      </w:r>
      <w:r w:rsidRPr="00BD10EC">
        <w:rPr>
          <w:b/>
        </w:rPr>
        <w:t>1.</w:t>
      </w:r>
      <w:r>
        <w:rPr>
          <w:b/>
        </w:rPr>
        <w:t xml:space="preserve"> Human brain tissue analysis by SDS-PAGE.</w:t>
      </w:r>
    </w:p>
    <w:p w14:paraId="201A83B2" w14:textId="243A37C0" w:rsidR="00CA11A2" w:rsidRDefault="00CA11A2" w:rsidP="00CA11A2">
      <w:pPr>
        <w:spacing w:line="276" w:lineRule="auto"/>
        <w:ind w:firstLine="0"/>
      </w:pPr>
      <w:r w:rsidRPr="00BD10EC">
        <w:rPr>
          <w:b/>
        </w:rPr>
        <w:t>(A-</w:t>
      </w:r>
      <w:r w:rsidR="009107AB">
        <w:rPr>
          <w:b/>
        </w:rPr>
        <w:t>E</w:t>
      </w:r>
      <w:r w:rsidRPr="00BD10EC">
        <w:rPr>
          <w:b/>
        </w:rPr>
        <w:t>)</w:t>
      </w:r>
      <w:r w:rsidRPr="00BD10EC">
        <w:t xml:space="preserve"> Western blot analysis of human brain tissues showing abundance of SIRT6, TNF</w:t>
      </w:r>
      <w:r w:rsidRPr="00BD10EC">
        <w:rPr>
          <w:rFonts w:ascii="Symbol" w:hAnsi="Symbol"/>
        </w:rPr>
        <w:t></w:t>
      </w:r>
      <w:r w:rsidRPr="00BD10EC">
        <w:t xml:space="preserve">, and </w:t>
      </w:r>
      <w:r w:rsidRPr="00BD10EC">
        <w:rPr>
          <w:rFonts w:ascii="Symbol" w:hAnsi="Symbol"/>
        </w:rPr>
        <w:t></w:t>
      </w:r>
      <w:r w:rsidRPr="00BD10EC">
        <w:t xml:space="preserve">-actin. Each lane is an individual bio-specimen. Blots were used for quantifications showed in </w:t>
      </w:r>
      <w:r w:rsidRPr="00BD10EC">
        <w:lastRenderedPageBreak/>
        <w:t>Figure 1G and H.</w:t>
      </w:r>
      <w:r>
        <w:t xml:space="preserve"> RADC (</w:t>
      </w:r>
      <w:r w:rsidRPr="0026690F">
        <w:t>Rush Alzheimer’s Disease Center</w:t>
      </w:r>
      <w:r>
        <w:t>), VA (Veteran’s Affairs), See Methods for details of brain tissue analysis.</w:t>
      </w:r>
    </w:p>
    <w:p w14:paraId="6879848F" w14:textId="77777777" w:rsidR="00461DF6" w:rsidRDefault="00461DF6" w:rsidP="00CA11A2">
      <w:pPr>
        <w:spacing w:line="276" w:lineRule="auto"/>
        <w:ind w:firstLine="0"/>
      </w:pPr>
    </w:p>
    <w:p w14:paraId="5901E564" w14:textId="42A01A5D" w:rsidR="00CA11A2" w:rsidRDefault="006F4652" w:rsidP="00CA11A2">
      <w:pPr>
        <w:spacing w:line="276" w:lineRule="auto"/>
        <w:ind w:firstLine="0"/>
        <w:rPr>
          <w:b/>
        </w:rPr>
      </w:pPr>
      <w:r>
        <w:rPr>
          <w:noProof/>
        </w:rPr>
        <w:drawing>
          <wp:inline distT="0" distB="0" distL="0" distR="0" wp14:anchorId="2DF964E4" wp14:editId="3CA28A4A">
            <wp:extent cx="5492115" cy="66020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2115" cy="6602095"/>
                    </a:xfrm>
                    <a:prstGeom prst="rect">
                      <a:avLst/>
                    </a:prstGeom>
                    <a:noFill/>
                    <a:ln>
                      <a:noFill/>
                    </a:ln>
                  </pic:spPr>
                </pic:pic>
              </a:graphicData>
            </a:graphic>
          </wp:inline>
        </w:drawing>
      </w:r>
      <w:r w:rsidR="006A5256" w:rsidRPr="006A5256">
        <w:t xml:space="preserve"> </w:t>
      </w:r>
    </w:p>
    <w:p w14:paraId="38CA0CA3" w14:textId="77777777" w:rsidR="00CA11A2" w:rsidRDefault="00CA11A2" w:rsidP="00CA11A2">
      <w:pPr>
        <w:spacing w:line="276" w:lineRule="auto"/>
        <w:ind w:firstLine="0"/>
        <w:rPr>
          <w:b/>
        </w:rPr>
      </w:pPr>
    </w:p>
    <w:p w14:paraId="3A53A4DA" w14:textId="4765008D" w:rsidR="00CA11A2" w:rsidRDefault="00CA11A2" w:rsidP="00CA11A2">
      <w:pPr>
        <w:spacing w:line="276" w:lineRule="auto"/>
        <w:ind w:firstLine="0"/>
      </w:pPr>
      <w:r w:rsidRPr="00474EB1">
        <w:rPr>
          <w:b/>
        </w:rPr>
        <w:t xml:space="preserve">Figure </w:t>
      </w:r>
      <w:r w:rsidR="00B05797">
        <w:rPr>
          <w:b/>
        </w:rPr>
        <w:t>S</w:t>
      </w:r>
      <w:r>
        <w:rPr>
          <w:b/>
        </w:rPr>
        <w:t>2</w:t>
      </w:r>
      <w:r w:rsidRPr="00474EB1">
        <w:rPr>
          <w:b/>
        </w:rPr>
        <w:t>.</w:t>
      </w:r>
      <w:r>
        <w:rPr>
          <w:b/>
        </w:rPr>
        <w:t xml:space="preserve"> C</w:t>
      </w:r>
      <w:r w:rsidRPr="00B751E6">
        <w:rPr>
          <w:b/>
        </w:rPr>
        <w:t>igarette smoke extract apparatus</w:t>
      </w:r>
      <w:r w:rsidR="00973ECB">
        <w:rPr>
          <w:b/>
        </w:rPr>
        <w:t>, nicotine blots, and proteasome activity</w:t>
      </w:r>
      <w:r w:rsidR="001121FC">
        <w:rPr>
          <w:b/>
        </w:rPr>
        <w:t>.</w:t>
      </w:r>
    </w:p>
    <w:p w14:paraId="35E81EA8" w14:textId="009C71B0" w:rsidR="00CA11A2" w:rsidRDefault="006A5256" w:rsidP="00CA11A2">
      <w:pPr>
        <w:spacing w:line="276" w:lineRule="auto"/>
        <w:ind w:firstLine="0"/>
      </w:pPr>
      <w:r w:rsidRPr="00BD10EC">
        <w:rPr>
          <w:b/>
        </w:rPr>
        <w:t>(A)</w:t>
      </w:r>
      <w:r w:rsidRPr="00BD10EC">
        <w:t xml:space="preserve"> </w:t>
      </w:r>
      <w:r w:rsidR="00CA11A2">
        <w:t xml:space="preserve">Picture of cigarette smoke extract apparatus used in our studies and for data presented on Figure </w:t>
      </w:r>
      <w:r w:rsidR="00CA11A2" w:rsidRPr="00246CCF">
        <w:t>2A</w:t>
      </w:r>
      <w:r w:rsidR="00CA11A2">
        <w:t>.</w:t>
      </w:r>
    </w:p>
    <w:p w14:paraId="0CC20AD6" w14:textId="4796AA9D" w:rsidR="00536BDB" w:rsidRPr="00536BDB" w:rsidRDefault="00536BDB" w:rsidP="00CA11A2">
      <w:pPr>
        <w:spacing w:line="276" w:lineRule="auto"/>
        <w:ind w:firstLine="0"/>
      </w:pPr>
      <w:r w:rsidRPr="00536BDB">
        <w:rPr>
          <w:b/>
        </w:rPr>
        <w:t>(B)</w:t>
      </w:r>
      <w:r>
        <w:rPr>
          <w:b/>
        </w:rPr>
        <w:t xml:space="preserve"> </w:t>
      </w:r>
      <w:r>
        <w:t xml:space="preserve">SDS-PAGE analysis of samples </w:t>
      </w:r>
      <w:r w:rsidR="009F77CF">
        <w:t xml:space="preserve">as </w:t>
      </w:r>
      <w:r>
        <w:t xml:space="preserve">shown in Figure 2B blotted for ubiquitin. Note the increase in ubiquitinated proteins with the proteasome inhibitor MG132.  </w:t>
      </w:r>
    </w:p>
    <w:p w14:paraId="24ECD63E" w14:textId="353A0DFC" w:rsidR="00CA11A2" w:rsidRPr="006A5256" w:rsidRDefault="006A5256" w:rsidP="006A5256">
      <w:pPr>
        <w:tabs>
          <w:tab w:val="left" w:pos="1995"/>
        </w:tabs>
        <w:spacing w:line="276" w:lineRule="auto"/>
        <w:ind w:firstLine="0"/>
        <w:rPr>
          <w:sz w:val="20"/>
          <w:szCs w:val="20"/>
        </w:rPr>
      </w:pPr>
      <w:r w:rsidRPr="00BD10EC">
        <w:rPr>
          <w:b/>
        </w:rPr>
        <w:t>(</w:t>
      </w:r>
      <w:r w:rsidR="00331090">
        <w:rPr>
          <w:b/>
        </w:rPr>
        <w:t>C</w:t>
      </w:r>
      <w:r w:rsidRPr="00BD10EC">
        <w:rPr>
          <w:b/>
        </w:rPr>
        <w:t>)</w:t>
      </w:r>
      <w:r w:rsidRPr="006A5256">
        <w:rPr>
          <w:b/>
          <w:sz w:val="20"/>
          <w:szCs w:val="20"/>
        </w:rPr>
        <w:t xml:space="preserve"> </w:t>
      </w:r>
      <w:r w:rsidRPr="004C58F7">
        <w:rPr>
          <w:sz w:val="20"/>
          <w:szCs w:val="20"/>
        </w:rPr>
        <w:t xml:space="preserve">Representative SDS-PAGE analysis of primary neurons treated for 90 minutes with nicotine at a range of concentrations - (0.1, 1, 10, 100, and 1000 </w:t>
      </w:r>
      <w:r w:rsidRPr="004C58F7">
        <w:rPr>
          <w:rFonts w:ascii="Symbol" w:hAnsi="Symbol"/>
          <w:sz w:val="20"/>
          <w:szCs w:val="20"/>
        </w:rPr>
        <w:t></w:t>
      </w:r>
      <w:r w:rsidRPr="004C58F7">
        <w:rPr>
          <w:sz w:val="20"/>
          <w:szCs w:val="20"/>
        </w:rPr>
        <w:t xml:space="preserve">M); note the dose dependent decrease of SIRT6 abundance. </w:t>
      </w:r>
    </w:p>
    <w:p w14:paraId="1DA21D67" w14:textId="6DAFC493" w:rsidR="006A5256" w:rsidRDefault="006A5256" w:rsidP="006A5256">
      <w:pPr>
        <w:tabs>
          <w:tab w:val="left" w:pos="1995"/>
        </w:tabs>
        <w:spacing w:line="276" w:lineRule="auto"/>
        <w:ind w:firstLine="0"/>
        <w:rPr>
          <w:sz w:val="20"/>
          <w:szCs w:val="20"/>
        </w:rPr>
      </w:pPr>
      <w:r w:rsidRPr="00BD10EC">
        <w:rPr>
          <w:b/>
        </w:rPr>
        <w:lastRenderedPageBreak/>
        <w:t>(</w:t>
      </w:r>
      <w:r w:rsidR="00331090">
        <w:rPr>
          <w:b/>
        </w:rPr>
        <w:t>D</w:t>
      </w:r>
      <w:r w:rsidRPr="00BD10EC">
        <w:rPr>
          <w:b/>
        </w:rPr>
        <w:t>)</w:t>
      </w:r>
      <w:r>
        <w:rPr>
          <w:b/>
        </w:rPr>
        <w:t xml:space="preserve"> </w:t>
      </w:r>
      <w:r w:rsidRPr="004C58F7">
        <w:rPr>
          <w:sz w:val="20"/>
          <w:szCs w:val="20"/>
        </w:rPr>
        <w:t xml:space="preserve">Representative SDS-PAGE analysis of primary neurons treated for 90 minutes with nicotine at a range of concentrations - (0.1, 1, 10, 100, and 1000 </w:t>
      </w:r>
      <w:r w:rsidRPr="004C58F7">
        <w:rPr>
          <w:rFonts w:ascii="Symbol" w:hAnsi="Symbol"/>
          <w:sz w:val="20"/>
          <w:szCs w:val="20"/>
        </w:rPr>
        <w:t></w:t>
      </w:r>
      <w:r w:rsidRPr="004C58F7">
        <w:rPr>
          <w:sz w:val="20"/>
          <w:szCs w:val="20"/>
        </w:rPr>
        <w:t>M)</w:t>
      </w:r>
      <w:r>
        <w:rPr>
          <w:sz w:val="20"/>
          <w:szCs w:val="20"/>
        </w:rPr>
        <w:t>, and pretreated with MG132 for 2 hours.</w:t>
      </w:r>
    </w:p>
    <w:p w14:paraId="0B153F34" w14:textId="5E54B568" w:rsidR="0004501A" w:rsidRPr="004C58F7" w:rsidRDefault="0004501A" w:rsidP="006A5256">
      <w:pPr>
        <w:tabs>
          <w:tab w:val="left" w:pos="1995"/>
        </w:tabs>
        <w:spacing w:line="276" w:lineRule="auto"/>
        <w:ind w:firstLine="0"/>
        <w:rPr>
          <w:sz w:val="20"/>
          <w:szCs w:val="20"/>
        </w:rPr>
      </w:pPr>
      <w:r w:rsidRPr="00E139CD">
        <w:rPr>
          <w:b/>
          <w:sz w:val="20"/>
          <w:szCs w:val="20"/>
        </w:rPr>
        <w:t>(E)</w:t>
      </w:r>
      <w:r>
        <w:rPr>
          <w:sz w:val="20"/>
          <w:szCs w:val="20"/>
        </w:rPr>
        <w:t xml:space="preserve"> Overall proteasome activity of primary neuronal cultures treated with nicotine as in C.</w:t>
      </w:r>
    </w:p>
    <w:p w14:paraId="4ABA2604" w14:textId="11C3BFCF" w:rsidR="006A5256" w:rsidRDefault="006A5256" w:rsidP="00CA11A2">
      <w:pPr>
        <w:spacing w:line="276" w:lineRule="auto"/>
        <w:ind w:firstLine="0"/>
      </w:pPr>
    </w:p>
    <w:p w14:paraId="2CE3DFBE" w14:textId="77777777" w:rsidR="00CA11A2" w:rsidRDefault="00CA11A2" w:rsidP="00CA11A2">
      <w:pPr>
        <w:spacing w:line="276" w:lineRule="auto"/>
        <w:ind w:firstLine="0"/>
      </w:pPr>
      <w:r>
        <w:rPr>
          <w:noProof/>
        </w:rPr>
        <w:drawing>
          <wp:inline distT="0" distB="0" distL="0" distR="0" wp14:anchorId="30B2A575" wp14:editId="50824508">
            <wp:extent cx="5943600" cy="3408909"/>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408909"/>
                    </a:xfrm>
                    <a:prstGeom prst="rect">
                      <a:avLst/>
                    </a:prstGeom>
                    <a:noFill/>
                    <a:ln>
                      <a:noFill/>
                    </a:ln>
                  </pic:spPr>
                </pic:pic>
              </a:graphicData>
            </a:graphic>
          </wp:inline>
        </w:drawing>
      </w:r>
    </w:p>
    <w:p w14:paraId="3D0B3FFC" w14:textId="222718C7" w:rsidR="00CA11A2" w:rsidRPr="007A1D9A" w:rsidRDefault="00CA11A2" w:rsidP="00CA11A2">
      <w:pPr>
        <w:spacing w:line="276" w:lineRule="auto"/>
        <w:ind w:firstLine="0"/>
      </w:pPr>
      <w:r w:rsidRPr="00474EB1">
        <w:rPr>
          <w:b/>
        </w:rPr>
        <w:t xml:space="preserve">Figure </w:t>
      </w:r>
      <w:r w:rsidR="00B05797">
        <w:rPr>
          <w:b/>
        </w:rPr>
        <w:t>S</w:t>
      </w:r>
      <w:r>
        <w:rPr>
          <w:b/>
        </w:rPr>
        <w:t>3</w:t>
      </w:r>
      <w:r w:rsidRPr="00474EB1">
        <w:rPr>
          <w:b/>
        </w:rPr>
        <w:t>.</w:t>
      </w:r>
      <w:r>
        <w:rPr>
          <w:b/>
        </w:rPr>
        <w:t xml:space="preserve"> Transgenic mice</w:t>
      </w:r>
      <w:r w:rsidR="00DC56FE">
        <w:rPr>
          <w:b/>
        </w:rPr>
        <w:t xml:space="preserve"> and brain expression</w:t>
      </w:r>
      <w:r>
        <w:rPr>
          <w:b/>
        </w:rPr>
        <w:t>.</w:t>
      </w:r>
    </w:p>
    <w:p w14:paraId="73A276B8" w14:textId="77777777" w:rsidR="00CA11A2" w:rsidRDefault="00CA11A2" w:rsidP="00CA11A2">
      <w:pPr>
        <w:spacing w:line="276" w:lineRule="auto"/>
        <w:ind w:firstLine="0"/>
      </w:pPr>
      <w:r>
        <w:rPr>
          <w:b/>
        </w:rPr>
        <w:t>(A)</w:t>
      </w:r>
      <w:r w:rsidRPr="00246CCF">
        <w:t xml:space="preserve"> Typical </w:t>
      </w:r>
      <w:r>
        <w:t>western blot analysis of SIRT6 overexpressing</w:t>
      </w:r>
      <w:r w:rsidRPr="00246CCF">
        <w:t xml:space="preserve"> </w:t>
      </w:r>
      <w:r>
        <w:t xml:space="preserve">transgenic cassette, which was used in creation of BSOX mice. Note that cassette does not normally express SIRT6, however in presence of </w:t>
      </w:r>
      <w:r w:rsidRPr="00246CCF">
        <w:rPr>
          <w:i/>
        </w:rPr>
        <w:t>Cre</w:t>
      </w:r>
      <w:r>
        <w:t xml:space="preserve">-recpmbinase, when STOP-signal is excised, overexpression ensues. </w:t>
      </w:r>
    </w:p>
    <w:p w14:paraId="3AB15852" w14:textId="77777777" w:rsidR="00CA11A2" w:rsidRDefault="00CA11A2" w:rsidP="00CA11A2">
      <w:pPr>
        <w:spacing w:line="276" w:lineRule="auto"/>
        <w:ind w:firstLine="0"/>
      </w:pPr>
      <w:r w:rsidRPr="007A1D9A">
        <w:rPr>
          <w:b/>
        </w:rPr>
        <w:t>(B)</w:t>
      </w:r>
      <w:r>
        <w:t xml:space="preserve"> Bar graph of quantification of SIRT6 protein from brain lysates of the transgenic mice (WT, BSKO, and BSOX) (mean±SEM, N=4, *p&lt;0.05 by two-tailed t-test).</w:t>
      </w:r>
    </w:p>
    <w:p w14:paraId="409615C9" w14:textId="77777777" w:rsidR="00CA11A2" w:rsidRPr="00C24A5D" w:rsidRDefault="00CA11A2" w:rsidP="00CA11A2">
      <w:pPr>
        <w:spacing w:line="276" w:lineRule="auto"/>
        <w:ind w:firstLine="0"/>
      </w:pPr>
      <w:r w:rsidRPr="00C24A5D">
        <w:rPr>
          <w:b/>
        </w:rPr>
        <w:t>(C, D, E)</w:t>
      </w:r>
      <w:r>
        <w:rPr>
          <w:b/>
        </w:rPr>
        <w:t xml:space="preserve"> </w:t>
      </w:r>
      <w:r w:rsidRPr="00C24A5D">
        <w:t xml:space="preserve">Expression of MAOB, DAT1, and VMAT2 from the brains of WT, BSKO, and BSOX mice quantified by qRT-PCR. </w:t>
      </w:r>
      <w:r>
        <w:t>P value of one-way ANOVA shown (n = 8), note no significant effect from genotype.</w:t>
      </w:r>
    </w:p>
    <w:p w14:paraId="58CE8B3F" w14:textId="77777777" w:rsidR="00CA11A2" w:rsidRDefault="00CA11A2" w:rsidP="00CA11A2">
      <w:pPr>
        <w:spacing w:line="276" w:lineRule="auto"/>
        <w:ind w:firstLine="0"/>
      </w:pPr>
    </w:p>
    <w:p w14:paraId="06C0D7D1" w14:textId="77777777" w:rsidR="00CA11A2" w:rsidRDefault="00CA11A2" w:rsidP="00CA11A2">
      <w:pPr>
        <w:spacing w:line="276" w:lineRule="auto"/>
        <w:ind w:firstLine="0"/>
        <w:rPr>
          <w:b/>
        </w:rPr>
      </w:pPr>
      <w:r>
        <w:rPr>
          <w:b/>
          <w:noProof/>
        </w:rPr>
        <w:drawing>
          <wp:inline distT="0" distB="0" distL="0" distR="0" wp14:anchorId="309F2158" wp14:editId="63CEF3D9">
            <wp:extent cx="5943600" cy="2673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Fig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673350"/>
                    </a:xfrm>
                    <a:prstGeom prst="rect">
                      <a:avLst/>
                    </a:prstGeom>
                  </pic:spPr>
                </pic:pic>
              </a:graphicData>
            </a:graphic>
          </wp:inline>
        </w:drawing>
      </w:r>
    </w:p>
    <w:p w14:paraId="2F241DEE" w14:textId="53AC83BE" w:rsidR="00CA11A2" w:rsidRDefault="00CA11A2" w:rsidP="00CA11A2">
      <w:pPr>
        <w:spacing w:line="276" w:lineRule="auto"/>
        <w:ind w:firstLine="0"/>
      </w:pPr>
      <w:r w:rsidRPr="00474EB1">
        <w:rPr>
          <w:b/>
        </w:rPr>
        <w:lastRenderedPageBreak/>
        <w:t xml:space="preserve">Figure </w:t>
      </w:r>
      <w:r w:rsidR="00FE0FCF">
        <w:rPr>
          <w:b/>
        </w:rPr>
        <w:t>S</w:t>
      </w:r>
      <w:r>
        <w:rPr>
          <w:b/>
        </w:rPr>
        <w:t>4</w:t>
      </w:r>
      <w:r w:rsidRPr="00474EB1">
        <w:rPr>
          <w:b/>
        </w:rPr>
        <w:t>.</w:t>
      </w:r>
      <w:r>
        <w:rPr>
          <w:b/>
        </w:rPr>
        <w:t xml:space="preserve"> SIRT6 OX neurons secrete more TNF</w:t>
      </w:r>
      <w:r>
        <w:rPr>
          <w:rFonts w:ascii="Symbol" w:hAnsi="Symbol"/>
        </w:rPr>
        <w:t></w:t>
      </w:r>
      <w:r>
        <w:rPr>
          <w:b/>
        </w:rPr>
        <w:t xml:space="preserve"> than WT.</w:t>
      </w:r>
      <w:r>
        <w:rPr>
          <w:b/>
        </w:rPr>
        <w:br/>
        <w:t xml:space="preserve">(A) </w:t>
      </w:r>
      <w:r w:rsidRPr="00246CCF">
        <w:t>B</w:t>
      </w:r>
      <w:r>
        <w:t>ar graph showing secretion of TNF</w:t>
      </w:r>
      <w:r>
        <w:rPr>
          <w:rFonts w:ascii="Symbol" w:hAnsi="Symbol"/>
        </w:rPr>
        <w:t></w:t>
      </w:r>
      <w:r>
        <w:t xml:space="preserve"> </w:t>
      </w:r>
      <w:r w:rsidRPr="001A06D4">
        <w:t xml:space="preserve">by primary </w:t>
      </w:r>
      <w:r>
        <w:t xml:space="preserve">SIRT6 overexpressing </w:t>
      </w:r>
      <w:r w:rsidRPr="001A06D4">
        <w:t>neurons</w:t>
      </w:r>
      <w:r>
        <w:t>,</w:t>
      </w:r>
      <w:r w:rsidRPr="001A06D4">
        <w:t xml:space="preserve"> </w:t>
      </w:r>
      <w:r>
        <w:t>measured by ELISA.</w:t>
      </w:r>
      <w:r>
        <w:rPr>
          <w:b/>
        </w:rPr>
        <w:t xml:space="preserve"> </w:t>
      </w:r>
      <w:r>
        <w:t>At baseline, SIRT6 OX neurons secrete more TNF</w:t>
      </w:r>
      <w:r>
        <w:rPr>
          <w:rFonts w:ascii="Symbol" w:hAnsi="Symbol"/>
        </w:rPr>
        <w:t></w:t>
      </w:r>
      <w:r>
        <w:rPr>
          <w:rFonts w:ascii="Symbol" w:hAnsi="Symbol"/>
        </w:rPr>
        <w:t></w:t>
      </w:r>
      <w:r w:rsidRPr="00861C78">
        <w:t>than</w:t>
      </w:r>
      <w:r>
        <w:t xml:space="preserve"> their WT counterparts (mean±SEM, n=3 independent experiments, two-tailed t-test analysis shown, one-way ANOVA: p</w:t>
      </w:r>
      <w:r w:rsidRPr="00560DF9">
        <w:rPr>
          <w:vertAlign w:val="superscript"/>
        </w:rPr>
        <w:t>genotype</w:t>
      </w:r>
      <w:r>
        <w:t xml:space="preserve">=0.003). </w:t>
      </w:r>
    </w:p>
    <w:p w14:paraId="179D055C" w14:textId="77777777" w:rsidR="00CA11A2" w:rsidRDefault="00CA11A2" w:rsidP="00CA11A2">
      <w:pPr>
        <w:spacing w:line="276" w:lineRule="auto"/>
        <w:ind w:firstLine="0"/>
      </w:pPr>
      <w:r>
        <w:rPr>
          <w:b/>
        </w:rPr>
        <w:t>(B)</w:t>
      </w:r>
      <w:r w:rsidRPr="00246CCF">
        <w:t xml:space="preserve"> Representative </w:t>
      </w:r>
      <w:r>
        <w:t>western blot analysis of SIRT6 OX neurons stressed with MPP</w:t>
      </w:r>
      <w:r w:rsidRPr="001908EF">
        <w:rPr>
          <w:vertAlign w:val="superscript"/>
        </w:rPr>
        <w:t>+</w:t>
      </w:r>
      <w:r>
        <w:t xml:space="preserve"> (500 </w:t>
      </w:r>
      <w:r w:rsidRPr="00AF65A3">
        <w:rPr>
          <w:rFonts w:ascii="Symbol" w:hAnsi="Symbol"/>
        </w:rPr>
        <w:t></w:t>
      </w:r>
      <w:r>
        <w:t xml:space="preserve">M) for 24 hours with and without nicotine (1 </w:t>
      </w:r>
      <w:r w:rsidRPr="00AF65A3">
        <w:rPr>
          <w:rFonts w:ascii="Symbol" w:hAnsi="Symbol"/>
        </w:rPr>
        <w:t></w:t>
      </w:r>
      <w:r>
        <w:t xml:space="preserve">M) pre-treatment, as depicted in </w:t>
      </w:r>
      <w:r w:rsidRPr="00590D72">
        <w:rPr>
          <w:b/>
        </w:rPr>
        <w:t>Fig. 3</w:t>
      </w:r>
      <w:r>
        <w:rPr>
          <w:b/>
        </w:rPr>
        <w:t>E</w:t>
      </w:r>
      <w:r>
        <w:t>. SIRT6 increases upon MPP</w:t>
      </w:r>
      <w:r w:rsidRPr="001908EF">
        <w:rPr>
          <w:vertAlign w:val="superscript"/>
        </w:rPr>
        <w:t>+</w:t>
      </w:r>
      <w:r>
        <w:t xml:space="preserve"> stress and remains elevated when nicotine is present. </w:t>
      </w:r>
    </w:p>
    <w:p w14:paraId="7DE36259" w14:textId="77777777" w:rsidR="00CA11A2" w:rsidRDefault="00CA11A2" w:rsidP="00CA11A2">
      <w:pPr>
        <w:spacing w:line="276" w:lineRule="auto"/>
        <w:ind w:firstLine="0"/>
      </w:pPr>
    </w:p>
    <w:p w14:paraId="1740FEEC" w14:textId="77777777" w:rsidR="00CA11A2" w:rsidRDefault="00CA11A2" w:rsidP="00CA11A2">
      <w:pPr>
        <w:spacing w:line="276" w:lineRule="auto"/>
        <w:ind w:firstLine="0"/>
        <w:rPr>
          <w:b/>
        </w:rPr>
      </w:pPr>
    </w:p>
    <w:p w14:paraId="338070B0" w14:textId="77777777" w:rsidR="00CA11A2" w:rsidRDefault="00CA11A2" w:rsidP="00CA11A2">
      <w:pPr>
        <w:spacing w:line="276" w:lineRule="auto"/>
        <w:ind w:firstLine="0"/>
        <w:rPr>
          <w:b/>
        </w:rPr>
      </w:pPr>
    </w:p>
    <w:p w14:paraId="616FD851" w14:textId="77777777" w:rsidR="00CA11A2" w:rsidRDefault="00CA11A2" w:rsidP="00CA11A2">
      <w:pPr>
        <w:spacing w:line="276" w:lineRule="auto"/>
        <w:ind w:firstLine="0"/>
        <w:rPr>
          <w:b/>
        </w:rPr>
      </w:pPr>
    </w:p>
    <w:p w14:paraId="1ACA871A" w14:textId="77777777" w:rsidR="00CA11A2" w:rsidRDefault="00CA11A2" w:rsidP="00CA11A2">
      <w:pPr>
        <w:spacing w:line="276" w:lineRule="auto"/>
        <w:ind w:firstLine="0"/>
        <w:rPr>
          <w:b/>
        </w:rPr>
      </w:pPr>
    </w:p>
    <w:p w14:paraId="66ADA498" w14:textId="77777777" w:rsidR="00CA11A2" w:rsidRDefault="00CA11A2" w:rsidP="00CA11A2">
      <w:pPr>
        <w:spacing w:line="276" w:lineRule="auto"/>
        <w:ind w:firstLine="0"/>
        <w:rPr>
          <w:b/>
        </w:rPr>
      </w:pPr>
    </w:p>
    <w:p w14:paraId="2E90453E" w14:textId="77777777" w:rsidR="00CA11A2" w:rsidRDefault="00CA11A2" w:rsidP="00CA11A2">
      <w:pPr>
        <w:spacing w:line="276" w:lineRule="auto"/>
        <w:ind w:firstLine="0"/>
        <w:rPr>
          <w:b/>
        </w:rPr>
      </w:pPr>
    </w:p>
    <w:p w14:paraId="6FBD362F" w14:textId="6FD52BCE" w:rsidR="00CA11A2" w:rsidRDefault="00CA11A2" w:rsidP="00CA11A2">
      <w:pPr>
        <w:spacing w:line="276" w:lineRule="auto"/>
        <w:ind w:firstLine="0"/>
        <w:rPr>
          <w:b/>
        </w:rPr>
      </w:pPr>
      <w:r>
        <w:rPr>
          <w:noProof/>
        </w:rPr>
        <w:lastRenderedPageBreak/>
        <w:drawing>
          <wp:inline distT="0" distB="0" distL="0" distR="0" wp14:anchorId="156DC598" wp14:editId="2F421211">
            <wp:extent cx="5943600" cy="5905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5905500"/>
                    </a:xfrm>
                    <a:prstGeom prst="rect">
                      <a:avLst/>
                    </a:prstGeom>
                  </pic:spPr>
                </pic:pic>
              </a:graphicData>
            </a:graphic>
          </wp:inline>
        </w:drawing>
      </w:r>
      <w:r>
        <w:rPr>
          <w:b/>
        </w:rPr>
        <w:br/>
      </w:r>
      <w:r w:rsidRPr="00474EB1">
        <w:rPr>
          <w:b/>
        </w:rPr>
        <w:t xml:space="preserve">Figure </w:t>
      </w:r>
      <w:r w:rsidR="00425D14">
        <w:rPr>
          <w:b/>
        </w:rPr>
        <w:t>S</w:t>
      </w:r>
      <w:r>
        <w:rPr>
          <w:b/>
        </w:rPr>
        <w:t>5</w:t>
      </w:r>
      <w:r w:rsidRPr="00474EB1">
        <w:rPr>
          <w:b/>
        </w:rPr>
        <w:t>.</w:t>
      </w:r>
      <w:r>
        <w:rPr>
          <w:b/>
        </w:rPr>
        <w:t xml:space="preserve"> Primary neuronal culture composition. </w:t>
      </w:r>
    </w:p>
    <w:p w14:paraId="48D4A109" w14:textId="77777777" w:rsidR="00CA11A2" w:rsidRDefault="00CA11A2" w:rsidP="00CA11A2">
      <w:pPr>
        <w:spacing w:line="276" w:lineRule="auto"/>
        <w:ind w:firstLine="0"/>
      </w:pPr>
      <w:r w:rsidRPr="00FE2C93">
        <w:rPr>
          <w:b/>
        </w:rPr>
        <w:t xml:space="preserve">(A) </w:t>
      </w:r>
      <w:r>
        <w:t>Representative flow cytometry plots of WT, SIRT6 KO, and OX neuronal cultures stained with NeuN (neurons), GFAP (astrocytes), or unstained. Note that all cultures proportions of neurons and astrocytes are equivalent and that cells stained with NeuN constitute the majority.</w:t>
      </w:r>
    </w:p>
    <w:p w14:paraId="2032A8C5" w14:textId="77777777" w:rsidR="00CA11A2" w:rsidRPr="00483B0E" w:rsidRDefault="00CA11A2" w:rsidP="00CA11A2">
      <w:pPr>
        <w:spacing w:line="276" w:lineRule="auto"/>
        <w:ind w:firstLine="0"/>
      </w:pPr>
      <w:r w:rsidRPr="00FE2C93">
        <w:rPr>
          <w:b/>
        </w:rPr>
        <w:t>(B)</w:t>
      </w:r>
      <w:r>
        <w:rPr>
          <w:b/>
        </w:rPr>
        <w:t xml:space="preserve"> </w:t>
      </w:r>
      <w:r w:rsidRPr="00483B0E">
        <w:t xml:space="preserve">Western blot analysis of WT and KO primary neuronal cultures. Note the complete absence of SIRT6 in KO lanes, even when overloaded for total protein compared to WT. </w:t>
      </w:r>
      <w:r>
        <w:t xml:space="preserve">This indicates the absence of microglia in these cultures since few if any neonatal microglia express nestin, which is the driver of CRE in our transgenic model. </w:t>
      </w:r>
    </w:p>
    <w:p w14:paraId="52814084" w14:textId="77777777" w:rsidR="00CA11A2" w:rsidRDefault="00CA11A2" w:rsidP="00CA11A2">
      <w:pPr>
        <w:pStyle w:val="refs"/>
        <w:spacing w:line="276" w:lineRule="auto"/>
      </w:pPr>
    </w:p>
    <w:p w14:paraId="4394F593" w14:textId="3C2AF07F" w:rsidR="00CA11A2" w:rsidRDefault="001E6C8C" w:rsidP="00CA11A2">
      <w:pPr>
        <w:pStyle w:val="refs"/>
        <w:spacing w:line="276" w:lineRule="auto"/>
      </w:pPr>
      <w:r>
        <w:rPr>
          <w:noProof/>
        </w:rPr>
        <w:lastRenderedPageBreak/>
        <w:drawing>
          <wp:inline distT="0" distB="0" distL="0" distR="0" wp14:anchorId="554C4D17" wp14:editId="19F9A7A7">
            <wp:extent cx="3281363" cy="2921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3812" cy="2923996"/>
                    </a:xfrm>
                    <a:prstGeom prst="rect">
                      <a:avLst/>
                    </a:prstGeom>
                    <a:noFill/>
                    <a:ln>
                      <a:noFill/>
                    </a:ln>
                  </pic:spPr>
                </pic:pic>
              </a:graphicData>
            </a:graphic>
          </wp:inline>
        </w:drawing>
      </w:r>
    </w:p>
    <w:p w14:paraId="2388D2DB" w14:textId="534EE0E3" w:rsidR="00114E58" w:rsidRDefault="00C418FE" w:rsidP="00CA11A2">
      <w:pPr>
        <w:pStyle w:val="refs"/>
        <w:spacing w:line="276" w:lineRule="auto"/>
        <w:rPr>
          <w:b/>
        </w:rPr>
      </w:pPr>
      <w:r w:rsidRPr="00474EB1">
        <w:rPr>
          <w:b/>
        </w:rPr>
        <w:t xml:space="preserve">Figure </w:t>
      </w:r>
      <w:r w:rsidR="00AF17BC">
        <w:rPr>
          <w:b/>
        </w:rPr>
        <w:t>S</w:t>
      </w:r>
      <w:bookmarkStart w:id="0" w:name="_GoBack"/>
      <w:bookmarkEnd w:id="0"/>
      <w:r>
        <w:rPr>
          <w:b/>
        </w:rPr>
        <w:t>6</w:t>
      </w:r>
      <w:r w:rsidRPr="00474EB1">
        <w:rPr>
          <w:b/>
        </w:rPr>
        <w:t>.</w:t>
      </w:r>
      <w:r>
        <w:rPr>
          <w:b/>
        </w:rPr>
        <w:t xml:space="preserve"> </w:t>
      </w:r>
      <w:r w:rsidR="00114E58" w:rsidRPr="00C418FE">
        <w:rPr>
          <w:b/>
        </w:rPr>
        <w:t xml:space="preserve">Nicotine does not rescue MPTP-induced </w:t>
      </w:r>
      <w:r w:rsidR="009A3C5A">
        <w:rPr>
          <w:b/>
        </w:rPr>
        <w:t xml:space="preserve">rotarod motor performance in </w:t>
      </w:r>
      <w:r w:rsidR="009A3C5A" w:rsidRPr="009A3C5A">
        <w:rPr>
          <w:b/>
        </w:rPr>
        <w:t>SIRT6 brain-specific knockout mice.</w:t>
      </w:r>
    </w:p>
    <w:p w14:paraId="3190D556" w14:textId="1211A2FC" w:rsidR="00C418FE" w:rsidRPr="00840427" w:rsidRDefault="00C418FE" w:rsidP="00C418FE">
      <w:pPr>
        <w:spacing w:line="276" w:lineRule="auto"/>
        <w:ind w:firstLine="0"/>
        <w:rPr>
          <w:sz w:val="20"/>
          <w:szCs w:val="20"/>
        </w:rPr>
      </w:pPr>
      <w:r w:rsidRPr="00840427">
        <w:rPr>
          <w:sz w:val="20"/>
          <w:szCs w:val="20"/>
        </w:rPr>
        <w:t xml:space="preserve">Boxplots display </w:t>
      </w:r>
      <w:r>
        <w:rPr>
          <w:sz w:val="20"/>
          <w:szCs w:val="20"/>
        </w:rPr>
        <w:t xml:space="preserve">the latency until fall (in seconds) from the </w:t>
      </w:r>
      <w:r w:rsidR="00124E1A" w:rsidRPr="00124E1A">
        <w:rPr>
          <w:sz w:val="20"/>
          <w:szCs w:val="20"/>
        </w:rPr>
        <w:t xml:space="preserve">rotarod performance test with forced motor activity </w:t>
      </w:r>
      <w:r w:rsidR="009A3C5A">
        <w:rPr>
          <w:sz w:val="20"/>
          <w:szCs w:val="20"/>
        </w:rPr>
        <w:t>(see methods for details)</w:t>
      </w:r>
      <w:r>
        <w:rPr>
          <w:sz w:val="20"/>
          <w:szCs w:val="20"/>
        </w:rPr>
        <w:t>.</w:t>
      </w:r>
      <w:r w:rsidRPr="00840427">
        <w:rPr>
          <w:sz w:val="20"/>
          <w:szCs w:val="20"/>
        </w:rPr>
        <w:t xml:space="preserve"> Three-way ANOVA analysis: p</w:t>
      </w:r>
      <w:r w:rsidRPr="00840427">
        <w:rPr>
          <w:sz w:val="20"/>
          <w:szCs w:val="20"/>
          <w:vertAlign w:val="superscript"/>
        </w:rPr>
        <w:t>genotype</w:t>
      </w:r>
      <w:r w:rsidRPr="00840427">
        <w:rPr>
          <w:sz w:val="20"/>
          <w:szCs w:val="20"/>
        </w:rPr>
        <w:t>=</w:t>
      </w:r>
      <w:r w:rsidRPr="00116262">
        <w:rPr>
          <w:sz w:val="20"/>
          <w:szCs w:val="20"/>
        </w:rPr>
        <w:t>0.</w:t>
      </w:r>
      <w:r w:rsidR="00116262" w:rsidRPr="00116262">
        <w:rPr>
          <w:sz w:val="20"/>
          <w:szCs w:val="20"/>
        </w:rPr>
        <w:t>33</w:t>
      </w:r>
      <w:r w:rsidRPr="00116262">
        <w:rPr>
          <w:sz w:val="20"/>
          <w:szCs w:val="20"/>
        </w:rPr>
        <w:t>, p</w:t>
      </w:r>
      <w:r w:rsidRPr="00116262">
        <w:rPr>
          <w:sz w:val="20"/>
          <w:szCs w:val="20"/>
          <w:vertAlign w:val="superscript"/>
        </w:rPr>
        <w:t>MPTP</w:t>
      </w:r>
      <w:r w:rsidR="00E52171">
        <w:rPr>
          <w:sz w:val="20"/>
          <w:szCs w:val="20"/>
        </w:rPr>
        <w:t>=</w:t>
      </w:r>
      <w:r w:rsidRPr="00116262">
        <w:rPr>
          <w:sz w:val="20"/>
          <w:szCs w:val="20"/>
        </w:rPr>
        <w:t>0.</w:t>
      </w:r>
      <w:r w:rsidR="00116262" w:rsidRPr="00116262">
        <w:rPr>
          <w:sz w:val="20"/>
          <w:szCs w:val="20"/>
        </w:rPr>
        <w:t>02,</w:t>
      </w:r>
      <w:r w:rsidRPr="00116262">
        <w:rPr>
          <w:sz w:val="20"/>
          <w:szCs w:val="20"/>
        </w:rPr>
        <w:t xml:space="preserve"> p</w:t>
      </w:r>
      <w:r w:rsidRPr="00116262">
        <w:rPr>
          <w:sz w:val="20"/>
          <w:szCs w:val="20"/>
          <w:vertAlign w:val="superscript"/>
        </w:rPr>
        <w:t>nicotine</w:t>
      </w:r>
      <w:r w:rsidRPr="00116262">
        <w:rPr>
          <w:sz w:val="20"/>
          <w:szCs w:val="20"/>
        </w:rPr>
        <w:t>=</w:t>
      </w:r>
      <w:r w:rsidR="00116262" w:rsidRPr="00116262">
        <w:rPr>
          <w:sz w:val="20"/>
          <w:szCs w:val="20"/>
        </w:rPr>
        <w:t>0.17</w:t>
      </w:r>
    </w:p>
    <w:p w14:paraId="14238422" w14:textId="77777777" w:rsidR="00C418FE" w:rsidRDefault="00C418FE" w:rsidP="00CA11A2">
      <w:pPr>
        <w:pStyle w:val="refs"/>
        <w:spacing w:line="276" w:lineRule="auto"/>
      </w:pPr>
    </w:p>
    <w:p w14:paraId="59108149" w14:textId="693CBEA9" w:rsidR="00114E58" w:rsidRDefault="00114E58" w:rsidP="00CA11A2">
      <w:pPr>
        <w:pStyle w:val="refs"/>
        <w:spacing w:line="276" w:lineRule="auto"/>
      </w:pPr>
    </w:p>
    <w:p w14:paraId="30776BD8" w14:textId="635B7339" w:rsidR="00CA11A2" w:rsidRDefault="00CA11A2" w:rsidP="00CA11A2">
      <w:pPr>
        <w:spacing w:after="200" w:line="276" w:lineRule="auto"/>
        <w:ind w:firstLine="0"/>
      </w:pPr>
    </w:p>
    <w:sectPr w:rsidR="00CA11A2" w:rsidSect="00E713CD">
      <w:footerReference w:type="default" r:id="rId13"/>
      <w:pgSz w:w="12240" w:h="15840"/>
      <w:pgMar w:top="864" w:right="1440" w:bottom="864" w:left="1440" w:header="0" w:footer="4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D3151" w14:textId="77777777" w:rsidR="00347518" w:rsidRDefault="00347518">
      <w:r>
        <w:separator/>
      </w:r>
    </w:p>
  </w:endnote>
  <w:endnote w:type="continuationSeparator" w:id="0">
    <w:p w14:paraId="62E50D3D" w14:textId="77777777" w:rsidR="00347518" w:rsidRDefault="0034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532689"/>
      <w:docPartObj>
        <w:docPartGallery w:val="Page Numbers (Bottom of Page)"/>
        <w:docPartUnique/>
      </w:docPartObj>
    </w:sdtPr>
    <w:sdtEndPr/>
    <w:sdtContent>
      <w:p w14:paraId="14BBD259" w14:textId="77777777" w:rsidR="00F64EEE" w:rsidRDefault="00322386">
        <w:pPr>
          <w:pStyle w:val="Footer"/>
          <w:jc w:val="center"/>
        </w:pPr>
        <w:r>
          <w:t>[</w:t>
        </w:r>
        <w:r>
          <w:fldChar w:fldCharType="begin"/>
        </w:r>
        <w:r>
          <w:instrText xml:space="preserve"> PAGE   \* MERGEFORMAT </w:instrText>
        </w:r>
        <w:r>
          <w:fldChar w:fldCharType="separate"/>
        </w:r>
        <w:r w:rsidR="00AF17BC">
          <w:rPr>
            <w:noProof/>
          </w:rPr>
          <w:t>6</w:t>
        </w:r>
        <w:r>
          <w:rPr>
            <w:noProof/>
          </w:rPr>
          <w:fldChar w:fldCharType="end"/>
        </w:r>
        <w:r>
          <w:t>]</w:t>
        </w:r>
      </w:p>
    </w:sdtContent>
  </w:sdt>
  <w:p w14:paraId="04814E58" w14:textId="77777777" w:rsidR="00F64EEE" w:rsidRDefault="00347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F04F7" w14:textId="77777777" w:rsidR="00347518" w:rsidRDefault="00347518">
      <w:r>
        <w:separator/>
      </w:r>
    </w:p>
  </w:footnote>
  <w:footnote w:type="continuationSeparator" w:id="0">
    <w:p w14:paraId="506BEE0D" w14:textId="77777777" w:rsidR="00347518" w:rsidRDefault="003475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444"/>
  </w:docVars>
  <w:rsids>
    <w:rsidRoot w:val="00CA11A2"/>
    <w:rsid w:val="0004501A"/>
    <w:rsid w:val="00053122"/>
    <w:rsid w:val="00091099"/>
    <w:rsid w:val="00097E2D"/>
    <w:rsid w:val="000C3837"/>
    <w:rsid w:val="001121FC"/>
    <w:rsid w:val="00114E58"/>
    <w:rsid w:val="00116262"/>
    <w:rsid w:val="00124E1A"/>
    <w:rsid w:val="001426F7"/>
    <w:rsid w:val="001852EF"/>
    <w:rsid w:val="001A572E"/>
    <w:rsid w:val="001E6C8C"/>
    <w:rsid w:val="00216929"/>
    <w:rsid w:val="0027144A"/>
    <w:rsid w:val="002A6123"/>
    <w:rsid w:val="002B5F98"/>
    <w:rsid w:val="002D6055"/>
    <w:rsid w:val="00322386"/>
    <w:rsid w:val="00331090"/>
    <w:rsid w:val="00347518"/>
    <w:rsid w:val="003A3FA8"/>
    <w:rsid w:val="00425D14"/>
    <w:rsid w:val="00461DF6"/>
    <w:rsid w:val="004B496F"/>
    <w:rsid w:val="00504B66"/>
    <w:rsid w:val="00536BDB"/>
    <w:rsid w:val="00567FBE"/>
    <w:rsid w:val="005E232E"/>
    <w:rsid w:val="0062160D"/>
    <w:rsid w:val="006A5256"/>
    <w:rsid w:val="006F4652"/>
    <w:rsid w:val="00742AF9"/>
    <w:rsid w:val="007849D8"/>
    <w:rsid w:val="007C3DEA"/>
    <w:rsid w:val="00883A4B"/>
    <w:rsid w:val="009107AB"/>
    <w:rsid w:val="00924D63"/>
    <w:rsid w:val="00973ECB"/>
    <w:rsid w:val="009A31E8"/>
    <w:rsid w:val="009A3C5A"/>
    <w:rsid w:val="009F77CF"/>
    <w:rsid w:val="00A777EB"/>
    <w:rsid w:val="00AD03AF"/>
    <w:rsid w:val="00AD6FA2"/>
    <w:rsid w:val="00AF17BC"/>
    <w:rsid w:val="00B05797"/>
    <w:rsid w:val="00B14EEA"/>
    <w:rsid w:val="00C1557B"/>
    <w:rsid w:val="00C418FE"/>
    <w:rsid w:val="00CA11A2"/>
    <w:rsid w:val="00D81B1A"/>
    <w:rsid w:val="00D93752"/>
    <w:rsid w:val="00DC56FE"/>
    <w:rsid w:val="00E139CD"/>
    <w:rsid w:val="00E23BB3"/>
    <w:rsid w:val="00E52171"/>
    <w:rsid w:val="00E62488"/>
    <w:rsid w:val="00F651EF"/>
    <w:rsid w:val="00FE0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1A2"/>
    <w:pPr>
      <w:spacing w:after="0" w:line="240" w:lineRule="auto"/>
      <w:ind w:firstLine="36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11A2"/>
    <w:pPr>
      <w:tabs>
        <w:tab w:val="center" w:pos="4680"/>
        <w:tab w:val="right" w:pos="9360"/>
      </w:tabs>
    </w:pPr>
  </w:style>
  <w:style w:type="character" w:customStyle="1" w:styleId="FooterChar">
    <w:name w:val="Footer Char"/>
    <w:basedOn w:val="DefaultParagraphFont"/>
    <w:link w:val="Footer"/>
    <w:uiPriority w:val="99"/>
    <w:rsid w:val="00CA11A2"/>
    <w:rPr>
      <w:rFonts w:ascii="Arial" w:hAnsi="Arial" w:cs="Arial"/>
    </w:rPr>
  </w:style>
  <w:style w:type="paragraph" w:customStyle="1" w:styleId="refs">
    <w:name w:val="refs"/>
    <w:basedOn w:val="Normal"/>
    <w:link w:val="refsChar"/>
    <w:qFormat/>
    <w:rsid w:val="00CA11A2"/>
    <w:pPr>
      <w:ind w:left="360" w:hanging="360"/>
    </w:pPr>
  </w:style>
  <w:style w:type="character" w:customStyle="1" w:styleId="refsChar">
    <w:name w:val="refs Char"/>
    <w:basedOn w:val="DefaultParagraphFont"/>
    <w:link w:val="refs"/>
    <w:rsid w:val="00CA11A2"/>
    <w:rPr>
      <w:rFonts w:ascii="Arial" w:hAnsi="Arial" w:cs="Arial"/>
    </w:rPr>
  </w:style>
  <w:style w:type="paragraph" w:styleId="ListParagraph">
    <w:name w:val="List Paragraph"/>
    <w:basedOn w:val="Normal"/>
    <w:uiPriority w:val="34"/>
    <w:qFormat/>
    <w:rsid w:val="00536BDB"/>
    <w:pPr>
      <w:ind w:left="720"/>
      <w:contextualSpacing/>
    </w:pPr>
  </w:style>
  <w:style w:type="paragraph" w:styleId="BalloonText">
    <w:name w:val="Balloon Text"/>
    <w:basedOn w:val="Normal"/>
    <w:link w:val="BalloonTextChar"/>
    <w:uiPriority w:val="99"/>
    <w:semiHidden/>
    <w:unhideWhenUsed/>
    <w:rsid w:val="00742AF9"/>
    <w:rPr>
      <w:rFonts w:ascii="Tahoma" w:hAnsi="Tahoma" w:cs="Tahoma"/>
      <w:sz w:val="16"/>
      <w:szCs w:val="16"/>
    </w:rPr>
  </w:style>
  <w:style w:type="character" w:customStyle="1" w:styleId="BalloonTextChar">
    <w:name w:val="Balloon Text Char"/>
    <w:basedOn w:val="DefaultParagraphFont"/>
    <w:link w:val="BalloonText"/>
    <w:uiPriority w:val="99"/>
    <w:semiHidden/>
    <w:rsid w:val="00742A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1A2"/>
    <w:pPr>
      <w:spacing w:after="0" w:line="240" w:lineRule="auto"/>
      <w:ind w:firstLine="36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11A2"/>
    <w:pPr>
      <w:tabs>
        <w:tab w:val="center" w:pos="4680"/>
        <w:tab w:val="right" w:pos="9360"/>
      </w:tabs>
    </w:pPr>
  </w:style>
  <w:style w:type="character" w:customStyle="1" w:styleId="FooterChar">
    <w:name w:val="Footer Char"/>
    <w:basedOn w:val="DefaultParagraphFont"/>
    <w:link w:val="Footer"/>
    <w:uiPriority w:val="99"/>
    <w:rsid w:val="00CA11A2"/>
    <w:rPr>
      <w:rFonts w:ascii="Arial" w:hAnsi="Arial" w:cs="Arial"/>
    </w:rPr>
  </w:style>
  <w:style w:type="paragraph" w:customStyle="1" w:styleId="refs">
    <w:name w:val="refs"/>
    <w:basedOn w:val="Normal"/>
    <w:link w:val="refsChar"/>
    <w:qFormat/>
    <w:rsid w:val="00CA11A2"/>
    <w:pPr>
      <w:ind w:left="360" w:hanging="360"/>
    </w:pPr>
  </w:style>
  <w:style w:type="character" w:customStyle="1" w:styleId="refsChar">
    <w:name w:val="refs Char"/>
    <w:basedOn w:val="DefaultParagraphFont"/>
    <w:link w:val="refs"/>
    <w:rsid w:val="00CA11A2"/>
    <w:rPr>
      <w:rFonts w:ascii="Arial" w:hAnsi="Arial" w:cs="Arial"/>
    </w:rPr>
  </w:style>
  <w:style w:type="paragraph" w:styleId="ListParagraph">
    <w:name w:val="List Paragraph"/>
    <w:basedOn w:val="Normal"/>
    <w:uiPriority w:val="34"/>
    <w:qFormat/>
    <w:rsid w:val="00536BDB"/>
    <w:pPr>
      <w:ind w:left="720"/>
      <w:contextualSpacing/>
    </w:pPr>
  </w:style>
  <w:style w:type="paragraph" w:styleId="BalloonText">
    <w:name w:val="Balloon Text"/>
    <w:basedOn w:val="Normal"/>
    <w:link w:val="BalloonTextChar"/>
    <w:uiPriority w:val="99"/>
    <w:semiHidden/>
    <w:unhideWhenUsed/>
    <w:rsid w:val="00742AF9"/>
    <w:rPr>
      <w:rFonts w:ascii="Tahoma" w:hAnsi="Tahoma" w:cs="Tahoma"/>
      <w:sz w:val="16"/>
      <w:szCs w:val="16"/>
    </w:rPr>
  </w:style>
  <w:style w:type="character" w:customStyle="1" w:styleId="BalloonTextChar">
    <w:name w:val="Balloon Text Char"/>
    <w:basedOn w:val="DefaultParagraphFont"/>
    <w:link w:val="BalloonText"/>
    <w:uiPriority w:val="99"/>
    <w:semiHidden/>
    <w:rsid w:val="00742A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1445</TotalTime>
  <Pages>6</Pages>
  <Words>530</Words>
  <Characters>2990</Characters>
  <Application>Microsoft Office Word</Application>
  <DocSecurity>0</DocSecurity>
  <Lines>67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William Nicholatos</dc:creator>
  <cp:keywords/>
  <dc:description/>
  <cp:lastModifiedBy>JFURTON</cp:lastModifiedBy>
  <cp:revision>56</cp:revision>
  <dcterms:created xsi:type="dcterms:W3CDTF">2018-08-10T14:53:00Z</dcterms:created>
  <dcterms:modified xsi:type="dcterms:W3CDTF">2018-10-30T07:57:00Z</dcterms:modified>
</cp:coreProperties>
</file>