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BC1" w:rsidRPr="00A95A81" w:rsidRDefault="00736BC1" w:rsidP="00736BC1">
      <w:pPr>
        <w:pageBreakBefore/>
        <w:spacing w:line="480" w:lineRule="auto"/>
        <w:jc w:val="both"/>
        <w:rPr>
          <w:rFonts w:ascii="Arial" w:hAnsi="Arial" w:cs="Arial"/>
          <w:b/>
          <w:lang w:val="en-US"/>
        </w:rPr>
      </w:pPr>
      <w:r w:rsidRPr="002A5269">
        <w:rPr>
          <w:rFonts w:ascii="Arial" w:hAnsi="Arial" w:cs="Arial"/>
          <w:b/>
          <w:lang w:val="en-US"/>
        </w:rPr>
        <w:t>Supplementary Figures:</w:t>
      </w:r>
    </w:p>
    <w:p w:rsidR="00736BC1" w:rsidRPr="00F779AE" w:rsidRDefault="00736BC1" w:rsidP="00736BC1">
      <w:pPr>
        <w:spacing w:line="480" w:lineRule="auto"/>
        <w:jc w:val="both"/>
        <w:rPr>
          <w:rFonts w:ascii="Arial" w:hAnsi="Arial" w:cs="Arial"/>
          <w:b/>
          <w:lang w:val="en-US"/>
        </w:rPr>
      </w:pPr>
      <w:r>
        <w:rPr>
          <w:rFonts w:ascii="Arial" w:hAnsi="Arial" w:cs="Arial"/>
          <w:b/>
          <w:noProof/>
          <w:lang w:val="en-US"/>
        </w:rPr>
        <w:drawing>
          <wp:inline distT="0" distB="0" distL="0" distR="0" wp14:anchorId="241F6D00" wp14:editId="64A5565D">
            <wp:extent cx="5061181" cy="4906645"/>
            <wp:effectExtent l="0" t="0" r="6350" b="825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 Supplementary Figure 1 neu.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63829" cy="4909212"/>
                    </a:xfrm>
                    <a:prstGeom prst="rect">
                      <a:avLst/>
                    </a:prstGeom>
                  </pic:spPr>
                </pic:pic>
              </a:graphicData>
            </a:graphic>
          </wp:inline>
        </w:drawing>
      </w:r>
      <w:bookmarkStart w:id="0" w:name="_GoBack"/>
      <w:bookmarkEnd w:id="0"/>
    </w:p>
    <w:p w:rsidR="00736BC1" w:rsidRDefault="00736BC1" w:rsidP="00736BC1">
      <w:pPr>
        <w:spacing w:line="480" w:lineRule="auto"/>
        <w:jc w:val="both"/>
        <w:rPr>
          <w:rFonts w:ascii="Arial" w:hAnsi="Arial" w:cs="Arial"/>
          <w:lang w:val="en-US"/>
        </w:rPr>
      </w:pPr>
      <w:r>
        <w:rPr>
          <w:rFonts w:ascii="Arial" w:hAnsi="Arial" w:cs="Arial"/>
          <w:b/>
          <w:lang w:val="en-US"/>
        </w:rPr>
        <w:t>Supplementary Figure</w:t>
      </w:r>
      <w:r w:rsidRPr="00755291">
        <w:rPr>
          <w:rFonts w:ascii="Arial" w:hAnsi="Arial" w:cs="Arial"/>
          <w:b/>
          <w:lang w:val="en-US"/>
        </w:rPr>
        <w:t xml:space="preserve"> 1 </w:t>
      </w:r>
      <w:r w:rsidRPr="00E23F1D">
        <w:rPr>
          <w:rFonts w:ascii="Arial" w:hAnsi="Arial" w:cs="Arial"/>
          <w:lang w:val="en-US"/>
        </w:rPr>
        <w:t>A1 astrocytes are highly a</w:t>
      </w:r>
      <w:r>
        <w:rPr>
          <w:rFonts w:ascii="Arial" w:hAnsi="Arial" w:cs="Arial"/>
          <w:lang w:val="en-US"/>
        </w:rPr>
        <w:t>bundant in human prion diseases</w:t>
      </w:r>
      <w:r>
        <w:rPr>
          <w:rFonts w:ascii="Arial" w:hAnsi="Arial" w:cs="Arial"/>
          <w:b/>
          <w:lang w:val="en-US"/>
        </w:rPr>
        <w:t xml:space="preserve"> a</w:t>
      </w:r>
      <w:r>
        <w:rPr>
          <w:rFonts w:ascii="Arial" w:hAnsi="Arial" w:cs="Arial"/>
          <w:lang w:val="en-US"/>
        </w:rPr>
        <w:t xml:space="preserve"> Pan-astrocytic markers GFAP and YKL-40 are highly enriched in mouse and human prion diseases; scale bar human: 100µm, mouse: 20µm. </w:t>
      </w:r>
      <w:r w:rsidRPr="00E23F1D">
        <w:rPr>
          <w:rFonts w:ascii="Arial" w:hAnsi="Arial" w:cs="Arial"/>
          <w:b/>
          <w:lang w:val="en-US"/>
        </w:rPr>
        <w:t>b</w:t>
      </w:r>
      <w:r>
        <w:rPr>
          <w:rFonts w:ascii="Arial" w:hAnsi="Arial" w:cs="Arial"/>
          <w:lang w:val="en-US"/>
        </w:rPr>
        <w:t xml:space="preserve"> Representative</w:t>
      </w:r>
      <w:r w:rsidRPr="00F02AB7">
        <w:rPr>
          <w:rFonts w:ascii="Arial" w:hAnsi="Arial" w:cs="Arial"/>
          <w:lang w:val="en-US"/>
        </w:rPr>
        <w:t xml:space="preserve"> </w:t>
      </w:r>
      <w:r>
        <w:rPr>
          <w:rFonts w:ascii="Arial" w:hAnsi="Arial" w:cs="Arial"/>
          <w:lang w:val="en-US"/>
        </w:rPr>
        <w:t xml:space="preserve">immune-histochemical staining with antibody against complement 3 in human </w:t>
      </w:r>
      <w:proofErr w:type="spellStart"/>
      <w:r>
        <w:rPr>
          <w:rFonts w:ascii="Arial" w:hAnsi="Arial" w:cs="Arial"/>
          <w:lang w:val="en-US"/>
        </w:rPr>
        <w:t>sCJD</w:t>
      </w:r>
      <w:proofErr w:type="spellEnd"/>
      <w:r>
        <w:rPr>
          <w:rFonts w:ascii="Arial" w:hAnsi="Arial" w:cs="Arial"/>
          <w:lang w:val="en-US"/>
        </w:rPr>
        <w:t xml:space="preserve"> cases. Although back ground staining is visible, C3-positive astrocytes (black arrows) could only be detected in </w:t>
      </w:r>
      <w:proofErr w:type="spellStart"/>
      <w:r>
        <w:rPr>
          <w:rFonts w:ascii="Arial" w:hAnsi="Arial" w:cs="Arial"/>
          <w:lang w:val="en-US"/>
        </w:rPr>
        <w:t>sCJD</w:t>
      </w:r>
      <w:proofErr w:type="spellEnd"/>
      <w:r>
        <w:rPr>
          <w:rFonts w:ascii="Arial" w:hAnsi="Arial" w:cs="Arial"/>
          <w:lang w:val="en-US"/>
        </w:rPr>
        <w:t xml:space="preserve">-cases and not in controls; scale bar: 100µm. </w:t>
      </w:r>
      <w:r w:rsidRPr="00E23F1D">
        <w:rPr>
          <w:rFonts w:ascii="Arial" w:hAnsi="Arial" w:cs="Arial"/>
          <w:b/>
          <w:lang w:val="en-US"/>
        </w:rPr>
        <w:t>c</w:t>
      </w:r>
      <w:r>
        <w:rPr>
          <w:rFonts w:ascii="Arial" w:hAnsi="Arial" w:cs="Arial"/>
          <w:lang w:val="en-US"/>
        </w:rPr>
        <w:t xml:space="preserve"> Representative frontal cortex sections of control or </w:t>
      </w:r>
      <w:proofErr w:type="spellStart"/>
      <w:r>
        <w:rPr>
          <w:rFonts w:ascii="Arial" w:hAnsi="Arial" w:cs="Arial"/>
          <w:lang w:val="en-US"/>
        </w:rPr>
        <w:t>sCJD</w:t>
      </w:r>
      <w:proofErr w:type="spellEnd"/>
      <w:r>
        <w:rPr>
          <w:rFonts w:ascii="Arial" w:hAnsi="Arial" w:cs="Arial"/>
          <w:lang w:val="en-US"/>
        </w:rPr>
        <w:t xml:space="preserve"> individuals show that GBP2-positive A1 astrocytes can be only detected in human prion disease but not in age matched control brains; scale bar: 1mm. </w:t>
      </w:r>
      <w:r w:rsidRPr="00E23F1D">
        <w:rPr>
          <w:rFonts w:ascii="Arial" w:hAnsi="Arial" w:cs="Arial"/>
          <w:b/>
          <w:lang w:val="en-US"/>
        </w:rPr>
        <w:t>d</w:t>
      </w:r>
      <w:r>
        <w:rPr>
          <w:rFonts w:ascii="Arial" w:hAnsi="Arial" w:cs="Arial"/>
          <w:lang w:val="en-US"/>
        </w:rPr>
        <w:t xml:space="preserve"> Close up of GPB2</w:t>
      </w:r>
      <w:r>
        <w:rPr>
          <w:rFonts w:ascii="Arial" w:hAnsi="Arial" w:cs="Arial"/>
          <w:lang w:val="en-US"/>
        </w:rPr>
        <w:noBreakHyphen/>
        <w:t xml:space="preserve">positive area in </w:t>
      </w:r>
      <w:proofErr w:type="spellStart"/>
      <w:r>
        <w:rPr>
          <w:rFonts w:ascii="Arial" w:hAnsi="Arial" w:cs="Arial"/>
          <w:lang w:val="en-US"/>
        </w:rPr>
        <w:t>sCJD</w:t>
      </w:r>
      <w:proofErr w:type="spellEnd"/>
      <w:r>
        <w:rPr>
          <w:rFonts w:ascii="Arial" w:hAnsi="Arial" w:cs="Arial"/>
          <w:lang w:val="en-US"/>
        </w:rPr>
        <w:t xml:space="preserve"> as shown in figure </w:t>
      </w:r>
      <w:r w:rsidRPr="000E1A0D">
        <w:rPr>
          <w:rFonts w:ascii="Arial" w:hAnsi="Arial" w:cs="Arial"/>
          <w:b/>
          <w:lang w:val="en-US"/>
        </w:rPr>
        <w:t>1c</w:t>
      </w:r>
      <w:r>
        <w:rPr>
          <w:rFonts w:ascii="Arial" w:hAnsi="Arial" w:cs="Arial"/>
          <w:lang w:val="en-US"/>
        </w:rPr>
        <w:t xml:space="preserve"> in frontal cortex sections of individual </w:t>
      </w:r>
      <w:proofErr w:type="spellStart"/>
      <w:r>
        <w:rPr>
          <w:rFonts w:ascii="Arial" w:hAnsi="Arial" w:cs="Arial"/>
          <w:lang w:val="en-US"/>
        </w:rPr>
        <w:t>sCJD</w:t>
      </w:r>
      <w:proofErr w:type="spellEnd"/>
      <w:r>
        <w:rPr>
          <w:rFonts w:ascii="Arial" w:hAnsi="Arial" w:cs="Arial"/>
          <w:lang w:val="en-US"/>
        </w:rPr>
        <w:t xml:space="preserve"> cases and healthy controls confirmed A1-astrocyte specific GBP2 immunoreactivity only in </w:t>
      </w:r>
      <w:proofErr w:type="spellStart"/>
      <w:r>
        <w:rPr>
          <w:rFonts w:ascii="Arial" w:hAnsi="Arial" w:cs="Arial"/>
          <w:lang w:val="en-US"/>
        </w:rPr>
        <w:t>sCJD</w:t>
      </w:r>
      <w:proofErr w:type="spellEnd"/>
      <w:r>
        <w:rPr>
          <w:rFonts w:ascii="Arial" w:hAnsi="Arial" w:cs="Arial"/>
          <w:lang w:val="en-US"/>
        </w:rPr>
        <w:t xml:space="preserve"> brains; scale bar: 50µm. </w:t>
      </w:r>
    </w:p>
    <w:p w:rsidR="00736BC1" w:rsidRDefault="00736BC1" w:rsidP="00736BC1">
      <w:pPr>
        <w:spacing w:line="480" w:lineRule="auto"/>
        <w:jc w:val="both"/>
        <w:rPr>
          <w:rFonts w:ascii="Arial" w:hAnsi="Arial" w:cs="Arial"/>
          <w:b/>
          <w:lang w:val="en-US"/>
        </w:rPr>
      </w:pPr>
      <w:r>
        <w:rPr>
          <w:rFonts w:ascii="Arial" w:hAnsi="Arial" w:cs="Arial"/>
          <w:b/>
          <w:noProof/>
          <w:lang w:val="en-US"/>
        </w:rPr>
        <w:lastRenderedPageBreak/>
        <w:drawing>
          <wp:inline distT="0" distB="0" distL="0" distR="0" wp14:anchorId="35EF24EC" wp14:editId="3268443B">
            <wp:extent cx="5303520" cy="5010912"/>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03520" cy="5010912"/>
                    </a:xfrm>
                    <a:prstGeom prst="rect">
                      <a:avLst/>
                    </a:prstGeom>
                  </pic:spPr>
                </pic:pic>
              </a:graphicData>
            </a:graphic>
          </wp:inline>
        </w:drawing>
      </w:r>
    </w:p>
    <w:p w:rsidR="00736BC1" w:rsidRDefault="00736BC1" w:rsidP="00736BC1">
      <w:pPr>
        <w:spacing w:line="480" w:lineRule="auto"/>
        <w:jc w:val="both"/>
        <w:rPr>
          <w:rFonts w:ascii="Arial" w:hAnsi="Arial" w:cs="Arial"/>
          <w:lang w:val="en-US"/>
        </w:rPr>
      </w:pPr>
      <w:r>
        <w:rPr>
          <w:rFonts w:ascii="Arial" w:hAnsi="Arial" w:cs="Arial"/>
          <w:b/>
          <w:lang w:val="en-US"/>
        </w:rPr>
        <w:t>Supplementary Fig. 2</w:t>
      </w:r>
      <w:r>
        <w:rPr>
          <w:rFonts w:ascii="Arial" w:hAnsi="Arial" w:cs="Arial"/>
          <w:lang w:val="en-US"/>
        </w:rPr>
        <w:t xml:space="preserve"> Representative </w:t>
      </w:r>
      <w:proofErr w:type="spellStart"/>
      <w:proofErr w:type="gramStart"/>
      <w:r>
        <w:rPr>
          <w:rFonts w:ascii="Arial" w:hAnsi="Arial" w:cs="Arial"/>
          <w:lang w:val="en-US"/>
        </w:rPr>
        <w:t>immunohistochemical</w:t>
      </w:r>
      <w:proofErr w:type="spellEnd"/>
      <w:proofErr w:type="gramEnd"/>
      <w:r>
        <w:rPr>
          <w:rFonts w:ascii="Arial" w:hAnsi="Arial" w:cs="Arial"/>
          <w:lang w:val="en-US"/>
        </w:rPr>
        <w:t xml:space="preserve"> staining of </w:t>
      </w:r>
      <w:proofErr w:type="spellStart"/>
      <w:r>
        <w:rPr>
          <w:rFonts w:ascii="Arial" w:hAnsi="Arial" w:cs="Arial"/>
          <w:lang w:val="en-US"/>
        </w:rPr>
        <w:t>PrP</w:t>
      </w:r>
      <w:r w:rsidRPr="00791965">
        <w:rPr>
          <w:rFonts w:ascii="Arial" w:hAnsi="Arial" w:cs="Arial"/>
          <w:vertAlign w:val="superscript"/>
          <w:lang w:val="en-US"/>
        </w:rPr>
        <w:t>Sc</w:t>
      </w:r>
      <w:proofErr w:type="spellEnd"/>
      <w:r>
        <w:rPr>
          <w:rFonts w:ascii="Arial" w:hAnsi="Arial" w:cs="Arial"/>
          <w:lang w:val="en-US"/>
        </w:rPr>
        <w:t xml:space="preserve"> deposition pattern in frontal cortex and cerebellum of the </w:t>
      </w:r>
      <w:proofErr w:type="spellStart"/>
      <w:r>
        <w:rPr>
          <w:rFonts w:ascii="Arial" w:hAnsi="Arial" w:cs="Arial"/>
          <w:lang w:val="en-US"/>
        </w:rPr>
        <w:t>sCJD</w:t>
      </w:r>
      <w:proofErr w:type="spellEnd"/>
      <w:r>
        <w:rPr>
          <w:rFonts w:ascii="Arial" w:hAnsi="Arial" w:cs="Arial"/>
          <w:lang w:val="en-US"/>
        </w:rPr>
        <w:t xml:space="preserve"> cases investigated in this study (n=5 individual cases) and two of the age matched controls. Note that amount of </w:t>
      </w:r>
      <w:proofErr w:type="spellStart"/>
      <w:r>
        <w:rPr>
          <w:rFonts w:ascii="Arial" w:hAnsi="Arial" w:cs="Arial"/>
          <w:lang w:val="en-US"/>
        </w:rPr>
        <w:t>PrP</w:t>
      </w:r>
      <w:r w:rsidRPr="00791965">
        <w:rPr>
          <w:rFonts w:ascii="Arial" w:hAnsi="Arial" w:cs="Arial"/>
          <w:vertAlign w:val="superscript"/>
          <w:lang w:val="en-US"/>
        </w:rPr>
        <w:t>Sc</w:t>
      </w:r>
      <w:proofErr w:type="spellEnd"/>
      <w:r>
        <w:rPr>
          <w:rFonts w:ascii="Arial" w:hAnsi="Arial" w:cs="Arial"/>
          <w:lang w:val="en-US"/>
        </w:rPr>
        <w:t xml:space="preserve"> deposition does not correlate with abundance of A1 astrocytes; scale bar: 100µm.</w:t>
      </w:r>
    </w:p>
    <w:p w:rsidR="00736BC1" w:rsidRDefault="00F94F23" w:rsidP="00736BC1">
      <w:pPr>
        <w:spacing w:line="480" w:lineRule="auto"/>
        <w:jc w:val="both"/>
        <w:rPr>
          <w:rFonts w:ascii="Arial" w:hAnsi="Arial" w:cs="Arial"/>
          <w:lang w:val="en-US"/>
        </w:rPr>
      </w:pPr>
      <w:r>
        <w:rPr>
          <w:rFonts w:ascii="Arial" w:hAnsi="Arial" w:cs="Arial"/>
          <w:noProof/>
          <w:lang w:val="en-US"/>
        </w:rPr>
        <w:lastRenderedPageBreak/>
        <w:drawing>
          <wp:inline distT="0" distB="0" distL="0" distR="0">
            <wp:extent cx="4704998" cy="6724650"/>
            <wp:effectExtent l="0" t="0" r="63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 Supplementary Figure 3a V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8996" cy="6730365"/>
                    </a:xfrm>
                    <a:prstGeom prst="rect">
                      <a:avLst/>
                    </a:prstGeom>
                  </pic:spPr>
                </pic:pic>
              </a:graphicData>
            </a:graphic>
          </wp:inline>
        </w:drawing>
      </w:r>
    </w:p>
    <w:p w:rsidR="006C3B46" w:rsidRPr="006E1CCD" w:rsidRDefault="00736BC1" w:rsidP="00736BC1">
      <w:pPr>
        <w:spacing w:line="480" w:lineRule="auto"/>
        <w:jc w:val="both"/>
        <w:rPr>
          <w:rFonts w:ascii="Arial" w:hAnsi="Arial" w:cs="Arial"/>
          <w:color w:val="FF0000"/>
          <w:lang w:val="en-US"/>
        </w:rPr>
      </w:pPr>
      <w:r w:rsidRPr="006E1CCD">
        <w:rPr>
          <w:rFonts w:ascii="Arial" w:hAnsi="Arial" w:cs="Arial"/>
          <w:b/>
          <w:color w:val="FF0000"/>
          <w:lang w:val="en-US"/>
        </w:rPr>
        <w:t xml:space="preserve">Supplementary Fig. 3 </w:t>
      </w:r>
      <w:r w:rsidR="00C856B6" w:rsidRPr="006E1CCD">
        <w:rPr>
          <w:rFonts w:ascii="Arial" w:hAnsi="Arial" w:cs="Arial"/>
          <w:color w:val="FF0000"/>
          <w:lang w:val="en-US"/>
        </w:rPr>
        <w:t>Astrocyte staining in terminal prion disease:</w:t>
      </w:r>
      <w:r w:rsidR="00C856B6" w:rsidRPr="006E1CCD">
        <w:rPr>
          <w:rFonts w:ascii="Arial" w:hAnsi="Arial" w:cs="Arial"/>
          <w:b/>
          <w:color w:val="FF0000"/>
          <w:lang w:val="en-US"/>
        </w:rPr>
        <w:t xml:space="preserve"> </w:t>
      </w:r>
      <w:r w:rsidR="00C856B6" w:rsidRPr="006E1CCD">
        <w:rPr>
          <w:rFonts w:ascii="Arial" w:hAnsi="Arial" w:cs="Arial"/>
          <w:color w:val="FF0000"/>
          <w:lang w:val="en-US"/>
        </w:rPr>
        <w:t>Staining intensity</w:t>
      </w:r>
      <w:r w:rsidR="00F94F23" w:rsidRPr="006E1CCD">
        <w:rPr>
          <w:rFonts w:ascii="Arial" w:hAnsi="Arial" w:cs="Arial"/>
          <w:color w:val="FF0000"/>
          <w:lang w:val="en-US"/>
        </w:rPr>
        <w:t xml:space="preserve"> of </w:t>
      </w:r>
      <w:r w:rsidRPr="006E1CCD">
        <w:rPr>
          <w:rFonts w:ascii="Arial" w:hAnsi="Arial" w:cs="Arial"/>
          <w:color w:val="FF0000"/>
          <w:lang w:val="en-US"/>
        </w:rPr>
        <w:t>astrocyte marker</w:t>
      </w:r>
      <w:r w:rsidR="00F94F23" w:rsidRPr="006E1CCD">
        <w:rPr>
          <w:rFonts w:ascii="Arial" w:hAnsi="Arial" w:cs="Arial"/>
          <w:color w:val="FF0000"/>
          <w:lang w:val="en-US"/>
        </w:rPr>
        <w:t>s</w:t>
      </w:r>
      <w:r w:rsidRPr="006E1CCD">
        <w:rPr>
          <w:rFonts w:ascii="Arial" w:hAnsi="Arial" w:cs="Arial"/>
          <w:color w:val="FF0000"/>
          <w:lang w:val="en-US"/>
        </w:rPr>
        <w:t xml:space="preserve"> GFAP</w:t>
      </w:r>
      <w:r w:rsidR="00F94F23" w:rsidRPr="006E1CCD">
        <w:rPr>
          <w:rFonts w:ascii="Arial" w:hAnsi="Arial" w:cs="Arial"/>
          <w:color w:val="FF0000"/>
          <w:lang w:val="en-US"/>
        </w:rPr>
        <w:t>, YKL40</w:t>
      </w:r>
      <w:r w:rsidRPr="006E1CCD">
        <w:rPr>
          <w:rFonts w:ascii="Arial" w:hAnsi="Arial" w:cs="Arial"/>
          <w:color w:val="FF0000"/>
          <w:lang w:val="en-US"/>
        </w:rPr>
        <w:t xml:space="preserve"> and </w:t>
      </w:r>
      <w:r w:rsidR="00F94F23" w:rsidRPr="006E1CCD">
        <w:rPr>
          <w:rFonts w:ascii="Arial" w:hAnsi="Arial" w:cs="Arial"/>
          <w:color w:val="FF0000"/>
          <w:lang w:val="en-US"/>
        </w:rPr>
        <w:t xml:space="preserve">ALDH1L1 is increased upon </w:t>
      </w:r>
      <w:r w:rsidR="00C856B6" w:rsidRPr="006E1CCD">
        <w:rPr>
          <w:rFonts w:ascii="Arial" w:hAnsi="Arial" w:cs="Arial"/>
          <w:color w:val="FF0000"/>
          <w:lang w:val="en-US"/>
        </w:rPr>
        <w:t xml:space="preserve">clinical </w:t>
      </w:r>
      <w:r w:rsidR="00F94F23" w:rsidRPr="006E1CCD">
        <w:rPr>
          <w:rFonts w:ascii="Arial" w:hAnsi="Arial" w:cs="Arial"/>
          <w:color w:val="FF0000"/>
          <w:lang w:val="en-US"/>
        </w:rPr>
        <w:t xml:space="preserve">prion disease, but </w:t>
      </w:r>
      <w:r w:rsidR="00C856B6" w:rsidRPr="006E1CCD">
        <w:rPr>
          <w:rFonts w:ascii="Arial" w:hAnsi="Arial" w:cs="Arial"/>
          <w:color w:val="FF0000"/>
          <w:lang w:val="en-US"/>
        </w:rPr>
        <w:t>similar</w:t>
      </w:r>
      <w:r w:rsidRPr="006E1CCD">
        <w:rPr>
          <w:rFonts w:ascii="Arial" w:hAnsi="Arial" w:cs="Arial"/>
          <w:color w:val="FF0000"/>
          <w:lang w:val="en-US"/>
        </w:rPr>
        <w:t xml:space="preserve"> in clinical TKO mice (TNF</w:t>
      </w:r>
      <w:r w:rsidRPr="006E1CCD">
        <w:rPr>
          <w:rFonts w:ascii="Arial" w:hAnsi="Arial" w:cs="Arial"/>
          <w:color w:val="FF0000"/>
          <w:lang w:val="en-US"/>
        </w:rPr>
        <w:noBreakHyphen/>
      </w:r>
      <w:r w:rsidRPr="006E1CCD">
        <w:rPr>
          <w:rFonts w:ascii="Symbol" w:hAnsi="Symbol" w:cs="Arial"/>
          <w:color w:val="FF0000"/>
          <w:lang w:val="en-US"/>
        </w:rPr>
        <w:t></w:t>
      </w:r>
      <w:r w:rsidRPr="006E1CCD">
        <w:rPr>
          <w:rFonts w:ascii="Arial" w:hAnsi="Arial" w:cs="Arial"/>
          <w:color w:val="FF0000"/>
          <w:lang w:val="en-US"/>
        </w:rPr>
        <w:t>, IL</w:t>
      </w:r>
      <w:r w:rsidRPr="006E1CCD">
        <w:rPr>
          <w:rFonts w:ascii="Arial" w:hAnsi="Arial" w:cs="Arial"/>
          <w:color w:val="FF0000"/>
          <w:lang w:val="en-US"/>
        </w:rPr>
        <w:noBreakHyphen/>
        <w:t>1</w:t>
      </w:r>
      <w:r w:rsidRPr="006E1CCD">
        <w:rPr>
          <w:rFonts w:ascii="Symbol" w:hAnsi="Symbol" w:cs="Arial"/>
          <w:color w:val="FF0000"/>
          <w:lang w:val="en-US"/>
        </w:rPr>
        <w:t></w:t>
      </w:r>
      <w:r w:rsidRPr="006E1CCD">
        <w:rPr>
          <w:rFonts w:ascii="Arial" w:hAnsi="Arial" w:cs="Arial"/>
          <w:color w:val="FF0000"/>
          <w:lang w:val="en-US"/>
        </w:rPr>
        <w:t>, and C1qa Triple-KO mice) in comparison to clinical WT animals.  Representat</w:t>
      </w:r>
      <w:r w:rsidR="00F94F23" w:rsidRPr="006E1CCD">
        <w:rPr>
          <w:rFonts w:ascii="Arial" w:hAnsi="Arial" w:cs="Arial"/>
          <w:color w:val="FF0000"/>
          <w:lang w:val="en-US"/>
        </w:rPr>
        <w:t>ive immuno-staining of GFAP, YKL</w:t>
      </w:r>
      <w:r w:rsidRPr="006E1CCD">
        <w:rPr>
          <w:rFonts w:ascii="Arial" w:hAnsi="Arial" w:cs="Arial"/>
          <w:color w:val="FF0000"/>
          <w:lang w:val="en-US"/>
        </w:rPr>
        <w:t xml:space="preserve"> and </w:t>
      </w:r>
      <w:r w:rsidR="00F94F23" w:rsidRPr="006E1CCD">
        <w:rPr>
          <w:rFonts w:ascii="Arial" w:hAnsi="Arial" w:cs="Arial"/>
          <w:color w:val="FF0000"/>
          <w:lang w:val="en-US"/>
        </w:rPr>
        <w:t>ALDH1L1</w:t>
      </w:r>
      <w:r w:rsidRPr="006E1CCD">
        <w:rPr>
          <w:rFonts w:ascii="Arial" w:hAnsi="Arial" w:cs="Arial"/>
          <w:color w:val="FF0000"/>
          <w:lang w:val="en-US"/>
        </w:rPr>
        <w:t xml:space="preserve"> in hippocampus and thalamus of brains of clinical prion diseased mice and age matched uninfected controls; n=3 individual </w:t>
      </w:r>
      <w:r w:rsidR="00E41605">
        <w:rPr>
          <w:rFonts w:ascii="Arial" w:hAnsi="Arial" w:cs="Arial"/>
          <w:color w:val="FF0000"/>
          <w:lang w:val="en-US"/>
        </w:rPr>
        <w:t>mice per group; scale bar: 50µm</w:t>
      </w:r>
    </w:p>
    <w:p w:rsidR="00F94F23" w:rsidRDefault="00F94F23" w:rsidP="00736BC1">
      <w:pPr>
        <w:spacing w:line="480" w:lineRule="auto"/>
        <w:jc w:val="both"/>
        <w:rPr>
          <w:rFonts w:ascii="Arial" w:hAnsi="Arial" w:cs="Arial"/>
          <w:lang w:val="en-US"/>
        </w:rPr>
      </w:pPr>
    </w:p>
    <w:p w:rsidR="00736BC1" w:rsidRPr="00E338AF" w:rsidRDefault="00736BC1" w:rsidP="00736BC1">
      <w:pPr>
        <w:spacing w:line="480" w:lineRule="auto"/>
        <w:jc w:val="both"/>
        <w:rPr>
          <w:rFonts w:ascii="Arial" w:hAnsi="Arial" w:cs="Arial"/>
          <w:lang w:val="en-US"/>
        </w:rPr>
      </w:pPr>
      <w:r>
        <w:rPr>
          <w:rFonts w:ascii="Arial" w:hAnsi="Arial" w:cs="Arial"/>
          <w:noProof/>
          <w:lang w:val="en-US"/>
        </w:rPr>
        <w:drawing>
          <wp:inline distT="0" distB="0" distL="0" distR="0" wp14:anchorId="3833D99A" wp14:editId="382FB4B3">
            <wp:extent cx="3642360" cy="5130976"/>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 Figure 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48283" cy="5139319"/>
                    </a:xfrm>
                    <a:prstGeom prst="rect">
                      <a:avLst/>
                    </a:prstGeom>
                  </pic:spPr>
                </pic:pic>
              </a:graphicData>
            </a:graphic>
          </wp:inline>
        </w:drawing>
      </w:r>
    </w:p>
    <w:p w:rsidR="00736BC1" w:rsidRDefault="00736BC1" w:rsidP="00736BC1">
      <w:pPr>
        <w:spacing w:line="480" w:lineRule="auto"/>
        <w:jc w:val="both"/>
        <w:rPr>
          <w:rFonts w:ascii="Arial" w:hAnsi="Arial" w:cs="Arial"/>
          <w:lang w:val="en-US"/>
        </w:rPr>
      </w:pPr>
      <w:r w:rsidRPr="00211ACE">
        <w:rPr>
          <w:rFonts w:ascii="Arial" w:hAnsi="Arial" w:cs="Arial"/>
          <w:b/>
          <w:lang w:val="en-US"/>
        </w:rPr>
        <w:t xml:space="preserve">Supplementary Fig. </w:t>
      </w:r>
      <w:r w:rsidR="00E41605">
        <w:rPr>
          <w:rFonts w:ascii="Arial" w:hAnsi="Arial" w:cs="Arial"/>
          <w:b/>
          <w:lang w:val="en-US"/>
        </w:rPr>
        <w:t>4</w:t>
      </w:r>
      <w:r w:rsidRPr="00211ACE">
        <w:rPr>
          <w:rFonts w:ascii="Arial" w:hAnsi="Arial" w:cs="Arial"/>
          <w:b/>
          <w:lang w:val="en-US"/>
        </w:rPr>
        <w:t xml:space="preserve"> </w:t>
      </w:r>
      <w:r w:rsidRPr="00211ACE">
        <w:rPr>
          <w:rFonts w:ascii="Arial" w:hAnsi="Arial" w:cs="Arial"/>
          <w:lang w:val="en-US"/>
        </w:rPr>
        <w:t>Pan-astrocyte</w:t>
      </w:r>
      <w:r w:rsidRPr="005C6102">
        <w:rPr>
          <w:rFonts w:ascii="Arial" w:hAnsi="Arial" w:cs="Arial"/>
          <w:lang w:val="en-US"/>
        </w:rPr>
        <w:t xml:space="preserve"> activation marker </w:t>
      </w:r>
      <w:r w:rsidRPr="00C3506A">
        <w:rPr>
          <w:rFonts w:ascii="Arial" w:hAnsi="Arial" w:cs="Arial"/>
          <w:lang w:val="en-US"/>
        </w:rPr>
        <w:t>G</w:t>
      </w:r>
      <w:r>
        <w:rPr>
          <w:rFonts w:ascii="Arial" w:hAnsi="Arial" w:cs="Arial"/>
          <w:lang w:val="en-US"/>
        </w:rPr>
        <w:t>FAP i</w:t>
      </w:r>
      <w:r w:rsidRPr="00C3506A">
        <w:rPr>
          <w:rFonts w:ascii="Arial" w:hAnsi="Arial" w:cs="Arial"/>
          <w:lang w:val="en-US"/>
        </w:rPr>
        <w:t>s unchanged in clinical TKO mice</w:t>
      </w:r>
      <w:r>
        <w:rPr>
          <w:rFonts w:ascii="Arial" w:hAnsi="Arial" w:cs="Arial"/>
          <w:lang w:val="en-US"/>
        </w:rPr>
        <w:t xml:space="preserve"> (TNF</w:t>
      </w:r>
      <w:r>
        <w:rPr>
          <w:rFonts w:ascii="Arial" w:hAnsi="Arial" w:cs="Arial"/>
          <w:lang w:val="en-US"/>
        </w:rPr>
        <w:noBreakHyphen/>
      </w:r>
      <w:r w:rsidRPr="0079200D">
        <w:rPr>
          <w:rFonts w:ascii="Symbol" w:hAnsi="Symbol" w:cs="Arial"/>
          <w:lang w:val="en-US"/>
        </w:rPr>
        <w:t></w:t>
      </w:r>
      <w:r>
        <w:rPr>
          <w:rFonts w:ascii="Arial" w:hAnsi="Arial" w:cs="Arial"/>
          <w:lang w:val="en-US"/>
        </w:rPr>
        <w:t>, IL</w:t>
      </w:r>
      <w:r>
        <w:rPr>
          <w:rFonts w:ascii="Arial" w:hAnsi="Arial" w:cs="Arial"/>
          <w:lang w:val="en-US"/>
        </w:rPr>
        <w:noBreakHyphen/>
        <w:t>1</w:t>
      </w:r>
      <w:r w:rsidRPr="0079200D">
        <w:rPr>
          <w:rFonts w:ascii="Symbol" w:hAnsi="Symbol" w:cs="Arial"/>
          <w:lang w:val="en-US"/>
        </w:rPr>
        <w:t></w:t>
      </w:r>
      <w:r>
        <w:rPr>
          <w:rFonts w:ascii="Arial" w:hAnsi="Arial" w:cs="Arial"/>
          <w:lang w:val="en-US"/>
        </w:rPr>
        <w:t>, and C1qa Triple-KO mice) when compared to clinical WT-mice</w:t>
      </w:r>
      <w:r w:rsidRPr="00C3506A">
        <w:rPr>
          <w:rFonts w:ascii="Arial" w:hAnsi="Arial" w:cs="Arial"/>
          <w:lang w:val="en-US"/>
        </w:rPr>
        <w:t>.</w:t>
      </w:r>
      <w:r>
        <w:rPr>
          <w:rFonts w:ascii="Arial" w:hAnsi="Arial" w:cs="Arial"/>
          <w:b/>
          <w:lang w:val="en-US"/>
        </w:rPr>
        <w:t xml:space="preserve"> </w:t>
      </w:r>
      <w:r>
        <w:rPr>
          <w:rFonts w:ascii="Arial" w:hAnsi="Arial" w:cs="Arial"/>
          <w:lang w:val="en-US"/>
        </w:rPr>
        <w:t>Overview spanning parts of the cortex, hippocampus and thalamus of representative staining of individual prion infected terminally sick WT or TKO-mice showed no differences in GFAP immuno-reactivity; scale bar: 200µm.</w:t>
      </w:r>
    </w:p>
    <w:p w:rsidR="00E41605" w:rsidRDefault="00E41605" w:rsidP="00736BC1">
      <w:pPr>
        <w:spacing w:line="480" w:lineRule="auto"/>
        <w:jc w:val="both"/>
        <w:rPr>
          <w:rFonts w:ascii="Arial" w:hAnsi="Arial" w:cs="Arial"/>
          <w:lang w:val="en-US"/>
        </w:rPr>
      </w:pPr>
    </w:p>
    <w:p w:rsidR="00E41605" w:rsidRDefault="00E41605" w:rsidP="00E41605">
      <w:pPr>
        <w:spacing w:line="480" w:lineRule="auto"/>
        <w:jc w:val="both"/>
        <w:rPr>
          <w:rFonts w:ascii="Arial" w:hAnsi="Arial" w:cs="Arial"/>
          <w:lang w:val="en-US"/>
        </w:rPr>
      </w:pPr>
      <w:r>
        <w:rPr>
          <w:rFonts w:ascii="Arial" w:hAnsi="Arial" w:cs="Arial"/>
          <w:noProof/>
          <w:lang w:val="en-US"/>
        </w:rPr>
        <w:lastRenderedPageBreak/>
        <w:drawing>
          <wp:inline distT="0" distB="0" distL="0" distR="0" wp14:anchorId="159D09F0" wp14:editId="4492FF9F">
            <wp:extent cx="5074920" cy="3730752"/>
            <wp:effectExtent l="0" t="0" r="0" b="317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N Supplementary Figure 3b.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74920" cy="3730752"/>
                    </a:xfrm>
                    <a:prstGeom prst="rect">
                      <a:avLst/>
                    </a:prstGeom>
                  </pic:spPr>
                </pic:pic>
              </a:graphicData>
            </a:graphic>
          </wp:inline>
        </w:drawing>
      </w:r>
    </w:p>
    <w:p w:rsidR="00E41605" w:rsidRDefault="00E41605" w:rsidP="00E41605">
      <w:pPr>
        <w:spacing w:line="480" w:lineRule="auto"/>
        <w:jc w:val="both"/>
        <w:rPr>
          <w:rFonts w:ascii="Arial" w:hAnsi="Arial" w:cs="Arial"/>
          <w:lang w:val="en-US"/>
        </w:rPr>
      </w:pPr>
      <w:r w:rsidRPr="00211ACE">
        <w:rPr>
          <w:rFonts w:ascii="Arial" w:hAnsi="Arial" w:cs="Arial"/>
          <w:b/>
          <w:lang w:val="en-US"/>
        </w:rPr>
        <w:t xml:space="preserve">Supplementary Fig. </w:t>
      </w:r>
      <w:r>
        <w:rPr>
          <w:rFonts w:ascii="Arial" w:hAnsi="Arial" w:cs="Arial"/>
          <w:b/>
          <w:lang w:val="en-US"/>
        </w:rPr>
        <w:t>5</w:t>
      </w:r>
      <w:r w:rsidRPr="00211ACE">
        <w:rPr>
          <w:rFonts w:ascii="Arial" w:hAnsi="Arial" w:cs="Arial"/>
          <w:b/>
          <w:lang w:val="en-US"/>
        </w:rPr>
        <w:t xml:space="preserve"> </w:t>
      </w:r>
      <w:r w:rsidRPr="00C856B6">
        <w:rPr>
          <w:rFonts w:ascii="Arial" w:hAnsi="Arial" w:cs="Arial"/>
          <w:lang w:val="en-US"/>
        </w:rPr>
        <w:t>Microglia staining in terminal prion disease:</w:t>
      </w:r>
      <w:r>
        <w:rPr>
          <w:rFonts w:ascii="Arial" w:hAnsi="Arial" w:cs="Arial"/>
          <w:b/>
          <w:lang w:val="en-US"/>
        </w:rPr>
        <w:t xml:space="preserve"> </w:t>
      </w:r>
      <w:r w:rsidRPr="00E338AF">
        <w:rPr>
          <w:rFonts w:ascii="Arial" w:hAnsi="Arial" w:cs="Arial"/>
          <w:lang w:val="en-US"/>
        </w:rPr>
        <w:t xml:space="preserve">Abundance of microglia marker Iba1 </w:t>
      </w:r>
      <w:r>
        <w:rPr>
          <w:rFonts w:ascii="Arial" w:hAnsi="Arial" w:cs="Arial"/>
          <w:lang w:val="en-US"/>
        </w:rPr>
        <w:t>is increase upon clinical prion disease but</w:t>
      </w:r>
      <w:r w:rsidRPr="00E338AF">
        <w:rPr>
          <w:rFonts w:ascii="Arial" w:hAnsi="Arial" w:cs="Arial"/>
          <w:lang w:val="en-US"/>
        </w:rPr>
        <w:t xml:space="preserve"> </w:t>
      </w:r>
      <w:r>
        <w:rPr>
          <w:rFonts w:ascii="Arial" w:hAnsi="Arial" w:cs="Arial"/>
          <w:lang w:val="en-US"/>
        </w:rPr>
        <w:t>similar</w:t>
      </w:r>
      <w:r w:rsidRPr="00E338AF">
        <w:rPr>
          <w:rFonts w:ascii="Arial" w:hAnsi="Arial" w:cs="Arial"/>
          <w:lang w:val="en-US"/>
        </w:rPr>
        <w:t xml:space="preserve"> in clinical TKO mice</w:t>
      </w:r>
      <w:r>
        <w:rPr>
          <w:rFonts w:ascii="Arial" w:hAnsi="Arial" w:cs="Arial"/>
          <w:lang w:val="en-US"/>
        </w:rPr>
        <w:t xml:space="preserve"> (TNF</w:t>
      </w:r>
      <w:r>
        <w:rPr>
          <w:rFonts w:ascii="Arial" w:hAnsi="Arial" w:cs="Arial"/>
          <w:lang w:val="en-US"/>
        </w:rPr>
        <w:noBreakHyphen/>
      </w:r>
      <w:r w:rsidRPr="0079200D">
        <w:rPr>
          <w:rFonts w:ascii="Symbol" w:hAnsi="Symbol" w:cs="Arial"/>
          <w:lang w:val="en-US"/>
        </w:rPr>
        <w:t></w:t>
      </w:r>
      <w:r>
        <w:rPr>
          <w:rFonts w:ascii="Arial" w:hAnsi="Arial" w:cs="Arial"/>
          <w:lang w:val="en-US"/>
        </w:rPr>
        <w:t>, IL</w:t>
      </w:r>
      <w:r>
        <w:rPr>
          <w:rFonts w:ascii="Arial" w:hAnsi="Arial" w:cs="Arial"/>
          <w:lang w:val="en-US"/>
        </w:rPr>
        <w:noBreakHyphen/>
        <w:t>1</w:t>
      </w:r>
      <w:r w:rsidRPr="0079200D">
        <w:rPr>
          <w:rFonts w:ascii="Symbol" w:hAnsi="Symbol" w:cs="Arial"/>
          <w:lang w:val="en-US"/>
        </w:rPr>
        <w:t></w:t>
      </w:r>
      <w:r>
        <w:rPr>
          <w:rFonts w:ascii="Arial" w:hAnsi="Arial" w:cs="Arial"/>
          <w:lang w:val="en-US"/>
        </w:rPr>
        <w:t>, and C1qa Triple-KO mice) in comparison to clinical WT animals</w:t>
      </w:r>
      <w:r w:rsidRPr="00E338AF">
        <w:rPr>
          <w:rFonts w:ascii="Arial" w:hAnsi="Arial" w:cs="Arial"/>
          <w:lang w:val="en-US"/>
        </w:rPr>
        <w:t xml:space="preserve">.  </w:t>
      </w:r>
      <w:r>
        <w:rPr>
          <w:rFonts w:ascii="Arial" w:hAnsi="Arial" w:cs="Arial"/>
          <w:lang w:val="en-US"/>
        </w:rPr>
        <w:t>Staining of microglia homeostasis marker TMEM119 show activated dysregulated phenotype of microglia in terminal prion disease with partial loss of immune-reactivity especially in Thalamus. Again, there is no difference in prion infected TKO- versus WT-mice. Representative immuno-staining of GFAP, Iba1 and TMEM119 in hippocampus and thalamus of brains of clinical prion diseased mice and age matched uninfected controls; n=3 individual mice per group</w:t>
      </w:r>
      <w:r w:rsidRPr="00E338AF">
        <w:rPr>
          <w:rFonts w:ascii="Arial" w:hAnsi="Arial" w:cs="Arial"/>
          <w:lang w:val="en-US"/>
        </w:rPr>
        <w:t xml:space="preserve">; scale bar: </w:t>
      </w:r>
      <w:r>
        <w:rPr>
          <w:rFonts w:ascii="Arial" w:hAnsi="Arial" w:cs="Arial"/>
          <w:lang w:val="en-US"/>
        </w:rPr>
        <w:t>50µm.</w:t>
      </w:r>
    </w:p>
    <w:p w:rsidR="00E41605" w:rsidRDefault="00E41605" w:rsidP="00736BC1">
      <w:pPr>
        <w:spacing w:line="480" w:lineRule="auto"/>
        <w:jc w:val="both"/>
        <w:rPr>
          <w:rFonts w:ascii="Arial" w:hAnsi="Arial" w:cs="Arial"/>
          <w:lang w:val="en-US"/>
        </w:rPr>
      </w:pPr>
    </w:p>
    <w:p w:rsidR="00736BC1" w:rsidRDefault="00736BC1" w:rsidP="00736BC1">
      <w:pPr>
        <w:spacing w:line="480" w:lineRule="auto"/>
        <w:jc w:val="both"/>
        <w:rPr>
          <w:rFonts w:ascii="Arial" w:hAnsi="Arial" w:cs="Arial"/>
          <w:lang w:val="en-US"/>
        </w:rPr>
      </w:pPr>
      <w:r>
        <w:rPr>
          <w:rFonts w:ascii="Arial" w:hAnsi="Arial" w:cs="Arial"/>
          <w:noProof/>
          <w:lang w:val="en-US"/>
        </w:rPr>
        <w:lastRenderedPageBreak/>
        <w:drawing>
          <wp:inline distT="0" distB="0" distL="0" distR="0" wp14:anchorId="19340302" wp14:editId="7B641E3E">
            <wp:extent cx="5437632" cy="4788408"/>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 Figure 5.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37632" cy="4788408"/>
                    </a:xfrm>
                    <a:prstGeom prst="rect">
                      <a:avLst/>
                    </a:prstGeom>
                  </pic:spPr>
                </pic:pic>
              </a:graphicData>
            </a:graphic>
          </wp:inline>
        </w:drawing>
      </w:r>
    </w:p>
    <w:p w:rsidR="00736BC1" w:rsidRDefault="00736BC1" w:rsidP="00736BC1">
      <w:pPr>
        <w:spacing w:line="480" w:lineRule="auto"/>
        <w:jc w:val="both"/>
        <w:rPr>
          <w:rFonts w:ascii="Arial" w:hAnsi="Arial" w:cs="Arial"/>
          <w:lang w:val="en-US"/>
        </w:rPr>
      </w:pPr>
      <w:r w:rsidRPr="00211ACE">
        <w:rPr>
          <w:rFonts w:ascii="Arial" w:hAnsi="Arial" w:cs="Arial"/>
          <w:b/>
          <w:lang w:val="en-US"/>
        </w:rPr>
        <w:t xml:space="preserve">Supplementary Fig. </w:t>
      </w:r>
      <w:r w:rsidR="00211ACE" w:rsidRPr="00211ACE">
        <w:rPr>
          <w:rFonts w:ascii="Arial" w:hAnsi="Arial" w:cs="Arial"/>
          <w:b/>
          <w:lang w:val="en-US"/>
        </w:rPr>
        <w:t>6</w:t>
      </w:r>
      <w:r w:rsidRPr="00211ACE">
        <w:rPr>
          <w:rFonts w:ascii="Arial" w:hAnsi="Arial" w:cs="Arial"/>
          <w:lang w:val="en-US"/>
        </w:rPr>
        <w:t xml:space="preserve"> Western</w:t>
      </w:r>
      <w:r>
        <w:rPr>
          <w:rFonts w:ascii="Arial" w:hAnsi="Arial" w:cs="Arial"/>
          <w:lang w:val="en-US"/>
        </w:rPr>
        <w:t xml:space="preserve"> blot analysis show abundance of the microglial/monocyte marker Iba1 at day 80 and day 110 </w:t>
      </w:r>
      <w:proofErr w:type="spellStart"/>
      <w:r>
        <w:rPr>
          <w:rFonts w:ascii="Arial" w:hAnsi="Arial" w:cs="Arial"/>
          <w:lang w:val="en-US"/>
        </w:rPr>
        <w:t>p.i</w:t>
      </w:r>
      <w:proofErr w:type="spellEnd"/>
      <w:r>
        <w:rPr>
          <w:rFonts w:ascii="Arial" w:hAnsi="Arial" w:cs="Arial"/>
          <w:lang w:val="en-US"/>
        </w:rPr>
        <w:t xml:space="preserve">. and clinical prion disease (n=3 individual animals per group) </w:t>
      </w:r>
      <w:r w:rsidRPr="005C6102">
        <w:rPr>
          <w:rFonts w:ascii="Arial" w:hAnsi="Arial" w:cs="Arial"/>
          <w:b/>
          <w:lang w:val="en-US"/>
        </w:rPr>
        <w:t>a</w:t>
      </w:r>
      <w:r>
        <w:rPr>
          <w:rFonts w:ascii="Arial" w:hAnsi="Arial" w:cs="Arial"/>
          <w:lang w:val="en-US"/>
        </w:rPr>
        <w:t xml:space="preserve"> and where quantified </w:t>
      </w:r>
      <w:r w:rsidRPr="005C6102">
        <w:rPr>
          <w:rFonts w:ascii="Arial" w:hAnsi="Arial" w:cs="Arial"/>
          <w:b/>
          <w:lang w:val="en-US"/>
        </w:rPr>
        <w:t xml:space="preserve">b </w:t>
      </w:r>
      <w:r>
        <w:rPr>
          <w:rFonts w:ascii="Arial" w:hAnsi="Arial" w:cs="Arial"/>
          <w:lang w:val="en-US"/>
        </w:rPr>
        <w:t xml:space="preserve"> and normalized to ß-actin expression. Shown is the mean expression +/- SD. Although Iba1 abundance is significantly increased in prion diseases at late and clinical time points, we could not detect differences between TKO</w:t>
      </w:r>
      <w:r>
        <w:rPr>
          <w:rFonts w:ascii="Arial" w:hAnsi="Arial" w:cs="Arial"/>
          <w:lang w:val="en-US"/>
        </w:rPr>
        <w:noBreakHyphen/>
        <w:t xml:space="preserve"> (TNF</w:t>
      </w:r>
      <w:r>
        <w:rPr>
          <w:rFonts w:ascii="Arial" w:hAnsi="Arial" w:cs="Arial"/>
          <w:lang w:val="en-US"/>
        </w:rPr>
        <w:noBreakHyphen/>
      </w:r>
      <w:r w:rsidRPr="0079200D">
        <w:rPr>
          <w:rFonts w:ascii="Symbol" w:hAnsi="Symbol" w:cs="Arial"/>
          <w:lang w:val="en-US"/>
        </w:rPr>
        <w:t></w:t>
      </w:r>
      <w:r>
        <w:rPr>
          <w:rFonts w:ascii="Arial" w:hAnsi="Arial" w:cs="Arial"/>
          <w:lang w:val="en-US"/>
        </w:rPr>
        <w:t>, IL</w:t>
      </w:r>
      <w:r>
        <w:rPr>
          <w:rFonts w:ascii="Arial" w:hAnsi="Arial" w:cs="Arial"/>
          <w:lang w:val="en-US"/>
        </w:rPr>
        <w:noBreakHyphen/>
        <w:t>1</w:t>
      </w:r>
      <w:r w:rsidRPr="0079200D">
        <w:rPr>
          <w:rFonts w:ascii="Symbol" w:hAnsi="Symbol" w:cs="Arial"/>
          <w:lang w:val="en-US"/>
        </w:rPr>
        <w:t></w:t>
      </w:r>
      <w:r>
        <w:rPr>
          <w:rFonts w:ascii="Arial" w:hAnsi="Arial" w:cs="Arial"/>
          <w:lang w:val="en-US"/>
        </w:rPr>
        <w:t>, and C1qa Triple-KO mice) and WT</w:t>
      </w:r>
      <w:r>
        <w:rPr>
          <w:rFonts w:ascii="Arial" w:hAnsi="Arial" w:cs="Arial"/>
          <w:lang w:val="en-US"/>
        </w:rPr>
        <w:noBreakHyphen/>
        <w:t>mice.</w:t>
      </w:r>
    </w:p>
    <w:p w:rsidR="00736BC1" w:rsidRDefault="00211ACE" w:rsidP="00736BC1">
      <w:pPr>
        <w:spacing w:line="480" w:lineRule="auto"/>
        <w:jc w:val="both"/>
        <w:rPr>
          <w:rFonts w:ascii="Arial" w:hAnsi="Arial" w:cs="Arial"/>
          <w:lang w:val="en-US"/>
        </w:rPr>
      </w:pPr>
      <w:r>
        <w:rPr>
          <w:rFonts w:ascii="Arial" w:hAnsi="Arial" w:cs="Arial"/>
          <w:noProof/>
          <w:lang w:val="en-US"/>
        </w:rPr>
        <w:lastRenderedPageBreak/>
        <w:drawing>
          <wp:inline distT="0" distB="0" distL="0" distR="0">
            <wp:extent cx="5184482" cy="5958840"/>
            <wp:effectExtent l="0" t="0" r="0" b="381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 Supplementary Figure 7.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87646" cy="5962477"/>
                    </a:xfrm>
                    <a:prstGeom prst="rect">
                      <a:avLst/>
                    </a:prstGeom>
                  </pic:spPr>
                </pic:pic>
              </a:graphicData>
            </a:graphic>
          </wp:inline>
        </w:drawing>
      </w:r>
    </w:p>
    <w:p w:rsidR="00211ACE" w:rsidRPr="00E41605" w:rsidRDefault="00211ACE" w:rsidP="00736BC1">
      <w:pPr>
        <w:spacing w:line="480" w:lineRule="auto"/>
        <w:jc w:val="both"/>
        <w:rPr>
          <w:rFonts w:ascii="Arial" w:hAnsi="Arial" w:cs="Arial"/>
          <w:color w:val="FF0000"/>
          <w:lang w:val="en-US"/>
        </w:rPr>
      </w:pPr>
      <w:r w:rsidRPr="00F61859">
        <w:rPr>
          <w:rFonts w:ascii="Arial" w:hAnsi="Arial" w:cs="Arial"/>
          <w:b/>
          <w:color w:val="FF0000"/>
          <w:lang w:val="en-US"/>
        </w:rPr>
        <w:t>Supplementary Fig. 7</w:t>
      </w:r>
      <w:r w:rsidRPr="00F61859">
        <w:rPr>
          <w:rFonts w:ascii="Arial" w:hAnsi="Arial" w:cs="Arial"/>
          <w:color w:val="FF0000"/>
          <w:lang w:val="en-US"/>
        </w:rPr>
        <w:t xml:space="preserve"> </w:t>
      </w:r>
      <w:r w:rsidR="006C3B46">
        <w:rPr>
          <w:rFonts w:ascii="Arial" w:hAnsi="Arial" w:cs="Arial"/>
          <w:color w:val="FF0000"/>
          <w:lang w:val="en-US"/>
        </w:rPr>
        <w:t xml:space="preserve">Expression signature of astrocytes in prion diseases </w:t>
      </w:r>
      <w:r w:rsidR="00116BA5">
        <w:rPr>
          <w:rFonts w:ascii="Arial" w:hAnsi="Arial" w:cs="Arial"/>
          <w:color w:val="FF0000"/>
          <w:lang w:val="en-US"/>
        </w:rPr>
        <w:t>is</w:t>
      </w:r>
      <w:r w:rsidR="006C3B46">
        <w:rPr>
          <w:rFonts w:ascii="Arial" w:hAnsi="Arial" w:cs="Arial"/>
          <w:color w:val="FF0000"/>
          <w:lang w:val="en-US"/>
        </w:rPr>
        <w:t xml:space="preserve"> characterized by a specific </w:t>
      </w:r>
      <w:r w:rsidR="00116BA5">
        <w:rPr>
          <w:rFonts w:ascii="Arial" w:hAnsi="Arial" w:cs="Arial"/>
          <w:color w:val="FF0000"/>
          <w:lang w:val="en-US"/>
        </w:rPr>
        <w:t xml:space="preserve">mixed activation type with </w:t>
      </w:r>
      <w:r w:rsidR="00116BA5" w:rsidRPr="005C7DF1">
        <w:rPr>
          <w:rFonts w:ascii="Arial" w:hAnsi="Arial" w:cs="Arial"/>
          <w:color w:val="FF0000"/>
          <w:lang w:val="en-US"/>
        </w:rPr>
        <w:t>PAN reactive</w:t>
      </w:r>
      <w:r w:rsidR="00116BA5">
        <w:rPr>
          <w:rFonts w:ascii="Arial" w:hAnsi="Arial" w:cs="Arial"/>
          <w:color w:val="FF0000"/>
          <w:lang w:val="en-US"/>
        </w:rPr>
        <w:t>,</w:t>
      </w:r>
      <w:r w:rsidR="00116BA5" w:rsidRPr="005C7DF1">
        <w:rPr>
          <w:rFonts w:ascii="Arial" w:hAnsi="Arial" w:cs="Arial"/>
          <w:color w:val="FF0000"/>
          <w:lang w:val="en-US"/>
        </w:rPr>
        <w:t xml:space="preserve"> </w:t>
      </w:r>
      <w:r w:rsidR="00D965BE">
        <w:rPr>
          <w:rFonts w:ascii="Arial" w:hAnsi="Arial" w:cs="Arial"/>
          <w:color w:val="FF0000"/>
          <w:lang w:val="en-US"/>
        </w:rPr>
        <w:t>A1-specific, and</w:t>
      </w:r>
      <w:r w:rsidR="00116BA5" w:rsidRPr="005C7DF1">
        <w:rPr>
          <w:rFonts w:ascii="Arial" w:hAnsi="Arial" w:cs="Arial"/>
          <w:color w:val="FF0000"/>
          <w:lang w:val="en-US"/>
        </w:rPr>
        <w:t xml:space="preserve"> </w:t>
      </w:r>
      <w:r w:rsidR="00116BA5">
        <w:rPr>
          <w:rFonts w:ascii="Arial" w:hAnsi="Arial" w:cs="Arial"/>
          <w:color w:val="FF0000"/>
          <w:lang w:val="en-US"/>
        </w:rPr>
        <w:t>A2-specific</w:t>
      </w:r>
      <w:r w:rsidR="00116BA5" w:rsidRPr="005C7DF1">
        <w:rPr>
          <w:rFonts w:ascii="Arial" w:hAnsi="Arial" w:cs="Arial"/>
          <w:color w:val="FF0000"/>
          <w:lang w:val="en-US"/>
        </w:rPr>
        <w:t xml:space="preserve"> g</w:t>
      </w:r>
      <w:r w:rsidR="00116BA5">
        <w:rPr>
          <w:rFonts w:ascii="Arial" w:hAnsi="Arial" w:cs="Arial"/>
          <w:color w:val="FF0000"/>
          <w:lang w:val="en-US"/>
        </w:rPr>
        <w:t>ene activation.</w:t>
      </w:r>
      <w:r w:rsidR="005C7DF1">
        <w:rPr>
          <w:rFonts w:ascii="Arial" w:hAnsi="Arial" w:cs="Arial"/>
          <w:color w:val="FF0000"/>
          <w:lang w:val="en-US"/>
        </w:rPr>
        <w:t xml:space="preserve"> </w:t>
      </w:r>
      <w:proofErr w:type="gramStart"/>
      <w:r w:rsidR="005C7DF1" w:rsidRPr="005C7DF1">
        <w:rPr>
          <w:rFonts w:ascii="Arial" w:hAnsi="Arial" w:cs="Arial"/>
          <w:b/>
          <w:color w:val="FF0000"/>
          <w:lang w:val="en-US"/>
        </w:rPr>
        <w:t>a</w:t>
      </w:r>
      <w:proofErr w:type="gramEnd"/>
      <w:r w:rsidR="005C7DF1">
        <w:rPr>
          <w:rFonts w:ascii="Arial" w:hAnsi="Arial" w:cs="Arial"/>
          <w:color w:val="FF0000"/>
          <w:lang w:val="en-US"/>
        </w:rPr>
        <w:t xml:space="preserve"> Microfluidic </w:t>
      </w:r>
      <w:r w:rsidR="005C7DF1" w:rsidRPr="005C7DF1">
        <w:rPr>
          <w:rFonts w:ascii="Arial" w:hAnsi="Arial" w:cs="Arial"/>
          <w:color w:val="FF0000"/>
          <w:lang w:val="en-US"/>
        </w:rPr>
        <w:t xml:space="preserve">qPCR for activated astrocytic genes in </w:t>
      </w:r>
      <w:r w:rsidR="005C7DF1">
        <w:rPr>
          <w:rFonts w:ascii="Arial" w:hAnsi="Arial" w:cs="Arial"/>
          <w:color w:val="FF0000"/>
          <w:lang w:val="en-US"/>
        </w:rPr>
        <w:t>terminally sick</w:t>
      </w:r>
      <w:r w:rsidR="005C7DF1" w:rsidRPr="005C7DF1">
        <w:rPr>
          <w:rFonts w:ascii="Arial" w:hAnsi="Arial" w:cs="Arial"/>
          <w:color w:val="FF0000"/>
          <w:lang w:val="en-US"/>
        </w:rPr>
        <w:t xml:space="preserve"> mice </w:t>
      </w:r>
      <w:r w:rsidR="005C7DF1">
        <w:rPr>
          <w:rFonts w:ascii="Arial" w:hAnsi="Arial" w:cs="Arial"/>
          <w:color w:val="FF0000"/>
          <w:lang w:val="en-US"/>
        </w:rPr>
        <w:t>and age matched controls grouped into</w:t>
      </w:r>
      <w:r w:rsidR="005C7DF1" w:rsidRPr="005C7DF1">
        <w:rPr>
          <w:rFonts w:ascii="Arial" w:hAnsi="Arial" w:cs="Arial"/>
          <w:color w:val="FF0000"/>
          <w:lang w:val="en-US"/>
        </w:rPr>
        <w:t>.</w:t>
      </w:r>
      <w:r w:rsidR="005C7DF1">
        <w:rPr>
          <w:rFonts w:ascii="Arial" w:hAnsi="Arial" w:cs="Arial"/>
          <w:color w:val="FF0000"/>
          <w:lang w:val="en-US"/>
        </w:rPr>
        <w:t xml:space="preserve"> </w:t>
      </w:r>
      <w:proofErr w:type="gramStart"/>
      <w:r w:rsidR="005C7DF1" w:rsidRPr="005C7DF1">
        <w:rPr>
          <w:rFonts w:ascii="Arial" w:hAnsi="Arial" w:cs="Arial"/>
          <w:b/>
          <w:color w:val="FF0000"/>
          <w:lang w:val="en-US"/>
        </w:rPr>
        <w:t>b</w:t>
      </w:r>
      <w:proofErr w:type="gramEnd"/>
      <w:r w:rsidR="005C7DF1">
        <w:rPr>
          <w:rFonts w:ascii="Arial" w:hAnsi="Arial" w:cs="Arial"/>
          <w:color w:val="FF0000"/>
          <w:lang w:val="en-US"/>
        </w:rPr>
        <w:t xml:space="preserve"> </w:t>
      </w:r>
      <w:proofErr w:type="spellStart"/>
      <w:r w:rsidR="005C7DF1">
        <w:rPr>
          <w:rFonts w:ascii="Arial" w:hAnsi="Arial" w:cs="Arial"/>
          <w:color w:val="FF0000"/>
          <w:lang w:val="en-US"/>
        </w:rPr>
        <w:t>Nanostring</w:t>
      </w:r>
      <w:proofErr w:type="spellEnd"/>
      <w:r w:rsidR="005C7DF1">
        <w:rPr>
          <w:rFonts w:ascii="Arial" w:hAnsi="Arial" w:cs="Arial"/>
          <w:color w:val="FF0000"/>
          <w:lang w:val="en-US"/>
        </w:rPr>
        <w:t xml:space="preserve"> </w:t>
      </w:r>
      <w:proofErr w:type="spellStart"/>
      <w:r w:rsidR="005C7DF1">
        <w:rPr>
          <w:rFonts w:ascii="Arial" w:hAnsi="Arial" w:cs="Arial"/>
          <w:color w:val="FF0000"/>
          <w:lang w:val="en-US"/>
        </w:rPr>
        <w:t>nCounter</w:t>
      </w:r>
      <w:proofErr w:type="spellEnd"/>
      <w:r w:rsidR="005C7DF1">
        <w:rPr>
          <w:rFonts w:ascii="Arial" w:hAnsi="Arial" w:cs="Arial"/>
          <w:color w:val="FF0000"/>
          <w:lang w:val="en-US"/>
        </w:rPr>
        <w:t xml:space="preserve"> analysis</w:t>
      </w:r>
      <w:r w:rsidR="005C7DF1" w:rsidRPr="005C7DF1">
        <w:rPr>
          <w:rFonts w:ascii="Arial" w:hAnsi="Arial" w:cs="Arial"/>
          <w:color w:val="FF0000"/>
          <w:lang w:val="en-US"/>
        </w:rPr>
        <w:t xml:space="preserve"> for activated astrocytic genes in </w:t>
      </w:r>
      <w:r w:rsidR="005C7DF1">
        <w:rPr>
          <w:rFonts w:ascii="Arial" w:hAnsi="Arial" w:cs="Arial"/>
          <w:color w:val="FF0000"/>
          <w:lang w:val="en-US"/>
        </w:rPr>
        <w:t>terminally sick</w:t>
      </w:r>
      <w:r w:rsidR="005C7DF1" w:rsidRPr="005C7DF1">
        <w:rPr>
          <w:rFonts w:ascii="Arial" w:hAnsi="Arial" w:cs="Arial"/>
          <w:color w:val="FF0000"/>
          <w:lang w:val="en-US"/>
        </w:rPr>
        <w:t xml:space="preserve"> mice </w:t>
      </w:r>
      <w:r w:rsidR="005C7DF1">
        <w:rPr>
          <w:rFonts w:ascii="Arial" w:hAnsi="Arial" w:cs="Arial"/>
          <w:color w:val="FF0000"/>
          <w:lang w:val="en-US"/>
        </w:rPr>
        <w:t>and age matched controls grouped into</w:t>
      </w:r>
      <w:r w:rsidR="005C7DF1" w:rsidRPr="005C7DF1">
        <w:rPr>
          <w:rFonts w:ascii="Arial" w:hAnsi="Arial" w:cs="Arial"/>
          <w:color w:val="FF0000"/>
          <w:lang w:val="en-US"/>
        </w:rPr>
        <w:t xml:space="preserve"> PAN reactive</w:t>
      </w:r>
      <w:r w:rsidR="005C7DF1">
        <w:rPr>
          <w:rFonts w:ascii="Arial" w:hAnsi="Arial" w:cs="Arial"/>
          <w:color w:val="FF0000"/>
          <w:lang w:val="en-US"/>
        </w:rPr>
        <w:t>,</w:t>
      </w:r>
      <w:r w:rsidR="005C7DF1" w:rsidRPr="005C7DF1">
        <w:rPr>
          <w:rFonts w:ascii="Arial" w:hAnsi="Arial" w:cs="Arial"/>
          <w:color w:val="FF0000"/>
          <w:lang w:val="en-US"/>
        </w:rPr>
        <w:t xml:space="preserve"> </w:t>
      </w:r>
      <w:r w:rsidR="005C7DF1">
        <w:rPr>
          <w:rFonts w:ascii="Arial" w:hAnsi="Arial" w:cs="Arial"/>
          <w:color w:val="FF0000"/>
          <w:lang w:val="en-US"/>
        </w:rPr>
        <w:t xml:space="preserve">A1-specific, and </w:t>
      </w:r>
      <w:r w:rsidR="005C7DF1" w:rsidRPr="005C7DF1">
        <w:rPr>
          <w:rFonts w:ascii="Arial" w:hAnsi="Arial" w:cs="Arial"/>
          <w:color w:val="FF0000"/>
          <w:lang w:val="en-US"/>
        </w:rPr>
        <w:t xml:space="preserve"> </w:t>
      </w:r>
      <w:r w:rsidR="005C7DF1">
        <w:rPr>
          <w:rFonts w:ascii="Arial" w:hAnsi="Arial" w:cs="Arial"/>
          <w:color w:val="FF0000"/>
          <w:lang w:val="en-US"/>
        </w:rPr>
        <w:t>A2-specific</w:t>
      </w:r>
      <w:r w:rsidR="005C7DF1" w:rsidRPr="005C7DF1">
        <w:rPr>
          <w:rFonts w:ascii="Arial" w:hAnsi="Arial" w:cs="Arial"/>
          <w:color w:val="FF0000"/>
          <w:lang w:val="en-US"/>
        </w:rPr>
        <w:t xml:space="preserve"> g</w:t>
      </w:r>
      <w:r w:rsidR="005C7DF1">
        <w:rPr>
          <w:rFonts w:ascii="Arial" w:hAnsi="Arial" w:cs="Arial"/>
          <w:color w:val="FF0000"/>
          <w:lang w:val="en-US"/>
        </w:rPr>
        <w:t>enes</w:t>
      </w:r>
      <w:r w:rsidR="005C7DF1" w:rsidRPr="005C7DF1">
        <w:rPr>
          <w:rFonts w:ascii="Arial" w:hAnsi="Arial" w:cs="Arial"/>
          <w:color w:val="FF0000"/>
          <w:lang w:val="en-US"/>
        </w:rPr>
        <w:t>.</w:t>
      </w:r>
      <w:r w:rsidR="005C7DF1">
        <w:rPr>
          <w:rFonts w:ascii="Arial" w:hAnsi="Arial" w:cs="Arial"/>
          <w:color w:val="FF0000"/>
          <w:lang w:val="en-US"/>
        </w:rPr>
        <w:t xml:space="preserve"> </w:t>
      </w:r>
      <w:proofErr w:type="gramStart"/>
      <w:r w:rsidR="005C7DF1" w:rsidRPr="005C7DF1">
        <w:rPr>
          <w:rFonts w:ascii="Arial" w:hAnsi="Arial" w:cs="Arial"/>
          <w:b/>
          <w:color w:val="FF0000"/>
          <w:lang w:val="en-US"/>
        </w:rPr>
        <w:t>c</w:t>
      </w:r>
      <w:proofErr w:type="gramEnd"/>
      <w:r w:rsidR="005C7DF1">
        <w:rPr>
          <w:rFonts w:ascii="Arial" w:hAnsi="Arial" w:cs="Arial"/>
          <w:color w:val="FF0000"/>
          <w:lang w:val="en-US"/>
        </w:rPr>
        <w:t xml:space="preserve"> </w:t>
      </w:r>
      <w:proofErr w:type="spellStart"/>
      <w:r w:rsidR="00D90801">
        <w:rPr>
          <w:rFonts w:ascii="Arial" w:hAnsi="Arial" w:cs="Arial"/>
          <w:color w:val="FF0000"/>
          <w:lang w:val="en-US"/>
        </w:rPr>
        <w:t>Heatmap</w:t>
      </w:r>
      <w:proofErr w:type="spellEnd"/>
      <w:r w:rsidR="00D90801">
        <w:rPr>
          <w:rFonts w:ascii="Arial" w:hAnsi="Arial" w:cs="Arial"/>
          <w:color w:val="FF0000"/>
          <w:lang w:val="en-US"/>
        </w:rPr>
        <w:t xml:space="preserve"> of all transcripts from </w:t>
      </w:r>
      <w:proofErr w:type="spellStart"/>
      <w:r w:rsidR="00D90801">
        <w:rPr>
          <w:rFonts w:ascii="Arial" w:hAnsi="Arial" w:cs="Arial"/>
          <w:color w:val="FF0000"/>
          <w:lang w:val="en-US"/>
        </w:rPr>
        <w:t>Nanostring</w:t>
      </w:r>
      <w:proofErr w:type="spellEnd"/>
      <w:r w:rsidR="00D90801">
        <w:rPr>
          <w:rFonts w:ascii="Arial" w:hAnsi="Arial" w:cs="Arial"/>
          <w:color w:val="FF0000"/>
          <w:lang w:val="en-US"/>
        </w:rPr>
        <w:t xml:space="preserve"> encounter expression analysis. Prion infected mice distinctly separate from non-infected animals</w:t>
      </w:r>
      <w:r w:rsidR="005C7DF1">
        <w:rPr>
          <w:rFonts w:ascii="Arial" w:hAnsi="Arial" w:cs="Arial"/>
          <w:color w:val="FF0000"/>
          <w:lang w:val="en-US"/>
        </w:rPr>
        <w:t>. N=3 individual mice per group</w:t>
      </w:r>
      <w:r w:rsidR="00D90801">
        <w:rPr>
          <w:rFonts w:ascii="Arial" w:hAnsi="Arial" w:cs="Arial"/>
          <w:color w:val="FF0000"/>
          <w:lang w:val="en-US"/>
        </w:rPr>
        <w:t xml:space="preserve"> for all analyses</w:t>
      </w:r>
      <w:r w:rsidR="005C7DF1">
        <w:rPr>
          <w:rFonts w:ascii="Arial" w:hAnsi="Arial" w:cs="Arial"/>
          <w:color w:val="FF0000"/>
          <w:lang w:val="en-US"/>
        </w:rPr>
        <w:t>.</w:t>
      </w:r>
    </w:p>
    <w:p w:rsidR="00736BC1" w:rsidRDefault="00736BC1" w:rsidP="00736BC1">
      <w:pPr>
        <w:spacing w:line="480" w:lineRule="auto"/>
        <w:jc w:val="both"/>
        <w:rPr>
          <w:rFonts w:ascii="Arial" w:hAnsi="Arial" w:cs="Arial"/>
          <w:lang w:val="en-US"/>
        </w:rPr>
      </w:pPr>
      <w:r>
        <w:rPr>
          <w:rFonts w:ascii="Arial" w:hAnsi="Arial" w:cs="Arial"/>
          <w:noProof/>
          <w:lang w:val="en-US"/>
        </w:rPr>
        <w:lastRenderedPageBreak/>
        <w:drawing>
          <wp:inline distT="0" distB="0" distL="0" distR="0" wp14:anchorId="4AE92B68" wp14:editId="6E330A6C">
            <wp:extent cx="2910840" cy="1925601"/>
            <wp:effectExtent l="0" t="0" r="381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 Figure 6.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34192" cy="1941049"/>
                    </a:xfrm>
                    <a:prstGeom prst="rect">
                      <a:avLst/>
                    </a:prstGeom>
                  </pic:spPr>
                </pic:pic>
              </a:graphicData>
            </a:graphic>
          </wp:inline>
        </w:drawing>
      </w:r>
    </w:p>
    <w:p w:rsidR="00736BC1" w:rsidRDefault="00736BC1" w:rsidP="00736BC1">
      <w:pPr>
        <w:spacing w:line="480" w:lineRule="auto"/>
        <w:jc w:val="both"/>
        <w:rPr>
          <w:rFonts w:ascii="Arial" w:hAnsi="Arial" w:cs="Arial"/>
          <w:lang w:val="en-US"/>
        </w:rPr>
      </w:pPr>
      <w:r w:rsidRPr="00211ACE">
        <w:rPr>
          <w:rFonts w:ascii="Arial" w:hAnsi="Arial" w:cs="Arial"/>
          <w:b/>
          <w:lang w:val="en-US"/>
        </w:rPr>
        <w:t xml:space="preserve">Supplementary Fig. </w:t>
      </w:r>
      <w:r w:rsidR="00211ACE" w:rsidRPr="00211ACE">
        <w:rPr>
          <w:rFonts w:ascii="Arial" w:hAnsi="Arial" w:cs="Arial"/>
          <w:b/>
          <w:lang w:val="en-US"/>
        </w:rPr>
        <w:t>8</w:t>
      </w:r>
      <w:r w:rsidRPr="00211ACE">
        <w:rPr>
          <w:rFonts w:ascii="Arial" w:hAnsi="Arial" w:cs="Arial"/>
          <w:lang w:val="en-US"/>
        </w:rPr>
        <w:t xml:space="preserve"> Degree</w:t>
      </w:r>
      <w:r>
        <w:rPr>
          <w:rFonts w:ascii="Arial" w:hAnsi="Arial" w:cs="Arial"/>
          <w:lang w:val="en-US"/>
        </w:rPr>
        <w:t xml:space="preserve"> of </w:t>
      </w:r>
      <w:proofErr w:type="spellStart"/>
      <w:r>
        <w:rPr>
          <w:rFonts w:ascii="Arial" w:hAnsi="Arial" w:cs="Arial"/>
          <w:lang w:val="en-US"/>
        </w:rPr>
        <w:t>spongiosis</w:t>
      </w:r>
      <w:proofErr w:type="spellEnd"/>
      <w:r>
        <w:rPr>
          <w:rFonts w:ascii="Arial" w:hAnsi="Arial" w:cs="Arial"/>
          <w:lang w:val="en-US"/>
        </w:rPr>
        <w:t xml:space="preserve"> is similar at preclinical time points. Semi-quantitative assessment of the </w:t>
      </w:r>
      <w:proofErr w:type="spellStart"/>
      <w:r>
        <w:rPr>
          <w:rFonts w:ascii="Arial" w:hAnsi="Arial" w:cs="Arial"/>
          <w:lang w:val="en-US"/>
        </w:rPr>
        <w:t>spongiosis</w:t>
      </w:r>
      <w:proofErr w:type="spellEnd"/>
      <w:r>
        <w:rPr>
          <w:rFonts w:ascii="Arial" w:hAnsi="Arial" w:cs="Arial"/>
          <w:lang w:val="en-US"/>
        </w:rPr>
        <w:t xml:space="preserve"> score in cortex, hippocampus, thalamus, and cerebellum at </w:t>
      </w:r>
      <w:r w:rsidRPr="00A536FB">
        <w:rPr>
          <w:rFonts w:ascii="Arial" w:hAnsi="Arial" w:cs="Arial"/>
          <w:b/>
          <w:lang w:val="en-US"/>
        </w:rPr>
        <w:t>a</w:t>
      </w:r>
      <w:r>
        <w:rPr>
          <w:rFonts w:ascii="Arial" w:hAnsi="Arial" w:cs="Arial"/>
          <w:lang w:val="en-US"/>
        </w:rPr>
        <w:t xml:space="preserve"> preclinical day 80 or </w:t>
      </w:r>
      <w:r w:rsidRPr="00A536FB">
        <w:rPr>
          <w:rFonts w:ascii="Arial" w:hAnsi="Arial" w:cs="Arial"/>
          <w:b/>
          <w:lang w:val="en-US"/>
        </w:rPr>
        <w:t>b</w:t>
      </w:r>
      <w:r>
        <w:rPr>
          <w:rFonts w:ascii="Arial" w:hAnsi="Arial" w:cs="Arial"/>
          <w:lang w:val="en-US"/>
        </w:rPr>
        <w:t xml:space="preserve"> day 110 was plotted as cumulative value. Although there was a trend towards more </w:t>
      </w:r>
      <w:proofErr w:type="spellStart"/>
      <w:r>
        <w:rPr>
          <w:rFonts w:ascii="Arial" w:hAnsi="Arial" w:cs="Arial"/>
          <w:lang w:val="en-US"/>
        </w:rPr>
        <w:t>spongiosis</w:t>
      </w:r>
      <w:proofErr w:type="spellEnd"/>
      <w:r>
        <w:rPr>
          <w:rFonts w:ascii="Arial" w:hAnsi="Arial" w:cs="Arial"/>
          <w:lang w:val="en-US"/>
        </w:rPr>
        <w:t xml:space="preserve"> in the TKO</w:t>
      </w:r>
      <w:r>
        <w:rPr>
          <w:rFonts w:ascii="Arial" w:hAnsi="Arial" w:cs="Arial"/>
          <w:lang w:val="en-US"/>
        </w:rPr>
        <w:noBreakHyphen/>
        <w:t>mice (TNF</w:t>
      </w:r>
      <w:r>
        <w:rPr>
          <w:rFonts w:ascii="Arial" w:hAnsi="Arial" w:cs="Arial"/>
          <w:lang w:val="en-US"/>
        </w:rPr>
        <w:noBreakHyphen/>
      </w:r>
      <w:r w:rsidRPr="0079200D">
        <w:rPr>
          <w:rFonts w:ascii="Symbol" w:hAnsi="Symbol" w:cs="Arial"/>
          <w:lang w:val="en-US"/>
        </w:rPr>
        <w:t></w:t>
      </w:r>
      <w:r>
        <w:rPr>
          <w:rFonts w:ascii="Arial" w:hAnsi="Arial" w:cs="Arial"/>
          <w:lang w:val="en-US"/>
        </w:rPr>
        <w:t>, IL</w:t>
      </w:r>
      <w:r>
        <w:rPr>
          <w:rFonts w:ascii="Arial" w:hAnsi="Arial" w:cs="Arial"/>
          <w:lang w:val="en-US"/>
        </w:rPr>
        <w:noBreakHyphen/>
        <w:t>1</w:t>
      </w:r>
      <w:r w:rsidRPr="0079200D">
        <w:rPr>
          <w:rFonts w:ascii="Symbol" w:hAnsi="Symbol" w:cs="Arial"/>
          <w:lang w:val="en-US"/>
        </w:rPr>
        <w:t></w:t>
      </w:r>
      <w:r>
        <w:rPr>
          <w:rFonts w:ascii="Arial" w:hAnsi="Arial" w:cs="Arial"/>
          <w:lang w:val="en-US"/>
        </w:rPr>
        <w:t>, and C1qa Triple-KO mice), it was not significant (day 80 p=0.1901; day 110 p=0.2708).</w:t>
      </w:r>
    </w:p>
    <w:p w:rsidR="00736BC1" w:rsidRDefault="00736BC1" w:rsidP="00736BC1">
      <w:pPr>
        <w:spacing w:line="480" w:lineRule="auto"/>
        <w:jc w:val="both"/>
        <w:rPr>
          <w:rFonts w:ascii="Arial" w:hAnsi="Arial" w:cs="Arial"/>
          <w:lang w:val="en-US"/>
        </w:rPr>
      </w:pPr>
      <w:r>
        <w:rPr>
          <w:rFonts w:ascii="Arial" w:hAnsi="Arial" w:cs="Arial"/>
          <w:noProof/>
          <w:lang w:val="en-US"/>
        </w:rPr>
        <w:drawing>
          <wp:inline distT="0" distB="0" distL="0" distR="0" wp14:anchorId="3723C2AD" wp14:editId="71F040FC">
            <wp:extent cx="5760720" cy="2281555"/>
            <wp:effectExtent l="0" t="0" r="0" b="444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 Figure 7.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2281555"/>
                    </a:xfrm>
                    <a:prstGeom prst="rect">
                      <a:avLst/>
                    </a:prstGeom>
                  </pic:spPr>
                </pic:pic>
              </a:graphicData>
            </a:graphic>
          </wp:inline>
        </w:drawing>
      </w:r>
    </w:p>
    <w:p w:rsidR="001860B8" w:rsidRDefault="00736BC1" w:rsidP="00536929">
      <w:pPr>
        <w:spacing w:line="480" w:lineRule="auto"/>
        <w:jc w:val="both"/>
        <w:rPr>
          <w:rFonts w:ascii="Arial" w:hAnsi="Arial" w:cs="Arial"/>
          <w:lang w:val="en-US"/>
        </w:rPr>
      </w:pPr>
      <w:r w:rsidRPr="00211ACE">
        <w:rPr>
          <w:rFonts w:ascii="Arial" w:hAnsi="Arial" w:cs="Arial"/>
          <w:b/>
          <w:lang w:val="en-US"/>
        </w:rPr>
        <w:t xml:space="preserve">Supplementary Fig. </w:t>
      </w:r>
      <w:r w:rsidR="00211ACE" w:rsidRPr="00211ACE">
        <w:rPr>
          <w:rFonts w:ascii="Arial" w:hAnsi="Arial" w:cs="Arial"/>
          <w:b/>
          <w:lang w:val="en-US"/>
        </w:rPr>
        <w:t>9</w:t>
      </w:r>
      <w:r w:rsidRPr="00211ACE">
        <w:rPr>
          <w:rFonts w:ascii="Arial" w:hAnsi="Arial" w:cs="Arial"/>
          <w:lang w:val="en-US"/>
        </w:rPr>
        <w:t xml:space="preserve"> Quantification</w:t>
      </w:r>
      <w:r>
        <w:rPr>
          <w:rFonts w:ascii="Arial" w:hAnsi="Arial" w:cs="Arial"/>
          <w:lang w:val="en-US"/>
        </w:rPr>
        <w:t xml:space="preserve"> of positive particle count of GFAP, Iba1, P2ry12, and TMEM119 staining on brain sections at 80 days post infection (Figure 6).  While GFAP and Iba1 counts are unchanged between prion infected TKO- (TNF</w:t>
      </w:r>
      <w:r>
        <w:rPr>
          <w:rFonts w:ascii="Arial" w:hAnsi="Arial" w:cs="Arial"/>
          <w:lang w:val="en-US"/>
        </w:rPr>
        <w:noBreakHyphen/>
      </w:r>
      <w:r w:rsidRPr="0079200D">
        <w:rPr>
          <w:rFonts w:ascii="Symbol" w:hAnsi="Symbol" w:cs="Arial"/>
          <w:lang w:val="en-US"/>
        </w:rPr>
        <w:t></w:t>
      </w:r>
      <w:r>
        <w:rPr>
          <w:rFonts w:ascii="Arial" w:hAnsi="Arial" w:cs="Arial"/>
          <w:lang w:val="en-US"/>
        </w:rPr>
        <w:t>, IL</w:t>
      </w:r>
      <w:r>
        <w:rPr>
          <w:rFonts w:ascii="Arial" w:hAnsi="Arial" w:cs="Arial"/>
          <w:lang w:val="en-US"/>
        </w:rPr>
        <w:noBreakHyphen/>
        <w:t>1</w:t>
      </w:r>
      <w:r w:rsidRPr="0079200D">
        <w:rPr>
          <w:rFonts w:ascii="Symbol" w:hAnsi="Symbol" w:cs="Arial"/>
          <w:lang w:val="en-US"/>
        </w:rPr>
        <w:t></w:t>
      </w:r>
      <w:r>
        <w:rPr>
          <w:rFonts w:ascii="Arial" w:hAnsi="Arial" w:cs="Arial"/>
          <w:lang w:val="en-US"/>
        </w:rPr>
        <w:t>, and C1qa Triple-KO mice) and WT-mice, both are significantly upregulated compared to uninfected control (GFAP p&lt;0.0001; Iba1 p=0.0044). In contrast, particle counts of P2ry12</w:t>
      </w:r>
      <w:r w:rsidRPr="005B5722">
        <w:rPr>
          <w:rFonts w:ascii="Arial" w:hAnsi="Arial" w:cs="Arial"/>
          <w:vertAlign w:val="superscript"/>
          <w:lang w:val="en-US"/>
        </w:rPr>
        <w:t>+</w:t>
      </w:r>
      <w:r>
        <w:rPr>
          <w:rFonts w:ascii="Arial" w:hAnsi="Arial" w:cs="Arial"/>
          <w:lang w:val="en-US"/>
        </w:rPr>
        <w:t xml:space="preserve"> and TMEM119</w:t>
      </w:r>
      <w:r w:rsidRPr="005B5722">
        <w:rPr>
          <w:rFonts w:ascii="Arial" w:hAnsi="Arial" w:cs="Arial"/>
          <w:vertAlign w:val="superscript"/>
          <w:lang w:val="en-US"/>
        </w:rPr>
        <w:t>+</w:t>
      </w:r>
      <w:r>
        <w:rPr>
          <w:rFonts w:ascii="Arial" w:hAnsi="Arial" w:cs="Arial"/>
          <w:lang w:val="en-US"/>
        </w:rPr>
        <w:t xml:space="preserve">-stained microglia are significantly dysregulated in prion infected TKO-mice only (P2ry12 p=0.0019; TMEM119 p=0.0362). </w:t>
      </w:r>
      <w:r w:rsidRPr="007C7A6F">
        <w:rPr>
          <w:rFonts w:ascii="Arial" w:hAnsi="Arial" w:cs="Arial"/>
          <w:lang w:val="en-US"/>
        </w:rPr>
        <w:t xml:space="preserve">Particles were included in the quantification only when their area was larger than 10 </w:t>
      </w:r>
      <w:r w:rsidRPr="007C7A6F">
        <w:rPr>
          <w:rFonts w:ascii="Symbol" w:hAnsi="Symbol" w:cs="Arial"/>
          <w:lang w:val="en-US"/>
        </w:rPr>
        <w:t></w:t>
      </w:r>
      <w:r w:rsidRPr="007C7A6F">
        <w:rPr>
          <w:rFonts w:ascii="Arial" w:hAnsi="Arial" w:cs="Arial"/>
          <w:lang w:val="en-US"/>
        </w:rPr>
        <w:t>m</w:t>
      </w:r>
      <w:r w:rsidRPr="007C7A6F">
        <w:rPr>
          <w:rFonts w:ascii="Arial" w:hAnsi="Arial" w:cs="Arial"/>
          <w:vertAlign w:val="superscript"/>
          <w:lang w:val="en-US"/>
        </w:rPr>
        <w:t>2</w:t>
      </w:r>
      <w:r w:rsidRPr="007C7A6F">
        <w:rPr>
          <w:rFonts w:ascii="Arial" w:hAnsi="Arial" w:cs="Arial"/>
          <w:lang w:val="en-US"/>
        </w:rPr>
        <w:t>.</w:t>
      </w:r>
      <w:r>
        <w:rPr>
          <w:rFonts w:ascii="Arial" w:hAnsi="Arial" w:cs="Arial"/>
          <w:lang w:val="en-US"/>
        </w:rPr>
        <w:t xml:space="preserve"> </w:t>
      </w:r>
    </w:p>
    <w:tbl>
      <w:tblPr>
        <w:tblStyle w:val="TableGrid"/>
        <w:tblW w:w="0" w:type="auto"/>
        <w:tblLook w:val="04A0" w:firstRow="1" w:lastRow="0" w:firstColumn="1" w:lastColumn="0" w:noHBand="0" w:noVBand="1"/>
      </w:tblPr>
      <w:tblGrid>
        <w:gridCol w:w="1271"/>
        <w:gridCol w:w="5245"/>
        <w:gridCol w:w="2546"/>
      </w:tblGrid>
      <w:tr w:rsidR="006E1CCD" w:rsidRPr="00084F48" w:rsidTr="007B229D">
        <w:trPr>
          <w:trHeight w:val="699"/>
        </w:trPr>
        <w:tc>
          <w:tcPr>
            <w:tcW w:w="1271" w:type="dxa"/>
          </w:tcPr>
          <w:p w:rsidR="006E1CCD" w:rsidRPr="00084F48" w:rsidRDefault="006E1CCD" w:rsidP="007B229D">
            <w:pPr>
              <w:spacing w:line="480" w:lineRule="auto"/>
              <w:jc w:val="both"/>
              <w:rPr>
                <w:rFonts w:ascii="Arial" w:hAnsi="Arial" w:cs="Arial"/>
                <w:color w:val="FF0000"/>
                <w:lang w:val="en-US"/>
              </w:rPr>
            </w:pPr>
          </w:p>
        </w:tc>
        <w:tc>
          <w:tcPr>
            <w:tcW w:w="5245" w:type="dxa"/>
            <w:vAlign w:val="bottom"/>
          </w:tcPr>
          <w:p w:rsidR="006E1CCD" w:rsidRPr="00084F48" w:rsidRDefault="006E1CCD" w:rsidP="007B229D">
            <w:pPr>
              <w:spacing w:line="480" w:lineRule="auto"/>
              <w:jc w:val="center"/>
              <w:rPr>
                <w:rFonts w:ascii="Arial" w:hAnsi="Arial" w:cs="Arial"/>
                <w:b/>
                <w:color w:val="FF0000"/>
                <w:lang w:val="en-US"/>
              </w:rPr>
            </w:pPr>
            <w:r w:rsidRPr="00084F48">
              <w:rPr>
                <w:rFonts w:ascii="Arial" w:hAnsi="Arial" w:cs="Arial"/>
                <w:b/>
                <w:color w:val="FF0000"/>
                <w:lang w:val="en-US"/>
              </w:rPr>
              <w:t>Individual incubation times</w:t>
            </w:r>
          </w:p>
        </w:tc>
        <w:tc>
          <w:tcPr>
            <w:tcW w:w="2546" w:type="dxa"/>
            <w:vAlign w:val="bottom"/>
          </w:tcPr>
          <w:p w:rsidR="006E1CCD" w:rsidRPr="00084F48" w:rsidRDefault="006E1CCD" w:rsidP="007B229D">
            <w:pPr>
              <w:spacing w:line="480" w:lineRule="auto"/>
              <w:jc w:val="center"/>
              <w:rPr>
                <w:rFonts w:ascii="Arial" w:hAnsi="Arial" w:cs="Arial"/>
                <w:b/>
                <w:color w:val="FF0000"/>
                <w:lang w:val="en-US"/>
              </w:rPr>
            </w:pPr>
            <w:r w:rsidRPr="00084F48">
              <w:rPr>
                <w:rFonts w:ascii="Arial" w:hAnsi="Arial" w:cs="Arial"/>
                <w:b/>
                <w:color w:val="FF0000"/>
                <w:lang w:val="en-US"/>
              </w:rPr>
              <w:t>Mean incubation time</w:t>
            </w:r>
          </w:p>
        </w:tc>
      </w:tr>
      <w:tr w:rsidR="006E1CCD" w:rsidRPr="00084F48" w:rsidTr="007B229D">
        <w:trPr>
          <w:trHeight w:val="704"/>
        </w:trPr>
        <w:tc>
          <w:tcPr>
            <w:tcW w:w="1271" w:type="dxa"/>
            <w:vAlign w:val="bottom"/>
          </w:tcPr>
          <w:p w:rsidR="006E1CCD" w:rsidRPr="00084F48" w:rsidRDefault="006E1CCD" w:rsidP="007B229D">
            <w:pPr>
              <w:spacing w:line="480" w:lineRule="auto"/>
              <w:jc w:val="center"/>
              <w:rPr>
                <w:rFonts w:ascii="Arial" w:hAnsi="Arial" w:cs="Arial"/>
                <w:b/>
                <w:color w:val="FF0000"/>
                <w:lang w:val="en-US"/>
              </w:rPr>
            </w:pPr>
            <w:r w:rsidRPr="00084F48">
              <w:rPr>
                <w:rFonts w:ascii="Arial" w:hAnsi="Arial" w:cs="Arial"/>
                <w:b/>
                <w:color w:val="FF0000"/>
                <w:lang w:val="en-US"/>
              </w:rPr>
              <w:t>WT-mice</w:t>
            </w:r>
          </w:p>
        </w:tc>
        <w:tc>
          <w:tcPr>
            <w:tcW w:w="5245" w:type="dxa"/>
            <w:vAlign w:val="bottom"/>
          </w:tcPr>
          <w:p w:rsidR="006E1CCD" w:rsidRPr="00084F48" w:rsidRDefault="006E1CCD" w:rsidP="007B229D">
            <w:pPr>
              <w:spacing w:line="480" w:lineRule="auto"/>
              <w:jc w:val="center"/>
              <w:rPr>
                <w:rFonts w:ascii="Arial" w:hAnsi="Arial" w:cs="Arial"/>
                <w:color w:val="FF0000"/>
                <w:lang w:val="en-US"/>
              </w:rPr>
            </w:pPr>
            <w:r w:rsidRPr="00084F48">
              <w:rPr>
                <w:rFonts w:ascii="Arial" w:hAnsi="Arial" w:cs="Arial"/>
                <w:color w:val="FF0000"/>
                <w:lang w:val="en-US"/>
              </w:rPr>
              <w:t>142, 143, 144, 146, 147, 147, 148, 159</w:t>
            </w:r>
          </w:p>
        </w:tc>
        <w:tc>
          <w:tcPr>
            <w:tcW w:w="2546" w:type="dxa"/>
            <w:vAlign w:val="bottom"/>
          </w:tcPr>
          <w:p w:rsidR="006E1CCD" w:rsidRPr="00084F48" w:rsidRDefault="006E1CCD" w:rsidP="007B229D">
            <w:pPr>
              <w:spacing w:line="480" w:lineRule="auto"/>
              <w:jc w:val="center"/>
              <w:rPr>
                <w:rFonts w:ascii="Arial" w:hAnsi="Arial" w:cs="Arial"/>
                <w:color w:val="FF0000"/>
                <w:lang w:val="en-US"/>
              </w:rPr>
            </w:pPr>
            <w:r w:rsidRPr="00084F48">
              <w:rPr>
                <w:rFonts w:ascii="Arial" w:hAnsi="Arial" w:cs="Arial"/>
                <w:color w:val="FF0000"/>
                <w:lang w:val="en-US"/>
              </w:rPr>
              <w:t>145.9 +/- 2.7</w:t>
            </w:r>
          </w:p>
        </w:tc>
      </w:tr>
      <w:tr w:rsidR="006E1CCD" w:rsidRPr="00084F48" w:rsidTr="007B229D">
        <w:trPr>
          <w:trHeight w:val="828"/>
        </w:trPr>
        <w:tc>
          <w:tcPr>
            <w:tcW w:w="1271" w:type="dxa"/>
            <w:vAlign w:val="bottom"/>
          </w:tcPr>
          <w:p w:rsidR="006E1CCD" w:rsidRPr="00084F48" w:rsidRDefault="006E1CCD" w:rsidP="007B229D">
            <w:pPr>
              <w:spacing w:line="480" w:lineRule="auto"/>
              <w:jc w:val="center"/>
              <w:rPr>
                <w:rFonts w:ascii="Arial" w:hAnsi="Arial" w:cs="Arial"/>
                <w:b/>
                <w:color w:val="FF0000"/>
                <w:lang w:val="en-US"/>
              </w:rPr>
            </w:pPr>
            <w:r w:rsidRPr="00084F48">
              <w:rPr>
                <w:rFonts w:ascii="Arial" w:hAnsi="Arial" w:cs="Arial"/>
                <w:b/>
                <w:color w:val="FF0000"/>
                <w:lang w:val="en-US"/>
              </w:rPr>
              <w:t>TKO-mice</w:t>
            </w:r>
          </w:p>
        </w:tc>
        <w:tc>
          <w:tcPr>
            <w:tcW w:w="5245" w:type="dxa"/>
            <w:vAlign w:val="bottom"/>
          </w:tcPr>
          <w:p w:rsidR="006E1CCD" w:rsidRPr="00084F48" w:rsidRDefault="006E1CCD" w:rsidP="007B229D">
            <w:pPr>
              <w:spacing w:line="480" w:lineRule="auto"/>
              <w:jc w:val="center"/>
              <w:rPr>
                <w:rFonts w:ascii="Arial" w:hAnsi="Arial" w:cs="Arial"/>
                <w:color w:val="FF0000"/>
                <w:lang w:val="en-US"/>
              </w:rPr>
            </w:pPr>
            <w:r w:rsidRPr="00084F48">
              <w:rPr>
                <w:rFonts w:ascii="Arial" w:hAnsi="Arial" w:cs="Arial"/>
                <w:color w:val="FF0000"/>
                <w:lang w:val="en-US"/>
              </w:rPr>
              <w:t>121, 127, 128, 129, 131, 131, 133, 135, 136, 137</w:t>
            </w:r>
          </w:p>
        </w:tc>
        <w:tc>
          <w:tcPr>
            <w:tcW w:w="2546" w:type="dxa"/>
            <w:vAlign w:val="bottom"/>
          </w:tcPr>
          <w:p w:rsidR="006E1CCD" w:rsidRPr="00084F48" w:rsidRDefault="006E1CCD" w:rsidP="007B229D">
            <w:pPr>
              <w:spacing w:line="480" w:lineRule="auto"/>
              <w:jc w:val="center"/>
              <w:rPr>
                <w:rFonts w:ascii="Arial" w:hAnsi="Arial" w:cs="Arial"/>
                <w:color w:val="FF0000"/>
                <w:lang w:val="en-US"/>
              </w:rPr>
            </w:pPr>
            <w:r w:rsidRPr="00084F48">
              <w:rPr>
                <w:rFonts w:ascii="Arial" w:hAnsi="Arial" w:cs="Arial"/>
                <w:color w:val="FF0000"/>
                <w:lang w:val="en-US"/>
              </w:rPr>
              <w:t>130.8 +/- 4.8</w:t>
            </w:r>
          </w:p>
        </w:tc>
      </w:tr>
    </w:tbl>
    <w:p w:rsidR="006E1CCD" w:rsidRPr="00084F48" w:rsidRDefault="006E1CCD" w:rsidP="006E1CCD">
      <w:pPr>
        <w:spacing w:after="0" w:line="480" w:lineRule="auto"/>
        <w:jc w:val="both"/>
        <w:rPr>
          <w:rFonts w:ascii="Arial" w:hAnsi="Arial" w:cs="Arial"/>
          <w:color w:val="FF0000"/>
          <w:lang w:val="en-US"/>
        </w:rPr>
      </w:pPr>
    </w:p>
    <w:p w:rsidR="005F6FAF" w:rsidRPr="001E35FE" w:rsidRDefault="006E1CCD" w:rsidP="001E35FE">
      <w:pPr>
        <w:spacing w:after="0" w:line="480" w:lineRule="auto"/>
        <w:jc w:val="both"/>
        <w:rPr>
          <w:rFonts w:ascii="Arial" w:hAnsi="Arial" w:cs="Arial"/>
          <w:color w:val="FF0000"/>
          <w:lang w:val="en-US"/>
        </w:rPr>
      </w:pPr>
      <w:r w:rsidRPr="00084F48">
        <w:rPr>
          <w:rFonts w:ascii="Arial" w:hAnsi="Arial" w:cs="Arial"/>
          <w:b/>
          <w:color w:val="FF0000"/>
          <w:lang w:val="en-US"/>
        </w:rPr>
        <w:t>Supplementary Table 1:</w:t>
      </w:r>
      <w:r w:rsidRPr="00084F48">
        <w:rPr>
          <w:rFonts w:ascii="Arial" w:hAnsi="Arial" w:cs="Arial"/>
          <w:color w:val="FF0000"/>
          <w:lang w:val="en-US"/>
        </w:rPr>
        <w:t xml:space="preserve"> Individual incubation times to terminal disease</w:t>
      </w:r>
    </w:p>
    <w:sectPr w:rsidR="005F6FAF" w:rsidRPr="001E35FE">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47F" w:rsidRDefault="003E547F" w:rsidP="005B0D5A">
      <w:pPr>
        <w:spacing w:after="0" w:line="240" w:lineRule="auto"/>
      </w:pPr>
      <w:r>
        <w:separator/>
      </w:r>
    </w:p>
  </w:endnote>
  <w:endnote w:type="continuationSeparator" w:id="0">
    <w:p w:rsidR="003E547F" w:rsidRDefault="003E547F" w:rsidP="005B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Calibr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auto"/>
    <w:pitch w:val="variable"/>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231317"/>
      <w:docPartObj>
        <w:docPartGallery w:val="Page Numbers (Bottom of Page)"/>
        <w:docPartUnique/>
      </w:docPartObj>
    </w:sdtPr>
    <w:sdtEndPr/>
    <w:sdtContent>
      <w:p w:rsidR="00567436" w:rsidRDefault="00567436">
        <w:pPr>
          <w:pStyle w:val="Footer"/>
          <w:jc w:val="right"/>
        </w:pPr>
        <w:r>
          <w:fldChar w:fldCharType="begin"/>
        </w:r>
        <w:r>
          <w:instrText>PAGE   \* MERGEFORMAT</w:instrText>
        </w:r>
        <w:r>
          <w:fldChar w:fldCharType="separate"/>
        </w:r>
        <w:r w:rsidR="00D30D53">
          <w:rPr>
            <w:noProof/>
          </w:rPr>
          <w:t>1</w:t>
        </w:r>
        <w:r>
          <w:fldChar w:fldCharType="end"/>
        </w:r>
      </w:p>
    </w:sdtContent>
  </w:sdt>
  <w:p w:rsidR="00567436" w:rsidRDefault="005674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47F" w:rsidRDefault="003E547F" w:rsidP="005B0D5A">
      <w:pPr>
        <w:spacing w:after="0" w:line="240" w:lineRule="auto"/>
      </w:pPr>
      <w:r>
        <w:separator/>
      </w:r>
    </w:p>
  </w:footnote>
  <w:footnote w:type="continuationSeparator" w:id="0">
    <w:p w:rsidR="003E547F" w:rsidRDefault="003E547F" w:rsidP="005B0D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Neuropathologic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99aftxrxdw0zpefvvfpvaec2trxtzpt9z0t&quot;&gt;NeurolabUKE-Saved Copy May 2016&lt;record-ids&gt;&lt;item&gt;337&lt;/item&gt;&lt;item&gt;628&lt;/item&gt;&lt;item&gt;905&lt;/item&gt;&lt;item&gt;1005&lt;/item&gt;&lt;item&gt;1538&lt;/item&gt;&lt;item&gt;2581&lt;/item&gt;&lt;item&gt;3517&lt;/item&gt;&lt;item&gt;5802&lt;/item&gt;&lt;item&gt;6172&lt;/item&gt;&lt;item&gt;9170&lt;/item&gt;&lt;item&gt;14035&lt;/item&gt;&lt;item&gt;14128&lt;/item&gt;&lt;item&gt;16563&lt;/item&gt;&lt;item&gt;16647&lt;/item&gt;&lt;item&gt;23439&lt;/item&gt;&lt;item&gt;24157&lt;/item&gt;&lt;item&gt;25852&lt;/item&gt;&lt;item&gt;25854&lt;/item&gt;&lt;item&gt;25913&lt;/item&gt;&lt;item&gt;25914&lt;/item&gt;&lt;item&gt;26070&lt;/item&gt;&lt;item&gt;26117&lt;/item&gt;&lt;item&gt;26118&lt;/item&gt;&lt;item&gt;26408&lt;/item&gt;&lt;item&gt;27770&lt;/item&gt;&lt;item&gt;27790&lt;/item&gt;&lt;item&gt;28900&lt;/item&gt;&lt;item&gt;29508&lt;/item&gt;&lt;item&gt;30019&lt;/item&gt;&lt;item&gt;30182&lt;/item&gt;&lt;item&gt;30583&lt;/item&gt;&lt;item&gt;30589&lt;/item&gt;&lt;item&gt;30601&lt;/item&gt;&lt;item&gt;31061&lt;/item&gt;&lt;item&gt;31069&lt;/item&gt;&lt;item&gt;31070&lt;/item&gt;&lt;item&gt;31243&lt;/item&gt;&lt;item&gt;31357&lt;/item&gt;&lt;item&gt;31607&lt;/item&gt;&lt;item&gt;31720&lt;/item&gt;&lt;item&gt;31721&lt;/item&gt;&lt;item&gt;31722&lt;/item&gt;&lt;item&gt;31724&lt;/item&gt;&lt;item&gt;31725&lt;/item&gt;&lt;item&gt;31726&lt;/item&gt;&lt;item&gt;31734&lt;/item&gt;&lt;item&gt;31738&lt;/item&gt;&lt;item&gt;31740&lt;/item&gt;&lt;item&gt;31754&lt;/item&gt;&lt;item&gt;31758&lt;/item&gt;&lt;item&gt;31780&lt;/item&gt;&lt;item&gt;31785&lt;/item&gt;&lt;item&gt;31786&lt;/item&gt;&lt;item&gt;31787&lt;/item&gt;&lt;item&gt;31788&lt;/item&gt;&lt;item&gt;31789&lt;/item&gt;&lt;item&gt;31792&lt;/item&gt;&lt;item&gt;31793&lt;/item&gt;&lt;item&gt;31794&lt;/item&gt;&lt;item&gt;31795&lt;/item&gt;&lt;item&gt;31797&lt;/item&gt;&lt;item&gt;31800&lt;/item&gt;&lt;item&gt;31806&lt;/item&gt;&lt;item&gt;31807&lt;/item&gt;&lt;item&gt;31809&lt;/item&gt;&lt;/record-ids&gt;&lt;/item&gt;&lt;/Libraries&gt;"/>
    <w:docVar w:name="Total_Editing_Time" w:val="0"/>
  </w:docVars>
  <w:rsids>
    <w:rsidRoot w:val="00424B21"/>
    <w:rsid w:val="00001BD0"/>
    <w:rsid w:val="00002456"/>
    <w:rsid w:val="00004C1E"/>
    <w:rsid w:val="0001116F"/>
    <w:rsid w:val="00011DDE"/>
    <w:rsid w:val="000141EB"/>
    <w:rsid w:val="00015AEA"/>
    <w:rsid w:val="00016142"/>
    <w:rsid w:val="000229E1"/>
    <w:rsid w:val="00023181"/>
    <w:rsid w:val="00031701"/>
    <w:rsid w:val="00031A9A"/>
    <w:rsid w:val="000335B3"/>
    <w:rsid w:val="000336C7"/>
    <w:rsid w:val="00033863"/>
    <w:rsid w:val="00034C10"/>
    <w:rsid w:val="00036206"/>
    <w:rsid w:val="0004696E"/>
    <w:rsid w:val="0004725E"/>
    <w:rsid w:val="000475EC"/>
    <w:rsid w:val="000478A0"/>
    <w:rsid w:val="000528E5"/>
    <w:rsid w:val="00052BF2"/>
    <w:rsid w:val="000559FC"/>
    <w:rsid w:val="00061409"/>
    <w:rsid w:val="00064244"/>
    <w:rsid w:val="00066FCF"/>
    <w:rsid w:val="000709A8"/>
    <w:rsid w:val="000714A2"/>
    <w:rsid w:val="00073A17"/>
    <w:rsid w:val="00074657"/>
    <w:rsid w:val="00075597"/>
    <w:rsid w:val="000759F6"/>
    <w:rsid w:val="00077C72"/>
    <w:rsid w:val="000803E0"/>
    <w:rsid w:val="0009484B"/>
    <w:rsid w:val="0009620C"/>
    <w:rsid w:val="000A12DC"/>
    <w:rsid w:val="000A4D25"/>
    <w:rsid w:val="000B162A"/>
    <w:rsid w:val="000B1757"/>
    <w:rsid w:val="000B2C91"/>
    <w:rsid w:val="000C116B"/>
    <w:rsid w:val="000C27B2"/>
    <w:rsid w:val="000C2ABC"/>
    <w:rsid w:val="000C59E1"/>
    <w:rsid w:val="000C6928"/>
    <w:rsid w:val="000C7BB6"/>
    <w:rsid w:val="000D22CA"/>
    <w:rsid w:val="000D2B4B"/>
    <w:rsid w:val="000D7832"/>
    <w:rsid w:val="000D7E25"/>
    <w:rsid w:val="000E1DC5"/>
    <w:rsid w:val="000E1E80"/>
    <w:rsid w:val="000E1F9B"/>
    <w:rsid w:val="000E2CBF"/>
    <w:rsid w:val="000E5098"/>
    <w:rsid w:val="000E58E5"/>
    <w:rsid w:val="000E6E74"/>
    <w:rsid w:val="00100CD5"/>
    <w:rsid w:val="00105DA7"/>
    <w:rsid w:val="001102BF"/>
    <w:rsid w:val="00112D2A"/>
    <w:rsid w:val="00114099"/>
    <w:rsid w:val="00116BA5"/>
    <w:rsid w:val="00120FAC"/>
    <w:rsid w:val="00125BA7"/>
    <w:rsid w:val="001271A7"/>
    <w:rsid w:val="0012731E"/>
    <w:rsid w:val="001339C0"/>
    <w:rsid w:val="00136EFA"/>
    <w:rsid w:val="001406F0"/>
    <w:rsid w:val="0014781D"/>
    <w:rsid w:val="00147ABC"/>
    <w:rsid w:val="001507CB"/>
    <w:rsid w:val="00151915"/>
    <w:rsid w:val="0016156A"/>
    <w:rsid w:val="001621AF"/>
    <w:rsid w:val="001634B7"/>
    <w:rsid w:val="00165752"/>
    <w:rsid w:val="0016679D"/>
    <w:rsid w:val="00167259"/>
    <w:rsid w:val="00171659"/>
    <w:rsid w:val="001800A3"/>
    <w:rsid w:val="001847F8"/>
    <w:rsid w:val="001860B8"/>
    <w:rsid w:val="00186EC2"/>
    <w:rsid w:val="00187F72"/>
    <w:rsid w:val="0019288B"/>
    <w:rsid w:val="00195CAA"/>
    <w:rsid w:val="00196225"/>
    <w:rsid w:val="001A1B60"/>
    <w:rsid w:val="001A508F"/>
    <w:rsid w:val="001A55DC"/>
    <w:rsid w:val="001B79A1"/>
    <w:rsid w:val="001C2CDC"/>
    <w:rsid w:val="001C52FC"/>
    <w:rsid w:val="001C5BDD"/>
    <w:rsid w:val="001C684C"/>
    <w:rsid w:val="001C7373"/>
    <w:rsid w:val="001D57D5"/>
    <w:rsid w:val="001E0D0F"/>
    <w:rsid w:val="001E1B9C"/>
    <w:rsid w:val="001E27F7"/>
    <w:rsid w:val="001E35FE"/>
    <w:rsid w:val="001F0424"/>
    <w:rsid w:val="001F48D4"/>
    <w:rsid w:val="001F763B"/>
    <w:rsid w:val="00200CDC"/>
    <w:rsid w:val="0020484E"/>
    <w:rsid w:val="0020577E"/>
    <w:rsid w:val="0020589A"/>
    <w:rsid w:val="00206F2F"/>
    <w:rsid w:val="00211ACE"/>
    <w:rsid w:val="002246AF"/>
    <w:rsid w:val="0022486E"/>
    <w:rsid w:val="00224993"/>
    <w:rsid w:val="00226645"/>
    <w:rsid w:val="002279F0"/>
    <w:rsid w:val="002328F6"/>
    <w:rsid w:val="00233C01"/>
    <w:rsid w:val="002342D8"/>
    <w:rsid w:val="00234FC6"/>
    <w:rsid w:val="0024086D"/>
    <w:rsid w:val="002427A0"/>
    <w:rsid w:val="00243C80"/>
    <w:rsid w:val="00256BC4"/>
    <w:rsid w:val="00256DAE"/>
    <w:rsid w:val="00257747"/>
    <w:rsid w:val="00264B71"/>
    <w:rsid w:val="002654AE"/>
    <w:rsid w:val="00265E1B"/>
    <w:rsid w:val="002672B3"/>
    <w:rsid w:val="00271FA4"/>
    <w:rsid w:val="00274297"/>
    <w:rsid w:val="00274FD6"/>
    <w:rsid w:val="002762FF"/>
    <w:rsid w:val="00280400"/>
    <w:rsid w:val="00280E38"/>
    <w:rsid w:val="002860FC"/>
    <w:rsid w:val="00286EB2"/>
    <w:rsid w:val="00287DBF"/>
    <w:rsid w:val="00293691"/>
    <w:rsid w:val="002955AA"/>
    <w:rsid w:val="002A4A18"/>
    <w:rsid w:val="002A5269"/>
    <w:rsid w:val="002B46C5"/>
    <w:rsid w:val="002C2390"/>
    <w:rsid w:val="002C4805"/>
    <w:rsid w:val="002C585F"/>
    <w:rsid w:val="002D25A1"/>
    <w:rsid w:val="002D3FB2"/>
    <w:rsid w:val="002D41FB"/>
    <w:rsid w:val="002D77B7"/>
    <w:rsid w:val="002E1ADC"/>
    <w:rsid w:val="002E70D0"/>
    <w:rsid w:val="002F0D42"/>
    <w:rsid w:val="002F15E7"/>
    <w:rsid w:val="002F67AA"/>
    <w:rsid w:val="003050AD"/>
    <w:rsid w:val="00305894"/>
    <w:rsid w:val="00315C4D"/>
    <w:rsid w:val="003179CC"/>
    <w:rsid w:val="00321773"/>
    <w:rsid w:val="0032318E"/>
    <w:rsid w:val="00323B4E"/>
    <w:rsid w:val="003244CD"/>
    <w:rsid w:val="00324E89"/>
    <w:rsid w:val="00332E10"/>
    <w:rsid w:val="0033672D"/>
    <w:rsid w:val="003408A0"/>
    <w:rsid w:val="00345CFC"/>
    <w:rsid w:val="00347E62"/>
    <w:rsid w:val="0035385E"/>
    <w:rsid w:val="003560D5"/>
    <w:rsid w:val="003604B5"/>
    <w:rsid w:val="00360D23"/>
    <w:rsid w:val="00366641"/>
    <w:rsid w:val="003707EB"/>
    <w:rsid w:val="003739A0"/>
    <w:rsid w:val="00373F45"/>
    <w:rsid w:val="00375189"/>
    <w:rsid w:val="003828C6"/>
    <w:rsid w:val="00383045"/>
    <w:rsid w:val="003848C5"/>
    <w:rsid w:val="003916D2"/>
    <w:rsid w:val="003A0B32"/>
    <w:rsid w:val="003A20CA"/>
    <w:rsid w:val="003C1168"/>
    <w:rsid w:val="003C1961"/>
    <w:rsid w:val="003C1E86"/>
    <w:rsid w:val="003C36A3"/>
    <w:rsid w:val="003C36C0"/>
    <w:rsid w:val="003C4CD0"/>
    <w:rsid w:val="003C7170"/>
    <w:rsid w:val="003D439E"/>
    <w:rsid w:val="003D5987"/>
    <w:rsid w:val="003D747B"/>
    <w:rsid w:val="003E0B1D"/>
    <w:rsid w:val="003E253A"/>
    <w:rsid w:val="003E547F"/>
    <w:rsid w:val="003E5865"/>
    <w:rsid w:val="003F05CB"/>
    <w:rsid w:val="003F1274"/>
    <w:rsid w:val="003F22A6"/>
    <w:rsid w:val="003F2514"/>
    <w:rsid w:val="003F5532"/>
    <w:rsid w:val="003F6528"/>
    <w:rsid w:val="00402CEE"/>
    <w:rsid w:val="00405C09"/>
    <w:rsid w:val="00412CF5"/>
    <w:rsid w:val="004173C1"/>
    <w:rsid w:val="00417FAF"/>
    <w:rsid w:val="00422571"/>
    <w:rsid w:val="00422F7E"/>
    <w:rsid w:val="00423234"/>
    <w:rsid w:val="00423877"/>
    <w:rsid w:val="00424B21"/>
    <w:rsid w:val="0042568C"/>
    <w:rsid w:val="00430967"/>
    <w:rsid w:val="00432106"/>
    <w:rsid w:val="00433A7D"/>
    <w:rsid w:val="00433B62"/>
    <w:rsid w:val="00440CF4"/>
    <w:rsid w:val="00444E53"/>
    <w:rsid w:val="00451DD3"/>
    <w:rsid w:val="00452B57"/>
    <w:rsid w:val="00453ADB"/>
    <w:rsid w:val="00455D67"/>
    <w:rsid w:val="00457343"/>
    <w:rsid w:val="00463D9D"/>
    <w:rsid w:val="00466B23"/>
    <w:rsid w:val="004672DA"/>
    <w:rsid w:val="004703A5"/>
    <w:rsid w:val="00483005"/>
    <w:rsid w:val="00485BE9"/>
    <w:rsid w:val="00492048"/>
    <w:rsid w:val="004928F0"/>
    <w:rsid w:val="004A4067"/>
    <w:rsid w:val="004B6AA4"/>
    <w:rsid w:val="004C12DB"/>
    <w:rsid w:val="004D1BDF"/>
    <w:rsid w:val="004D1CBB"/>
    <w:rsid w:val="004D6DB7"/>
    <w:rsid w:val="004E24B1"/>
    <w:rsid w:val="004E4040"/>
    <w:rsid w:val="004F145D"/>
    <w:rsid w:val="005037CB"/>
    <w:rsid w:val="00507797"/>
    <w:rsid w:val="00510332"/>
    <w:rsid w:val="00510D28"/>
    <w:rsid w:val="00511700"/>
    <w:rsid w:val="005153F8"/>
    <w:rsid w:val="00516915"/>
    <w:rsid w:val="00520653"/>
    <w:rsid w:val="0052288D"/>
    <w:rsid w:val="00522A86"/>
    <w:rsid w:val="00523512"/>
    <w:rsid w:val="0052600C"/>
    <w:rsid w:val="00527747"/>
    <w:rsid w:val="00532BB4"/>
    <w:rsid w:val="00533441"/>
    <w:rsid w:val="005364A2"/>
    <w:rsid w:val="00536929"/>
    <w:rsid w:val="00536EF0"/>
    <w:rsid w:val="00542929"/>
    <w:rsid w:val="00542E35"/>
    <w:rsid w:val="00543809"/>
    <w:rsid w:val="00544C6E"/>
    <w:rsid w:val="005509E4"/>
    <w:rsid w:val="00551FFC"/>
    <w:rsid w:val="0055400C"/>
    <w:rsid w:val="005572AC"/>
    <w:rsid w:val="00560BFF"/>
    <w:rsid w:val="00564239"/>
    <w:rsid w:val="00564888"/>
    <w:rsid w:val="00567436"/>
    <w:rsid w:val="00575167"/>
    <w:rsid w:val="00577165"/>
    <w:rsid w:val="005812E7"/>
    <w:rsid w:val="00582C36"/>
    <w:rsid w:val="005A08A5"/>
    <w:rsid w:val="005A2BB4"/>
    <w:rsid w:val="005A3F72"/>
    <w:rsid w:val="005A463A"/>
    <w:rsid w:val="005B0B52"/>
    <w:rsid w:val="005B0D5A"/>
    <w:rsid w:val="005C28E2"/>
    <w:rsid w:val="005C35A5"/>
    <w:rsid w:val="005C5037"/>
    <w:rsid w:val="005C548A"/>
    <w:rsid w:val="005C671C"/>
    <w:rsid w:val="005C79A0"/>
    <w:rsid w:val="005C7DF1"/>
    <w:rsid w:val="005D1157"/>
    <w:rsid w:val="005D6BEF"/>
    <w:rsid w:val="005E0745"/>
    <w:rsid w:val="005E0AC5"/>
    <w:rsid w:val="005E13A2"/>
    <w:rsid w:val="005F1013"/>
    <w:rsid w:val="005F2C75"/>
    <w:rsid w:val="005F3C51"/>
    <w:rsid w:val="005F3EE0"/>
    <w:rsid w:val="005F4857"/>
    <w:rsid w:val="005F4F49"/>
    <w:rsid w:val="005F6FAF"/>
    <w:rsid w:val="0060119E"/>
    <w:rsid w:val="006079D1"/>
    <w:rsid w:val="00614550"/>
    <w:rsid w:val="006159B4"/>
    <w:rsid w:val="00620CBB"/>
    <w:rsid w:val="006224BF"/>
    <w:rsid w:val="00623A1E"/>
    <w:rsid w:val="00624630"/>
    <w:rsid w:val="00624BF1"/>
    <w:rsid w:val="006258BE"/>
    <w:rsid w:val="00626B04"/>
    <w:rsid w:val="006305A2"/>
    <w:rsid w:val="00630A95"/>
    <w:rsid w:val="006413AB"/>
    <w:rsid w:val="0065211D"/>
    <w:rsid w:val="006544F7"/>
    <w:rsid w:val="00654DF5"/>
    <w:rsid w:val="00661380"/>
    <w:rsid w:val="00663410"/>
    <w:rsid w:val="006666A1"/>
    <w:rsid w:val="00670F4B"/>
    <w:rsid w:val="00671F9B"/>
    <w:rsid w:val="00672CFD"/>
    <w:rsid w:val="006740BD"/>
    <w:rsid w:val="00683676"/>
    <w:rsid w:val="00684B6B"/>
    <w:rsid w:val="006872C1"/>
    <w:rsid w:val="00690821"/>
    <w:rsid w:val="006960B6"/>
    <w:rsid w:val="006A3A08"/>
    <w:rsid w:val="006A595A"/>
    <w:rsid w:val="006B5B99"/>
    <w:rsid w:val="006B7293"/>
    <w:rsid w:val="006B7DED"/>
    <w:rsid w:val="006C3B46"/>
    <w:rsid w:val="006C3D56"/>
    <w:rsid w:val="006C514F"/>
    <w:rsid w:val="006D1472"/>
    <w:rsid w:val="006E1CCD"/>
    <w:rsid w:val="006E42F6"/>
    <w:rsid w:val="006E6211"/>
    <w:rsid w:val="006E7610"/>
    <w:rsid w:val="006E7EF6"/>
    <w:rsid w:val="006F3A2A"/>
    <w:rsid w:val="006F4057"/>
    <w:rsid w:val="006F4D14"/>
    <w:rsid w:val="006F69AD"/>
    <w:rsid w:val="0070536B"/>
    <w:rsid w:val="0070745E"/>
    <w:rsid w:val="00713681"/>
    <w:rsid w:val="0071667E"/>
    <w:rsid w:val="0072434E"/>
    <w:rsid w:val="007330D9"/>
    <w:rsid w:val="00734ED0"/>
    <w:rsid w:val="00736BC1"/>
    <w:rsid w:val="00737509"/>
    <w:rsid w:val="00742631"/>
    <w:rsid w:val="007442B5"/>
    <w:rsid w:val="00753C09"/>
    <w:rsid w:val="0075462B"/>
    <w:rsid w:val="00755291"/>
    <w:rsid w:val="0075540D"/>
    <w:rsid w:val="007563D9"/>
    <w:rsid w:val="00757913"/>
    <w:rsid w:val="0077058D"/>
    <w:rsid w:val="007760C7"/>
    <w:rsid w:val="00781DFB"/>
    <w:rsid w:val="00782102"/>
    <w:rsid w:val="007821EB"/>
    <w:rsid w:val="00783A43"/>
    <w:rsid w:val="00786491"/>
    <w:rsid w:val="00791965"/>
    <w:rsid w:val="00791DB1"/>
    <w:rsid w:val="0079200D"/>
    <w:rsid w:val="00792479"/>
    <w:rsid w:val="00794C96"/>
    <w:rsid w:val="007A1FB1"/>
    <w:rsid w:val="007A2D00"/>
    <w:rsid w:val="007A5410"/>
    <w:rsid w:val="007A598E"/>
    <w:rsid w:val="007A67F7"/>
    <w:rsid w:val="007B0B91"/>
    <w:rsid w:val="007B1C6E"/>
    <w:rsid w:val="007B229D"/>
    <w:rsid w:val="007B3F9A"/>
    <w:rsid w:val="007B5037"/>
    <w:rsid w:val="007B725F"/>
    <w:rsid w:val="007B7890"/>
    <w:rsid w:val="007C2349"/>
    <w:rsid w:val="007D0180"/>
    <w:rsid w:val="007D15BC"/>
    <w:rsid w:val="007D3631"/>
    <w:rsid w:val="007D6016"/>
    <w:rsid w:val="007F1773"/>
    <w:rsid w:val="00804EEF"/>
    <w:rsid w:val="00804FB4"/>
    <w:rsid w:val="0081491F"/>
    <w:rsid w:val="0081642C"/>
    <w:rsid w:val="0081747C"/>
    <w:rsid w:val="00822A0E"/>
    <w:rsid w:val="00822BED"/>
    <w:rsid w:val="00824A17"/>
    <w:rsid w:val="00824F11"/>
    <w:rsid w:val="0082547F"/>
    <w:rsid w:val="008260D0"/>
    <w:rsid w:val="00833084"/>
    <w:rsid w:val="00835B02"/>
    <w:rsid w:val="00845CFA"/>
    <w:rsid w:val="00847A9A"/>
    <w:rsid w:val="00852926"/>
    <w:rsid w:val="00856138"/>
    <w:rsid w:val="008576BA"/>
    <w:rsid w:val="008576D9"/>
    <w:rsid w:val="00857CB2"/>
    <w:rsid w:val="008653A2"/>
    <w:rsid w:val="008671CE"/>
    <w:rsid w:val="0086743E"/>
    <w:rsid w:val="0087681F"/>
    <w:rsid w:val="008827CA"/>
    <w:rsid w:val="008846CD"/>
    <w:rsid w:val="0088739F"/>
    <w:rsid w:val="00891D45"/>
    <w:rsid w:val="0089316D"/>
    <w:rsid w:val="008978E3"/>
    <w:rsid w:val="008A50C5"/>
    <w:rsid w:val="008A7A6A"/>
    <w:rsid w:val="008B47AC"/>
    <w:rsid w:val="008B5AFD"/>
    <w:rsid w:val="008B5C77"/>
    <w:rsid w:val="008B783F"/>
    <w:rsid w:val="008C22E6"/>
    <w:rsid w:val="008C408A"/>
    <w:rsid w:val="008D2839"/>
    <w:rsid w:val="008D4AE6"/>
    <w:rsid w:val="008D545F"/>
    <w:rsid w:val="008D5941"/>
    <w:rsid w:val="008D5B43"/>
    <w:rsid w:val="008D654D"/>
    <w:rsid w:val="008D7AA7"/>
    <w:rsid w:val="008E1E86"/>
    <w:rsid w:val="008E5F8D"/>
    <w:rsid w:val="008E795D"/>
    <w:rsid w:val="008F162A"/>
    <w:rsid w:val="008F212A"/>
    <w:rsid w:val="008F4FB9"/>
    <w:rsid w:val="008F5D06"/>
    <w:rsid w:val="00901EB9"/>
    <w:rsid w:val="00902D9F"/>
    <w:rsid w:val="009046FC"/>
    <w:rsid w:val="00904FF9"/>
    <w:rsid w:val="00905DE4"/>
    <w:rsid w:val="009068ED"/>
    <w:rsid w:val="009070F4"/>
    <w:rsid w:val="00907270"/>
    <w:rsid w:val="0091165E"/>
    <w:rsid w:val="009117A3"/>
    <w:rsid w:val="009128CF"/>
    <w:rsid w:val="009217B5"/>
    <w:rsid w:val="00921A52"/>
    <w:rsid w:val="00924302"/>
    <w:rsid w:val="009264D2"/>
    <w:rsid w:val="00927006"/>
    <w:rsid w:val="00930575"/>
    <w:rsid w:val="0093115D"/>
    <w:rsid w:val="00933E85"/>
    <w:rsid w:val="009379C2"/>
    <w:rsid w:val="00940498"/>
    <w:rsid w:val="009405EC"/>
    <w:rsid w:val="00940730"/>
    <w:rsid w:val="00940895"/>
    <w:rsid w:val="00941822"/>
    <w:rsid w:val="00942F11"/>
    <w:rsid w:val="0094385B"/>
    <w:rsid w:val="00944145"/>
    <w:rsid w:val="00947C65"/>
    <w:rsid w:val="00951184"/>
    <w:rsid w:val="0095218A"/>
    <w:rsid w:val="0095228C"/>
    <w:rsid w:val="00962E86"/>
    <w:rsid w:val="00964FF4"/>
    <w:rsid w:val="00965FA1"/>
    <w:rsid w:val="0096739B"/>
    <w:rsid w:val="00974177"/>
    <w:rsid w:val="00981EED"/>
    <w:rsid w:val="00990256"/>
    <w:rsid w:val="0099307A"/>
    <w:rsid w:val="00996B9B"/>
    <w:rsid w:val="0099720C"/>
    <w:rsid w:val="00997E8E"/>
    <w:rsid w:val="009A16CC"/>
    <w:rsid w:val="009A486A"/>
    <w:rsid w:val="009A7D3E"/>
    <w:rsid w:val="009B29F9"/>
    <w:rsid w:val="009B3CB0"/>
    <w:rsid w:val="009B73FA"/>
    <w:rsid w:val="009C7F24"/>
    <w:rsid w:val="009D0C77"/>
    <w:rsid w:val="009D2C26"/>
    <w:rsid w:val="009D4B68"/>
    <w:rsid w:val="009E4A92"/>
    <w:rsid w:val="009E7CF8"/>
    <w:rsid w:val="009F2D51"/>
    <w:rsid w:val="009F54F8"/>
    <w:rsid w:val="00A07B7C"/>
    <w:rsid w:val="00A10DCE"/>
    <w:rsid w:val="00A11320"/>
    <w:rsid w:val="00A134C5"/>
    <w:rsid w:val="00A158B1"/>
    <w:rsid w:val="00A20093"/>
    <w:rsid w:val="00A21D63"/>
    <w:rsid w:val="00A236D8"/>
    <w:rsid w:val="00A2647B"/>
    <w:rsid w:val="00A30E81"/>
    <w:rsid w:val="00A36C1B"/>
    <w:rsid w:val="00A37E76"/>
    <w:rsid w:val="00A439B4"/>
    <w:rsid w:val="00A450A7"/>
    <w:rsid w:val="00A536FB"/>
    <w:rsid w:val="00A53C47"/>
    <w:rsid w:val="00A57CA8"/>
    <w:rsid w:val="00A60040"/>
    <w:rsid w:val="00A713F1"/>
    <w:rsid w:val="00A737EA"/>
    <w:rsid w:val="00A8478C"/>
    <w:rsid w:val="00A91083"/>
    <w:rsid w:val="00A914E9"/>
    <w:rsid w:val="00A932F8"/>
    <w:rsid w:val="00A9442F"/>
    <w:rsid w:val="00A95295"/>
    <w:rsid w:val="00A954A6"/>
    <w:rsid w:val="00A9587C"/>
    <w:rsid w:val="00A95A81"/>
    <w:rsid w:val="00AA4D4B"/>
    <w:rsid w:val="00AA4E0D"/>
    <w:rsid w:val="00AB3192"/>
    <w:rsid w:val="00AB3C5C"/>
    <w:rsid w:val="00AB4DD7"/>
    <w:rsid w:val="00AB4F91"/>
    <w:rsid w:val="00AC1405"/>
    <w:rsid w:val="00AC55F7"/>
    <w:rsid w:val="00AC612A"/>
    <w:rsid w:val="00AD1F37"/>
    <w:rsid w:val="00AD480C"/>
    <w:rsid w:val="00AD4E8C"/>
    <w:rsid w:val="00AD5C0D"/>
    <w:rsid w:val="00AE002D"/>
    <w:rsid w:val="00AE1D7B"/>
    <w:rsid w:val="00AE31BB"/>
    <w:rsid w:val="00AE3815"/>
    <w:rsid w:val="00AE5A43"/>
    <w:rsid w:val="00AF0812"/>
    <w:rsid w:val="00AF245A"/>
    <w:rsid w:val="00AF299F"/>
    <w:rsid w:val="00AF7A1B"/>
    <w:rsid w:val="00B02037"/>
    <w:rsid w:val="00B13B36"/>
    <w:rsid w:val="00B17252"/>
    <w:rsid w:val="00B243BF"/>
    <w:rsid w:val="00B266D2"/>
    <w:rsid w:val="00B27766"/>
    <w:rsid w:val="00B3147C"/>
    <w:rsid w:val="00B33361"/>
    <w:rsid w:val="00B35F9F"/>
    <w:rsid w:val="00B415CE"/>
    <w:rsid w:val="00B45475"/>
    <w:rsid w:val="00B47DCE"/>
    <w:rsid w:val="00B513B0"/>
    <w:rsid w:val="00B5157C"/>
    <w:rsid w:val="00B54D71"/>
    <w:rsid w:val="00B56F4C"/>
    <w:rsid w:val="00B56FA9"/>
    <w:rsid w:val="00B623F0"/>
    <w:rsid w:val="00B62B4E"/>
    <w:rsid w:val="00B64E51"/>
    <w:rsid w:val="00B8785E"/>
    <w:rsid w:val="00B90813"/>
    <w:rsid w:val="00B90C09"/>
    <w:rsid w:val="00B9129A"/>
    <w:rsid w:val="00B9529B"/>
    <w:rsid w:val="00B95A63"/>
    <w:rsid w:val="00BA10C2"/>
    <w:rsid w:val="00BA71AC"/>
    <w:rsid w:val="00BB05ED"/>
    <w:rsid w:val="00BC16B9"/>
    <w:rsid w:val="00BD2D10"/>
    <w:rsid w:val="00BD355F"/>
    <w:rsid w:val="00BD5F5B"/>
    <w:rsid w:val="00BE0CD2"/>
    <w:rsid w:val="00BE2A0D"/>
    <w:rsid w:val="00BE4A46"/>
    <w:rsid w:val="00BE61F9"/>
    <w:rsid w:val="00C0112E"/>
    <w:rsid w:val="00C02013"/>
    <w:rsid w:val="00C02311"/>
    <w:rsid w:val="00C11373"/>
    <w:rsid w:val="00C12B2E"/>
    <w:rsid w:val="00C14510"/>
    <w:rsid w:val="00C1525C"/>
    <w:rsid w:val="00C15BC6"/>
    <w:rsid w:val="00C22242"/>
    <w:rsid w:val="00C24784"/>
    <w:rsid w:val="00C27152"/>
    <w:rsid w:val="00C277AD"/>
    <w:rsid w:val="00C3235D"/>
    <w:rsid w:val="00C34786"/>
    <w:rsid w:val="00C3506A"/>
    <w:rsid w:val="00C3609F"/>
    <w:rsid w:val="00C40435"/>
    <w:rsid w:val="00C41643"/>
    <w:rsid w:val="00C41820"/>
    <w:rsid w:val="00C425A4"/>
    <w:rsid w:val="00C50C4B"/>
    <w:rsid w:val="00C52A0D"/>
    <w:rsid w:val="00C54327"/>
    <w:rsid w:val="00C545D6"/>
    <w:rsid w:val="00C81D3C"/>
    <w:rsid w:val="00C83405"/>
    <w:rsid w:val="00C856B6"/>
    <w:rsid w:val="00C95057"/>
    <w:rsid w:val="00C95833"/>
    <w:rsid w:val="00C95D52"/>
    <w:rsid w:val="00CA5E62"/>
    <w:rsid w:val="00CB060F"/>
    <w:rsid w:val="00CC1126"/>
    <w:rsid w:val="00CC2E87"/>
    <w:rsid w:val="00CC3799"/>
    <w:rsid w:val="00CC4D38"/>
    <w:rsid w:val="00CD0600"/>
    <w:rsid w:val="00CD1208"/>
    <w:rsid w:val="00CD2B8B"/>
    <w:rsid w:val="00CD2B9B"/>
    <w:rsid w:val="00CE031C"/>
    <w:rsid w:val="00CE2AE4"/>
    <w:rsid w:val="00CE4AE5"/>
    <w:rsid w:val="00CE61BE"/>
    <w:rsid w:val="00CF0FED"/>
    <w:rsid w:val="00D005E2"/>
    <w:rsid w:val="00D01599"/>
    <w:rsid w:val="00D045F4"/>
    <w:rsid w:val="00D046B5"/>
    <w:rsid w:val="00D1372F"/>
    <w:rsid w:val="00D22035"/>
    <w:rsid w:val="00D30D53"/>
    <w:rsid w:val="00D330D2"/>
    <w:rsid w:val="00D371F4"/>
    <w:rsid w:val="00D40A7D"/>
    <w:rsid w:val="00D40B89"/>
    <w:rsid w:val="00D40FB5"/>
    <w:rsid w:val="00D55568"/>
    <w:rsid w:val="00D615A8"/>
    <w:rsid w:val="00D651E7"/>
    <w:rsid w:val="00D653EE"/>
    <w:rsid w:val="00D706B4"/>
    <w:rsid w:val="00D776E2"/>
    <w:rsid w:val="00D809E1"/>
    <w:rsid w:val="00D80AC0"/>
    <w:rsid w:val="00D80ED5"/>
    <w:rsid w:val="00D81B86"/>
    <w:rsid w:val="00D8517D"/>
    <w:rsid w:val="00D90801"/>
    <w:rsid w:val="00D92035"/>
    <w:rsid w:val="00D92D2D"/>
    <w:rsid w:val="00D932CA"/>
    <w:rsid w:val="00D95FA8"/>
    <w:rsid w:val="00D965BE"/>
    <w:rsid w:val="00D9756C"/>
    <w:rsid w:val="00DA426F"/>
    <w:rsid w:val="00DA6273"/>
    <w:rsid w:val="00DA64A2"/>
    <w:rsid w:val="00DB0F7D"/>
    <w:rsid w:val="00DB5EA9"/>
    <w:rsid w:val="00DC099C"/>
    <w:rsid w:val="00DC0CCE"/>
    <w:rsid w:val="00DC0FA8"/>
    <w:rsid w:val="00DC23C0"/>
    <w:rsid w:val="00DC455E"/>
    <w:rsid w:val="00DD34BB"/>
    <w:rsid w:val="00DD6B21"/>
    <w:rsid w:val="00DD707E"/>
    <w:rsid w:val="00DE3247"/>
    <w:rsid w:val="00DE64B2"/>
    <w:rsid w:val="00DE6DE0"/>
    <w:rsid w:val="00DF11D2"/>
    <w:rsid w:val="00DF1E24"/>
    <w:rsid w:val="00E0039F"/>
    <w:rsid w:val="00E0103B"/>
    <w:rsid w:val="00E016BD"/>
    <w:rsid w:val="00E077D4"/>
    <w:rsid w:val="00E23F1D"/>
    <w:rsid w:val="00E32498"/>
    <w:rsid w:val="00E338AF"/>
    <w:rsid w:val="00E36BED"/>
    <w:rsid w:val="00E41157"/>
    <w:rsid w:val="00E41605"/>
    <w:rsid w:val="00E423FE"/>
    <w:rsid w:val="00E45F48"/>
    <w:rsid w:val="00E4602F"/>
    <w:rsid w:val="00E53284"/>
    <w:rsid w:val="00E578C9"/>
    <w:rsid w:val="00E65AA4"/>
    <w:rsid w:val="00E81F38"/>
    <w:rsid w:val="00E84084"/>
    <w:rsid w:val="00E8576B"/>
    <w:rsid w:val="00E86D8B"/>
    <w:rsid w:val="00E87307"/>
    <w:rsid w:val="00E8784A"/>
    <w:rsid w:val="00E8785F"/>
    <w:rsid w:val="00E938E2"/>
    <w:rsid w:val="00E938FD"/>
    <w:rsid w:val="00EA324C"/>
    <w:rsid w:val="00EA6D3E"/>
    <w:rsid w:val="00EA6D73"/>
    <w:rsid w:val="00EB4A0E"/>
    <w:rsid w:val="00EB4ACC"/>
    <w:rsid w:val="00EB63CB"/>
    <w:rsid w:val="00EB7DD3"/>
    <w:rsid w:val="00EC6CE7"/>
    <w:rsid w:val="00ED068E"/>
    <w:rsid w:val="00ED2B87"/>
    <w:rsid w:val="00ED3232"/>
    <w:rsid w:val="00ED4C6D"/>
    <w:rsid w:val="00EE05D1"/>
    <w:rsid w:val="00EF7956"/>
    <w:rsid w:val="00F02AB7"/>
    <w:rsid w:val="00F03011"/>
    <w:rsid w:val="00F06352"/>
    <w:rsid w:val="00F0785A"/>
    <w:rsid w:val="00F2026C"/>
    <w:rsid w:val="00F25E0D"/>
    <w:rsid w:val="00F26A09"/>
    <w:rsid w:val="00F30B3D"/>
    <w:rsid w:val="00F406A3"/>
    <w:rsid w:val="00F42981"/>
    <w:rsid w:val="00F42E52"/>
    <w:rsid w:val="00F44578"/>
    <w:rsid w:val="00F50542"/>
    <w:rsid w:val="00F517F6"/>
    <w:rsid w:val="00F5230C"/>
    <w:rsid w:val="00F558A1"/>
    <w:rsid w:val="00F61859"/>
    <w:rsid w:val="00F63B65"/>
    <w:rsid w:val="00F65B89"/>
    <w:rsid w:val="00F66016"/>
    <w:rsid w:val="00F668B4"/>
    <w:rsid w:val="00F678EE"/>
    <w:rsid w:val="00F67A77"/>
    <w:rsid w:val="00F7026C"/>
    <w:rsid w:val="00F7694A"/>
    <w:rsid w:val="00F83BA4"/>
    <w:rsid w:val="00F848E4"/>
    <w:rsid w:val="00F848FF"/>
    <w:rsid w:val="00F87E36"/>
    <w:rsid w:val="00F913B8"/>
    <w:rsid w:val="00F92526"/>
    <w:rsid w:val="00F94F23"/>
    <w:rsid w:val="00FA074E"/>
    <w:rsid w:val="00FA514C"/>
    <w:rsid w:val="00FA6527"/>
    <w:rsid w:val="00FB1192"/>
    <w:rsid w:val="00FB17D9"/>
    <w:rsid w:val="00FB2FA0"/>
    <w:rsid w:val="00FB6892"/>
    <w:rsid w:val="00FC3273"/>
    <w:rsid w:val="00FC4DC6"/>
    <w:rsid w:val="00FD01B6"/>
    <w:rsid w:val="00FD2A8F"/>
    <w:rsid w:val="00FD2B01"/>
    <w:rsid w:val="00FE0A7F"/>
    <w:rsid w:val="00FE0CFA"/>
    <w:rsid w:val="00FE4525"/>
    <w:rsid w:val="00FE7189"/>
    <w:rsid w:val="00FF0442"/>
    <w:rsid w:val="00FF1D55"/>
    <w:rsid w:val="00FF3DB6"/>
    <w:rsid w:val="00FF79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9484B"/>
    <w:pPr>
      <w:tabs>
        <w:tab w:val="left" w:pos="2160"/>
      </w:tabs>
      <w:suppressAutoHyphens/>
      <w:autoSpaceDE w:val="0"/>
      <w:autoSpaceDN w:val="0"/>
      <w:adjustRightInd w:val="0"/>
      <w:spacing w:after="0" w:line="360" w:lineRule="auto"/>
    </w:pPr>
    <w:rPr>
      <w:rFonts w:ascii="Arial" w:eastAsia="Arial Unicode MS" w:hAnsi="Arial" w:cs="Times New Roman"/>
      <w:sz w:val="24"/>
      <w:szCs w:val="20"/>
      <w:lang w:val="en-GB" w:eastAsia="de-DE"/>
    </w:rPr>
  </w:style>
  <w:style w:type="character" w:customStyle="1" w:styleId="nbapihighlight2">
    <w:name w:val="nbapihighlight2"/>
    <w:basedOn w:val="DefaultParagraphFont"/>
    <w:rsid w:val="0009484B"/>
  </w:style>
  <w:style w:type="paragraph" w:styleId="BalloonText">
    <w:name w:val="Balloon Text"/>
    <w:basedOn w:val="Normal"/>
    <w:link w:val="BalloonTextChar"/>
    <w:uiPriority w:val="99"/>
    <w:semiHidden/>
    <w:unhideWhenUsed/>
    <w:rsid w:val="00A21D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D63"/>
    <w:rPr>
      <w:rFonts w:ascii="Segoe UI" w:hAnsi="Segoe UI" w:cs="Segoe UI"/>
      <w:sz w:val="18"/>
      <w:szCs w:val="18"/>
    </w:rPr>
  </w:style>
  <w:style w:type="paragraph" w:customStyle="1" w:styleId="Text">
    <w:name w:val="Text"/>
    <w:rsid w:val="00511700"/>
    <w:pPr>
      <w:autoSpaceDN w:val="0"/>
      <w:spacing w:after="0" w:line="240" w:lineRule="auto"/>
    </w:pPr>
    <w:rPr>
      <w:rFonts w:ascii="Helvetica" w:eastAsia="ヒラギノ角ゴ Pro W3" w:hAnsi="Helvetica" w:cs="Times New Roman"/>
      <w:color w:val="000000"/>
      <w:sz w:val="24"/>
      <w:szCs w:val="20"/>
      <w:lang w:eastAsia="de-DE"/>
    </w:rPr>
  </w:style>
  <w:style w:type="character" w:customStyle="1" w:styleId="OhneA">
    <w:name w:val="Ohne A"/>
    <w:rsid w:val="001C5BDD"/>
    <w:rPr>
      <w:lang w:val="en-US"/>
    </w:rPr>
  </w:style>
  <w:style w:type="character" w:styleId="Hyperlink">
    <w:name w:val="Hyperlink"/>
    <w:basedOn w:val="DefaultParagraphFont"/>
    <w:uiPriority w:val="99"/>
    <w:unhideWhenUsed/>
    <w:rsid w:val="00544C6E"/>
    <w:rPr>
      <w:color w:val="0563C1" w:themeColor="hyperlink"/>
      <w:u w:val="single"/>
    </w:rPr>
  </w:style>
  <w:style w:type="paragraph" w:styleId="Header">
    <w:name w:val="header"/>
    <w:basedOn w:val="Normal"/>
    <w:link w:val="HeaderChar"/>
    <w:uiPriority w:val="99"/>
    <w:unhideWhenUsed/>
    <w:rsid w:val="005B0D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0D5A"/>
  </w:style>
  <w:style w:type="paragraph" w:styleId="Footer">
    <w:name w:val="footer"/>
    <w:basedOn w:val="Normal"/>
    <w:link w:val="FooterChar"/>
    <w:uiPriority w:val="99"/>
    <w:unhideWhenUsed/>
    <w:rsid w:val="005B0D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0D5A"/>
  </w:style>
  <w:style w:type="table" w:styleId="TableGrid">
    <w:name w:val="Table Grid"/>
    <w:basedOn w:val="TableNormal"/>
    <w:uiPriority w:val="39"/>
    <w:rsid w:val="00A93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Zchn"/>
    <w:rsid w:val="002B46C5"/>
    <w:pPr>
      <w:spacing w:after="0"/>
      <w:jc w:val="center"/>
    </w:pPr>
    <w:rPr>
      <w:rFonts w:ascii="Calibri" w:hAnsi="Calibri"/>
      <w:noProof/>
      <w:lang w:val="en-US"/>
    </w:rPr>
  </w:style>
  <w:style w:type="character" w:customStyle="1" w:styleId="EndNoteBibliographyTitleZchn">
    <w:name w:val="EndNote Bibliography Title Zchn"/>
    <w:basedOn w:val="DefaultParagraphFont"/>
    <w:link w:val="EndNoteBibliographyTitle"/>
    <w:rsid w:val="002B46C5"/>
    <w:rPr>
      <w:rFonts w:ascii="Calibri" w:hAnsi="Calibri"/>
      <w:noProof/>
      <w:lang w:val="en-US"/>
    </w:rPr>
  </w:style>
  <w:style w:type="paragraph" w:customStyle="1" w:styleId="EndNoteBibliography">
    <w:name w:val="EndNote Bibliography"/>
    <w:basedOn w:val="Normal"/>
    <w:link w:val="EndNoteBibliographyZchn"/>
    <w:rsid w:val="002B46C5"/>
    <w:pPr>
      <w:spacing w:line="240" w:lineRule="auto"/>
      <w:jc w:val="both"/>
    </w:pPr>
    <w:rPr>
      <w:rFonts w:ascii="Calibri" w:hAnsi="Calibri"/>
      <w:noProof/>
      <w:lang w:val="en-US"/>
    </w:rPr>
  </w:style>
  <w:style w:type="character" w:customStyle="1" w:styleId="EndNoteBibliographyZchn">
    <w:name w:val="EndNote Bibliography Zchn"/>
    <w:basedOn w:val="DefaultParagraphFont"/>
    <w:link w:val="EndNoteBibliography"/>
    <w:rsid w:val="002B46C5"/>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9484B"/>
    <w:pPr>
      <w:tabs>
        <w:tab w:val="left" w:pos="2160"/>
      </w:tabs>
      <w:suppressAutoHyphens/>
      <w:autoSpaceDE w:val="0"/>
      <w:autoSpaceDN w:val="0"/>
      <w:adjustRightInd w:val="0"/>
      <w:spacing w:after="0" w:line="360" w:lineRule="auto"/>
    </w:pPr>
    <w:rPr>
      <w:rFonts w:ascii="Arial" w:eastAsia="Arial Unicode MS" w:hAnsi="Arial" w:cs="Times New Roman"/>
      <w:sz w:val="24"/>
      <w:szCs w:val="20"/>
      <w:lang w:val="en-GB" w:eastAsia="de-DE"/>
    </w:rPr>
  </w:style>
  <w:style w:type="character" w:customStyle="1" w:styleId="nbapihighlight2">
    <w:name w:val="nbapihighlight2"/>
    <w:basedOn w:val="DefaultParagraphFont"/>
    <w:rsid w:val="0009484B"/>
  </w:style>
  <w:style w:type="paragraph" w:styleId="BalloonText">
    <w:name w:val="Balloon Text"/>
    <w:basedOn w:val="Normal"/>
    <w:link w:val="BalloonTextChar"/>
    <w:uiPriority w:val="99"/>
    <w:semiHidden/>
    <w:unhideWhenUsed/>
    <w:rsid w:val="00A21D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D63"/>
    <w:rPr>
      <w:rFonts w:ascii="Segoe UI" w:hAnsi="Segoe UI" w:cs="Segoe UI"/>
      <w:sz w:val="18"/>
      <w:szCs w:val="18"/>
    </w:rPr>
  </w:style>
  <w:style w:type="paragraph" w:customStyle="1" w:styleId="Text">
    <w:name w:val="Text"/>
    <w:rsid w:val="00511700"/>
    <w:pPr>
      <w:autoSpaceDN w:val="0"/>
      <w:spacing w:after="0" w:line="240" w:lineRule="auto"/>
    </w:pPr>
    <w:rPr>
      <w:rFonts w:ascii="Helvetica" w:eastAsia="ヒラギノ角ゴ Pro W3" w:hAnsi="Helvetica" w:cs="Times New Roman"/>
      <w:color w:val="000000"/>
      <w:sz w:val="24"/>
      <w:szCs w:val="20"/>
      <w:lang w:eastAsia="de-DE"/>
    </w:rPr>
  </w:style>
  <w:style w:type="character" w:customStyle="1" w:styleId="OhneA">
    <w:name w:val="Ohne A"/>
    <w:rsid w:val="001C5BDD"/>
    <w:rPr>
      <w:lang w:val="en-US"/>
    </w:rPr>
  </w:style>
  <w:style w:type="character" w:styleId="Hyperlink">
    <w:name w:val="Hyperlink"/>
    <w:basedOn w:val="DefaultParagraphFont"/>
    <w:uiPriority w:val="99"/>
    <w:unhideWhenUsed/>
    <w:rsid w:val="00544C6E"/>
    <w:rPr>
      <w:color w:val="0563C1" w:themeColor="hyperlink"/>
      <w:u w:val="single"/>
    </w:rPr>
  </w:style>
  <w:style w:type="paragraph" w:styleId="Header">
    <w:name w:val="header"/>
    <w:basedOn w:val="Normal"/>
    <w:link w:val="HeaderChar"/>
    <w:uiPriority w:val="99"/>
    <w:unhideWhenUsed/>
    <w:rsid w:val="005B0D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0D5A"/>
  </w:style>
  <w:style w:type="paragraph" w:styleId="Footer">
    <w:name w:val="footer"/>
    <w:basedOn w:val="Normal"/>
    <w:link w:val="FooterChar"/>
    <w:uiPriority w:val="99"/>
    <w:unhideWhenUsed/>
    <w:rsid w:val="005B0D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0D5A"/>
  </w:style>
  <w:style w:type="table" w:styleId="TableGrid">
    <w:name w:val="Table Grid"/>
    <w:basedOn w:val="TableNormal"/>
    <w:uiPriority w:val="39"/>
    <w:rsid w:val="00A93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Zchn"/>
    <w:rsid w:val="002B46C5"/>
    <w:pPr>
      <w:spacing w:after="0"/>
      <w:jc w:val="center"/>
    </w:pPr>
    <w:rPr>
      <w:rFonts w:ascii="Calibri" w:hAnsi="Calibri"/>
      <w:noProof/>
      <w:lang w:val="en-US"/>
    </w:rPr>
  </w:style>
  <w:style w:type="character" w:customStyle="1" w:styleId="EndNoteBibliographyTitleZchn">
    <w:name w:val="EndNote Bibliography Title Zchn"/>
    <w:basedOn w:val="DefaultParagraphFont"/>
    <w:link w:val="EndNoteBibliographyTitle"/>
    <w:rsid w:val="002B46C5"/>
    <w:rPr>
      <w:rFonts w:ascii="Calibri" w:hAnsi="Calibri"/>
      <w:noProof/>
      <w:lang w:val="en-US"/>
    </w:rPr>
  </w:style>
  <w:style w:type="paragraph" w:customStyle="1" w:styleId="EndNoteBibliography">
    <w:name w:val="EndNote Bibliography"/>
    <w:basedOn w:val="Normal"/>
    <w:link w:val="EndNoteBibliographyZchn"/>
    <w:rsid w:val="002B46C5"/>
    <w:pPr>
      <w:spacing w:line="240" w:lineRule="auto"/>
      <w:jc w:val="both"/>
    </w:pPr>
    <w:rPr>
      <w:rFonts w:ascii="Calibri" w:hAnsi="Calibri"/>
      <w:noProof/>
      <w:lang w:val="en-US"/>
    </w:rPr>
  </w:style>
  <w:style w:type="character" w:customStyle="1" w:styleId="EndNoteBibliographyZchn">
    <w:name w:val="EndNote Bibliography Zchn"/>
    <w:basedOn w:val="DefaultParagraphFont"/>
    <w:link w:val="EndNoteBibliography"/>
    <w:rsid w:val="002B46C5"/>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579306">
      <w:bodyDiv w:val="1"/>
      <w:marLeft w:val="0"/>
      <w:marRight w:val="0"/>
      <w:marTop w:val="0"/>
      <w:marBottom w:val="0"/>
      <w:divBdr>
        <w:top w:val="none" w:sz="0" w:space="0" w:color="auto"/>
        <w:left w:val="none" w:sz="0" w:space="0" w:color="auto"/>
        <w:bottom w:val="none" w:sz="0" w:space="0" w:color="auto"/>
        <w:right w:val="none" w:sz="0" w:space="0" w:color="auto"/>
      </w:divBdr>
      <w:divsChild>
        <w:div w:id="163403039">
          <w:marLeft w:val="0"/>
          <w:marRight w:val="0"/>
          <w:marTop w:val="240"/>
          <w:marBottom w:val="240"/>
          <w:divBdr>
            <w:top w:val="dotted" w:sz="24" w:space="0" w:color="000000"/>
            <w:left w:val="none" w:sz="0" w:space="0" w:color="auto"/>
            <w:bottom w:val="none" w:sz="0" w:space="0" w:color="auto"/>
            <w:right w:val="none" w:sz="0" w:space="0" w:color="auto"/>
          </w:divBdr>
        </w:div>
      </w:divsChild>
    </w:div>
    <w:div w:id="774206502">
      <w:bodyDiv w:val="1"/>
      <w:marLeft w:val="0"/>
      <w:marRight w:val="0"/>
      <w:marTop w:val="0"/>
      <w:marBottom w:val="0"/>
      <w:divBdr>
        <w:top w:val="none" w:sz="0" w:space="0" w:color="auto"/>
        <w:left w:val="none" w:sz="0" w:space="0" w:color="auto"/>
        <w:bottom w:val="none" w:sz="0" w:space="0" w:color="auto"/>
        <w:right w:val="none" w:sz="0" w:space="0" w:color="auto"/>
      </w:divBdr>
      <w:divsChild>
        <w:div w:id="873268642">
          <w:marLeft w:val="0"/>
          <w:marRight w:val="0"/>
          <w:marTop w:val="240"/>
          <w:marBottom w:val="240"/>
          <w:divBdr>
            <w:top w:val="dotted" w:sz="24" w:space="0" w:color="000000"/>
            <w:left w:val="none" w:sz="0" w:space="0" w:color="auto"/>
            <w:bottom w:val="none" w:sz="0" w:space="0" w:color="auto"/>
            <w:right w:val="none" w:sz="0" w:space="0" w:color="auto"/>
          </w:divBdr>
        </w:div>
      </w:divsChild>
    </w:div>
    <w:div w:id="1115490702">
      <w:bodyDiv w:val="1"/>
      <w:marLeft w:val="0"/>
      <w:marRight w:val="0"/>
      <w:marTop w:val="0"/>
      <w:marBottom w:val="0"/>
      <w:divBdr>
        <w:top w:val="none" w:sz="0" w:space="0" w:color="auto"/>
        <w:left w:val="none" w:sz="0" w:space="0" w:color="auto"/>
        <w:bottom w:val="none" w:sz="0" w:space="0" w:color="auto"/>
        <w:right w:val="none" w:sz="0" w:space="0" w:color="auto"/>
      </w:divBdr>
      <w:divsChild>
        <w:div w:id="1842810596">
          <w:marLeft w:val="0"/>
          <w:marRight w:val="0"/>
          <w:marTop w:val="0"/>
          <w:marBottom w:val="0"/>
          <w:divBdr>
            <w:top w:val="none" w:sz="0" w:space="0" w:color="auto"/>
            <w:left w:val="none" w:sz="0" w:space="0" w:color="auto"/>
            <w:bottom w:val="none" w:sz="0" w:space="0" w:color="auto"/>
            <w:right w:val="none" w:sz="0" w:space="0" w:color="auto"/>
          </w:divBdr>
        </w:div>
        <w:div w:id="1100296802">
          <w:marLeft w:val="0"/>
          <w:marRight w:val="0"/>
          <w:marTop w:val="0"/>
          <w:marBottom w:val="0"/>
          <w:divBdr>
            <w:top w:val="none" w:sz="0" w:space="0" w:color="auto"/>
            <w:left w:val="none" w:sz="0" w:space="0" w:color="auto"/>
            <w:bottom w:val="none" w:sz="0" w:space="0" w:color="auto"/>
            <w:right w:val="none" w:sz="0" w:space="0" w:color="auto"/>
          </w:divBdr>
        </w:div>
        <w:div w:id="1663966885">
          <w:marLeft w:val="0"/>
          <w:marRight w:val="0"/>
          <w:marTop w:val="0"/>
          <w:marBottom w:val="0"/>
          <w:divBdr>
            <w:top w:val="none" w:sz="0" w:space="0" w:color="auto"/>
            <w:left w:val="none" w:sz="0" w:space="0" w:color="auto"/>
            <w:bottom w:val="none" w:sz="0" w:space="0" w:color="auto"/>
            <w:right w:val="none" w:sz="0" w:space="0" w:color="auto"/>
          </w:divBdr>
        </w:div>
      </w:divsChild>
    </w:div>
    <w:div w:id="211937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31851-FC3A-4B5F-BC61-24CB6CBB3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786</Words>
  <Characters>4597</Characters>
  <Application>Microsoft Office Word</Application>
  <DocSecurity>0</DocSecurity>
  <Lines>76</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Krasemann, Susanne</dc:creator>
  <cp:keywords/>
  <dc:description/>
  <cp:lastModifiedBy>S3G_Reference_Citation_Sequence</cp:lastModifiedBy>
  <cp:revision>16</cp:revision>
  <cp:lastPrinted>2019-05-10T08:48:00Z</cp:lastPrinted>
  <dcterms:created xsi:type="dcterms:W3CDTF">2019-05-10T08:41:00Z</dcterms:created>
  <dcterms:modified xsi:type="dcterms:W3CDTF">2019-05-16T06:24:00Z</dcterms:modified>
</cp:coreProperties>
</file>