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EBF" w:rsidRPr="00B64CAE" w:rsidRDefault="00101EBF" w:rsidP="00101EBF">
      <w:pPr>
        <w:jc w:val="both"/>
        <w:rPr>
          <w:sz w:val="20"/>
          <w:szCs w:val="20"/>
          <w:lang w:val="en-US"/>
        </w:rPr>
      </w:pPr>
      <w:r w:rsidRPr="00B64CAE">
        <w:rPr>
          <w:b/>
          <w:sz w:val="20"/>
          <w:szCs w:val="20"/>
          <w:lang w:val="en-US"/>
        </w:rPr>
        <w:t xml:space="preserve">Supplementary table SIV: Differential gene expression in </w:t>
      </w:r>
      <w:proofErr w:type="spellStart"/>
      <w:r w:rsidRPr="00B64CAE">
        <w:rPr>
          <w:b/>
          <w:sz w:val="20"/>
          <w:szCs w:val="20"/>
          <w:lang w:val="en-US"/>
        </w:rPr>
        <w:t>IDH</w:t>
      </w:r>
      <w:r>
        <w:rPr>
          <w:b/>
          <w:sz w:val="20"/>
          <w:szCs w:val="20"/>
          <w:vertAlign w:val="superscript"/>
          <w:lang w:val="en-US"/>
        </w:rPr>
        <w:t>IDHwt</w:t>
      </w:r>
      <w:proofErr w:type="spellEnd"/>
      <w:r w:rsidRPr="00B64CAE">
        <w:rPr>
          <w:b/>
          <w:sz w:val="20"/>
          <w:szCs w:val="20"/>
          <w:vertAlign w:val="superscript"/>
          <w:lang w:val="en-US"/>
        </w:rPr>
        <w:t xml:space="preserve"> </w:t>
      </w:r>
      <w:proofErr w:type="spellStart"/>
      <w:r w:rsidRPr="00B64CAE">
        <w:rPr>
          <w:b/>
          <w:sz w:val="20"/>
          <w:szCs w:val="20"/>
          <w:lang w:val="en-US"/>
        </w:rPr>
        <w:t>gliomas</w:t>
      </w:r>
      <w:proofErr w:type="spellEnd"/>
      <w:r w:rsidRPr="00B64CAE">
        <w:rPr>
          <w:b/>
          <w:sz w:val="20"/>
          <w:szCs w:val="20"/>
          <w:lang w:val="en-US"/>
        </w:rPr>
        <w:t xml:space="preserve"> from cluster B </w:t>
      </w:r>
      <w:proofErr w:type="spellStart"/>
      <w:r w:rsidRPr="00B64CAE">
        <w:rPr>
          <w:b/>
          <w:sz w:val="20"/>
          <w:szCs w:val="20"/>
          <w:lang w:val="en-US"/>
        </w:rPr>
        <w:t>vs</w:t>
      </w:r>
      <w:proofErr w:type="spellEnd"/>
      <w:r w:rsidRPr="00B64CAE">
        <w:rPr>
          <w:b/>
          <w:sz w:val="20"/>
          <w:szCs w:val="20"/>
          <w:lang w:val="en-US"/>
        </w:rPr>
        <w:t xml:space="preserve"> cluster A. </w:t>
      </w:r>
      <w:r w:rsidRPr="00B64CAE">
        <w:rPr>
          <w:color w:val="000000" w:themeColor="text1"/>
          <w:sz w:val="20"/>
          <w:szCs w:val="20"/>
          <w:lang w:val="en-US"/>
        </w:rPr>
        <w:t xml:space="preserve">A total of 4 genes were differentially expressed between the cluster A and the </w:t>
      </w:r>
      <w:proofErr w:type="spellStart"/>
      <w:r w:rsidRPr="00B64CAE">
        <w:rPr>
          <w:color w:val="000000" w:themeColor="text1"/>
          <w:sz w:val="20"/>
          <w:szCs w:val="20"/>
          <w:lang w:val="en-US"/>
        </w:rPr>
        <w:t>IDH</w:t>
      </w:r>
      <w:r>
        <w:rPr>
          <w:color w:val="000000" w:themeColor="text1"/>
          <w:sz w:val="20"/>
          <w:szCs w:val="20"/>
          <w:vertAlign w:val="superscript"/>
          <w:lang w:val="en-US"/>
        </w:rPr>
        <w:t>IDHwt</w:t>
      </w:r>
      <w:proofErr w:type="spellEnd"/>
      <w:r w:rsidRPr="00B64CAE">
        <w:rPr>
          <w:color w:val="000000" w:themeColor="text1"/>
          <w:sz w:val="20"/>
          <w:szCs w:val="20"/>
          <w:vertAlign w:val="superscript"/>
          <w:lang w:val="en-US"/>
        </w:rPr>
        <w:t xml:space="preserve"> </w:t>
      </w:r>
      <w:proofErr w:type="spellStart"/>
      <w:r w:rsidRPr="00B64CAE">
        <w:rPr>
          <w:color w:val="000000" w:themeColor="text1"/>
          <w:sz w:val="20"/>
          <w:szCs w:val="20"/>
          <w:lang w:val="en-US"/>
        </w:rPr>
        <w:t>gliomas</w:t>
      </w:r>
      <w:proofErr w:type="spellEnd"/>
      <w:r w:rsidRPr="00B64CAE">
        <w:rPr>
          <w:color w:val="000000" w:themeColor="text1"/>
          <w:sz w:val="20"/>
          <w:szCs w:val="20"/>
          <w:lang w:val="en-US"/>
        </w:rPr>
        <w:t xml:space="preserve"> that grouped in cluster B. Only genes that were significantly different are shown. Mean gene expression values (FPM) values for the clusters are given. For significance: A </w:t>
      </w:r>
      <w:proofErr w:type="spellStart"/>
      <w:r w:rsidRPr="00B64CAE">
        <w:rPr>
          <w:color w:val="000000" w:themeColor="text1"/>
          <w:sz w:val="20"/>
          <w:szCs w:val="20"/>
          <w:lang w:val="en-US"/>
        </w:rPr>
        <w:t>Wilcoxon</w:t>
      </w:r>
      <w:proofErr w:type="spellEnd"/>
      <w:r w:rsidRPr="00B64CAE">
        <w:rPr>
          <w:color w:val="000000" w:themeColor="text1"/>
          <w:sz w:val="20"/>
          <w:szCs w:val="20"/>
          <w:lang w:val="en-US"/>
        </w:rPr>
        <w:t xml:space="preserve">-Mann-Whitney test with multiple testing correction was performed. Values are significant when the p-value is lower than the False Discovery Rate (FDR).  The cutoff for the FDR was &lt;0.05. </w:t>
      </w:r>
      <w:bookmarkStart w:id="0" w:name="_GoBack"/>
      <w:bookmarkEnd w:id="0"/>
    </w:p>
    <w:tbl>
      <w:tblPr>
        <w:tblStyle w:val="Lichtearcering-accent12"/>
        <w:tblW w:w="5000" w:type="pct"/>
        <w:tblLook w:val="04A0"/>
      </w:tblPr>
      <w:tblGrid>
        <w:gridCol w:w="1484"/>
        <w:gridCol w:w="1889"/>
        <w:gridCol w:w="2881"/>
        <w:gridCol w:w="1518"/>
        <w:gridCol w:w="1516"/>
      </w:tblGrid>
      <w:tr w:rsidR="00101EBF" w:rsidRPr="00B64CAE" w:rsidTr="005E27D5">
        <w:trPr>
          <w:cnfStyle w:val="100000000000"/>
          <w:trHeight w:val="300"/>
        </w:trPr>
        <w:tc>
          <w:tcPr>
            <w:cnfStyle w:val="001000000000"/>
            <w:tcW w:w="851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Gene</w:t>
            </w:r>
          </w:p>
        </w:tc>
        <w:tc>
          <w:tcPr>
            <w:tcW w:w="887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1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Mean</w:t>
            </w:r>
            <w:proofErr w:type="spellEnd"/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 xml:space="preserve"> FPM cluster A</w:t>
            </w:r>
          </w:p>
        </w:tc>
        <w:tc>
          <w:tcPr>
            <w:tcW w:w="1525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1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  <w:t>mean FPM IDH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perscript"/>
                <w:lang w:val="en-US" w:eastAsia="nl-NL"/>
              </w:rPr>
              <w:t>IDHWT</w:t>
            </w: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  <w:t>s in cluster B</w:t>
            </w:r>
          </w:p>
        </w:tc>
        <w:tc>
          <w:tcPr>
            <w:tcW w:w="869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1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p-value</w:t>
            </w:r>
            <w:proofErr w:type="spellEnd"/>
          </w:p>
        </w:tc>
        <w:tc>
          <w:tcPr>
            <w:tcW w:w="869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1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FDR</w:t>
            </w:r>
          </w:p>
        </w:tc>
      </w:tr>
      <w:tr w:rsidR="00101EBF" w:rsidRPr="00B64CAE" w:rsidTr="005E27D5">
        <w:trPr>
          <w:cnfStyle w:val="000000100000"/>
          <w:trHeight w:val="300"/>
        </w:trPr>
        <w:tc>
          <w:tcPr>
            <w:cnfStyle w:val="001000000000"/>
            <w:tcW w:w="851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VEGF165</w:t>
            </w:r>
          </w:p>
        </w:tc>
        <w:tc>
          <w:tcPr>
            <w:tcW w:w="887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1666.451</w:t>
            </w:r>
          </w:p>
        </w:tc>
        <w:tc>
          <w:tcPr>
            <w:tcW w:w="1525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58.500</w:t>
            </w:r>
          </w:p>
        </w:tc>
        <w:tc>
          <w:tcPr>
            <w:tcW w:w="869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0.000</w:t>
            </w:r>
          </w:p>
        </w:tc>
        <w:tc>
          <w:tcPr>
            <w:tcW w:w="869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0.000</w:t>
            </w:r>
          </w:p>
        </w:tc>
      </w:tr>
      <w:tr w:rsidR="00101EBF" w:rsidRPr="00B64CAE" w:rsidTr="005E27D5">
        <w:trPr>
          <w:trHeight w:val="300"/>
        </w:trPr>
        <w:tc>
          <w:tcPr>
            <w:cnfStyle w:val="001000000000"/>
            <w:tcW w:w="851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VEGF189</w:t>
            </w:r>
          </w:p>
        </w:tc>
        <w:tc>
          <w:tcPr>
            <w:tcW w:w="887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977.172</w:t>
            </w:r>
          </w:p>
        </w:tc>
        <w:tc>
          <w:tcPr>
            <w:tcW w:w="1525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41.042</w:t>
            </w:r>
          </w:p>
        </w:tc>
        <w:tc>
          <w:tcPr>
            <w:tcW w:w="869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0.000</w:t>
            </w:r>
          </w:p>
        </w:tc>
        <w:tc>
          <w:tcPr>
            <w:tcW w:w="869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0.000</w:t>
            </w:r>
          </w:p>
        </w:tc>
      </w:tr>
      <w:tr w:rsidR="00101EBF" w:rsidRPr="00B64CAE" w:rsidTr="005E27D5">
        <w:trPr>
          <w:cnfStyle w:val="000000100000"/>
          <w:trHeight w:val="300"/>
        </w:trPr>
        <w:tc>
          <w:tcPr>
            <w:cnfStyle w:val="001000000000"/>
            <w:tcW w:w="851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VEGF</w:t>
            </w:r>
          </w:p>
        </w:tc>
        <w:tc>
          <w:tcPr>
            <w:tcW w:w="887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316.292</w:t>
            </w:r>
          </w:p>
        </w:tc>
        <w:tc>
          <w:tcPr>
            <w:tcW w:w="1525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13.778</w:t>
            </w:r>
          </w:p>
        </w:tc>
        <w:tc>
          <w:tcPr>
            <w:tcW w:w="869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0.000</w:t>
            </w:r>
          </w:p>
        </w:tc>
        <w:tc>
          <w:tcPr>
            <w:tcW w:w="869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0.000</w:t>
            </w:r>
          </w:p>
        </w:tc>
      </w:tr>
      <w:tr w:rsidR="00101EBF" w:rsidRPr="00B64CAE" w:rsidTr="005E27D5">
        <w:trPr>
          <w:trHeight w:val="300"/>
        </w:trPr>
        <w:tc>
          <w:tcPr>
            <w:cnfStyle w:val="001000000000"/>
            <w:tcW w:w="851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VEGF121</w:t>
            </w:r>
          </w:p>
        </w:tc>
        <w:tc>
          <w:tcPr>
            <w:tcW w:w="887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865.596</w:t>
            </w:r>
          </w:p>
        </w:tc>
        <w:tc>
          <w:tcPr>
            <w:tcW w:w="1525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65.298</w:t>
            </w:r>
          </w:p>
        </w:tc>
        <w:tc>
          <w:tcPr>
            <w:tcW w:w="869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0.000</w:t>
            </w:r>
          </w:p>
        </w:tc>
        <w:tc>
          <w:tcPr>
            <w:tcW w:w="869" w:type="pct"/>
            <w:noWrap/>
            <w:vAlign w:val="center"/>
            <w:hideMark/>
          </w:tcPr>
          <w:p w:rsidR="00101EBF" w:rsidRPr="00B64CAE" w:rsidRDefault="00101EBF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0.000</w:t>
            </w:r>
          </w:p>
        </w:tc>
      </w:tr>
    </w:tbl>
    <w:p w:rsidR="00BC6D31" w:rsidRPr="00101EBF" w:rsidRDefault="00101EBF" w:rsidP="00101EBF">
      <w:pPr>
        <w:jc w:val="both"/>
        <w:rPr>
          <w:sz w:val="20"/>
          <w:szCs w:val="20"/>
          <w:vertAlign w:val="superscript"/>
          <w:lang w:val="en-US"/>
        </w:rPr>
      </w:pPr>
      <w:r w:rsidRPr="00B64CAE">
        <w:rPr>
          <w:sz w:val="20"/>
          <w:szCs w:val="20"/>
          <w:vertAlign w:val="superscript"/>
          <w:lang w:val="en-US"/>
        </w:rPr>
        <w:t xml:space="preserve"> </w:t>
      </w:r>
    </w:p>
    <w:sectPr w:rsidR="00BC6D31" w:rsidRPr="00101EBF" w:rsidSect="00B64C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D87" w:rsidRDefault="00EC7D87" w:rsidP="00342CD6">
      <w:r>
        <w:separator/>
      </w:r>
    </w:p>
  </w:endnote>
  <w:endnote w:type="continuationSeparator" w:id="0">
    <w:p w:rsidR="00EC7D87" w:rsidRDefault="00EC7D87" w:rsidP="00342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31" w:rsidRDefault="00BC6D31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31" w:rsidRDefault="00BC6D31">
    <w:pPr>
      <w:pStyle w:val="Voetteks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31" w:rsidRDefault="00BC6D31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D87" w:rsidRDefault="00EC7D87" w:rsidP="00342CD6">
      <w:r>
        <w:separator/>
      </w:r>
    </w:p>
  </w:footnote>
  <w:footnote w:type="continuationSeparator" w:id="0">
    <w:p w:rsidR="00EC7D87" w:rsidRDefault="00EC7D87" w:rsidP="00342C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31" w:rsidRDefault="00BC6D31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31" w:rsidRDefault="00BC6D31">
    <w:pPr>
      <w:pStyle w:val="Kopteks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31" w:rsidRDefault="00BC6D31">
    <w:pPr>
      <w:pStyle w:val="Ko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4CAE"/>
    <w:rsid w:val="00022E89"/>
    <w:rsid w:val="00076DF6"/>
    <w:rsid w:val="00101EBF"/>
    <w:rsid w:val="00137207"/>
    <w:rsid w:val="00180F9A"/>
    <w:rsid w:val="001F5EDA"/>
    <w:rsid w:val="00244CD9"/>
    <w:rsid w:val="00250207"/>
    <w:rsid w:val="00342CD6"/>
    <w:rsid w:val="00356948"/>
    <w:rsid w:val="003C3B80"/>
    <w:rsid w:val="004170C6"/>
    <w:rsid w:val="004274D0"/>
    <w:rsid w:val="00456CDE"/>
    <w:rsid w:val="00584FC6"/>
    <w:rsid w:val="005C376B"/>
    <w:rsid w:val="005D4BF5"/>
    <w:rsid w:val="00607DCE"/>
    <w:rsid w:val="007D25AE"/>
    <w:rsid w:val="007D332F"/>
    <w:rsid w:val="00810F94"/>
    <w:rsid w:val="0086724F"/>
    <w:rsid w:val="00953CF6"/>
    <w:rsid w:val="009D5A2C"/>
    <w:rsid w:val="009D7738"/>
    <w:rsid w:val="00A10E5D"/>
    <w:rsid w:val="00A326A5"/>
    <w:rsid w:val="00AA5824"/>
    <w:rsid w:val="00AE7734"/>
    <w:rsid w:val="00AF2ACC"/>
    <w:rsid w:val="00B1126A"/>
    <w:rsid w:val="00B55D5D"/>
    <w:rsid w:val="00B64CAE"/>
    <w:rsid w:val="00BA4AA9"/>
    <w:rsid w:val="00BA4DA3"/>
    <w:rsid w:val="00BC6D31"/>
    <w:rsid w:val="00C07863"/>
    <w:rsid w:val="00C237BF"/>
    <w:rsid w:val="00C241E5"/>
    <w:rsid w:val="00C309A9"/>
    <w:rsid w:val="00C34636"/>
    <w:rsid w:val="00C41640"/>
    <w:rsid w:val="00D41FEA"/>
    <w:rsid w:val="00D655D4"/>
    <w:rsid w:val="00DB2F0F"/>
    <w:rsid w:val="00DC3344"/>
    <w:rsid w:val="00E45C4E"/>
    <w:rsid w:val="00EC7D87"/>
    <w:rsid w:val="00F7009F"/>
    <w:rsid w:val="00F95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64CAE"/>
    <w:pPr>
      <w:spacing w:after="0" w:line="240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Lichtearcering-accent11">
    <w:name w:val="Lichte arcering - accent 11"/>
    <w:basedOn w:val="Standaardtabel"/>
    <w:uiPriority w:val="60"/>
    <w:rsid w:val="00B64CA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Koptekst">
    <w:name w:val="header"/>
    <w:basedOn w:val="Standaard"/>
    <w:link w:val="KoptekstChar"/>
    <w:uiPriority w:val="99"/>
    <w:semiHidden/>
    <w:unhideWhenUsed/>
    <w:rsid w:val="00B64C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B64CAE"/>
  </w:style>
  <w:style w:type="paragraph" w:styleId="Voettekst">
    <w:name w:val="footer"/>
    <w:basedOn w:val="Standaard"/>
    <w:link w:val="VoettekstChar"/>
    <w:uiPriority w:val="99"/>
    <w:semiHidden/>
    <w:unhideWhenUsed/>
    <w:rsid w:val="00B64C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B64CAE"/>
  </w:style>
  <w:style w:type="character" w:styleId="Hyperlink">
    <w:name w:val="Hyperlink"/>
    <w:basedOn w:val="Standaardalinea-lettertype"/>
    <w:uiPriority w:val="99"/>
    <w:semiHidden/>
    <w:unhideWhenUsed/>
    <w:rsid w:val="00B64CAE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64CAE"/>
    <w:rPr>
      <w:color w:val="800080"/>
      <w:u w:val="single"/>
    </w:rPr>
  </w:style>
  <w:style w:type="paragraph" w:customStyle="1" w:styleId="xl64">
    <w:name w:val="xl64"/>
    <w:basedOn w:val="Standaard"/>
    <w:rsid w:val="00B64CAE"/>
    <w:pPr>
      <w:shd w:val="clear" w:color="000000" w:fill="C6EFCE"/>
      <w:spacing w:before="100" w:beforeAutospacing="1" w:after="100" w:afterAutospacing="1"/>
    </w:pPr>
    <w:rPr>
      <w:rFonts w:ascii="Times New Roman" w:eastAsia="Times New Roman" w:hAnsi="Times New Roman" w:cs="Times New Roman"/>
      <w:color w:val="006100"/>
      <w:sz w:val="24"/>
      <w:szCs w:val="24"/>
      <w:lang w:eastAsia="nl-NL"/>
    </w:rPr>
  </w:style>
  <w:style w:type="paragraph" w:customStyle="1" w:styleId="xl65">
    <w:name w:val="xl65"/>
    <w:basedOn w:val="Standaard"/>
    <w:rsid w:val="00B64CAE"/>
    <w:pPr>
      <w:shd w:val="clear" w:color="000000" w:fill="C6EFCE"/>
      <w:spacing w:before="100" w:beforeAutospacing="1" w:after="100" w:afterAutospacing="1"/>
    </w:pPr>
    <w:rPr>
      <w:rFonts w:ascii="Times New Roman" w:eastAsia="Times New Roman" w:hAnsi="Times New Roman" w:cs="Times New Roman"/>
      <w:color w:val="006100"/>
      <w:sz w:val="24"/>
      <w:szCs w:val="24"/>
      <w:lang w:eastAsia="nl-NL"/>
    </w:rPr>
  </w:style>
  <w:style w:type="paragraph" w:customStyle="1" w:styleId="xl66">
    <w:name w:val="xl66"/>
    <w:basedOn w:val="Standaard"/>
    <w:rsid w:val="00B64CAE"/>
    <w:pPr>
      <w:shd w:val="clear" w:color="000000" w:fill="C6EFCE"/>
      <w:spacing w:before="100" w:beforeAutospacing="1" w:after="100" w:afterAutospacing="1"/>
    </w:pPr>
    <w:rPr>
      <w:rFonts w:ascii="Times New Roman" w:eastAsia="Times New Roman" w:hAnsi="Times New Roman" w:cs="Times New Roman"/>
      <w:color w:val="006100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64CA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64CAE"/>
    <w:rPr>
      <w:rFonts w:ascii="Tahoma" w:hAnsi="Tahoma" w:cs="Tahoma"/>
      <w:sz w:val="16"/>
      <w:szCs w:val="16"/>
    </w:rPr>
  </w:style>
  <w:style w:type="table" w:customStyle="1" w:styleId="Lichtearcering-accent12">
    <w:name w:val="Lichte arcering - accent 12"/>
    <w:basedOn w:val="Standaardtabel"/>
    <w:uiPriority w:val="60"/>
    <w:rsid w:val="00B64CA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4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St Radboud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z513152</dc:creator>
  <cp:lastModifiedBy>William Leenders</cp:lastModifiedBy>
  <cp:revision>3</cp:revision>
  <dcterms:created xsi:type="dcterms:W3CDTF">2019-08-06T07:21:00Z</dcterms:created>
  <dcterms:modified xsi:type="dcterms:W3CDTF">2019-08-06T07:22:00Z</dcterms:modified>
</cp:coreProperties>
</file>