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01C" w:rsidRPr="00B64CAE" w:rsidRDefault="0020001C" w:rsidP="0020001C">
      <w:pPr>
        <w:jc w:val="both"/>
        <w:rPr>
          <w:color w:val="000000" w:themeColor="text1"/>
          <w:sz w:val="20"/>
          <w:szCs w:val="20"/>
          <w:lang w:val="en-US"/>
        </w:rPr>
      </w:pPr>
      <w:r w:rsidRPr="00B64CAE">
        <w:rPr>
          <w:b/>
          <w:color w:val="000000" w:themeColor="text1"/>
          <w:sz w:val="20"/>
          <w:szCs w:val="20"/>
          <w:lang w:val="en-US"/>
        </w:rPr>
        <w:t xml:space="preserve">Table </w:t>
      </w:r>
      <w:proofErr w:type="spellStart"/>
      <w:r w:rsidRPr="00B64CAE">
        <w:rPr>
          <w:b/>
          <w:color w:val="000000" w:themeColor="text1"/>
          <w:sz w:val="20"/>
          <w:szCs w:val="20"/>
          <w:lang w:val="en-US"/>
        </w:rPr>
        <w:t>S</w:t>
      </w:r>
      <w:r w:rsidR="0021515E">
        <w:rPr>
          <w:b/>
          <w:color w:val="000000" w:themeColor="text1"/>
          <w:sz w:val="20"/>
          <w:szCs w:val="20"/>
          <w:lang w:val="en-US"/>
        </w:rPr>
        <w:t>I</w:t>
      </w:r>
      <w:r w:rsidRPr="00B64CAE">
        <w:rPr>
          <w:b/>
          <w:color w:val="000000" w:themeColor="text1"/>
          <w:sz w:val="20"/>
          <w:szCs w:val="20"/>
          <w:lang w:val="en-US"/>
        </w:rPr>
        <w:t>Va</w:t>
      </w:r>
      <w:proofErr w:type="spellEnd"/>
      <w:r w:rsidRPr="00B64CAE">
        <w:rPr>
          <w:b/>
          <w:color w:val="000000" w:themeColor="text1"/>
          <w:sz w:val="20"/>
          <w:szCs w:val="20"/>
          <w:lang w:val="en-US"/>
        </w:rPr>
        <w:t xml:space="preserve">: Differential gene expression in </w:t>
      </w:r>
      <w:proofErr w:type="spellStart"/>
      <w:r w:rsidRPr="00B64CAE">
        <w:rPr>
          <w:b/>
          <w:color w:val="000000" w:themeColor="text1"/>
          <w:sz w:val="20"/>
          <w:szCs w:val="20"/>
          <w:lang w:val="en-US"/>
        </w:rPr>
        <w:t>oligodendroglioma</w:t>
      </w:r>
      <w:proofErr w:type="spellEnd"/>
      <w:r w:rsidRPr="00B64CAE">
        <w:rPr>
          <w:b/>
          <w:color w:val="000000" w:themeColor="text1"/>
          <w:sz w:val="20"/>
          <w:szCs w:val="20"/>
          <w:lang w:val="en-US"/>
        </w:rPr>
        <w:t xml:space="preserve"> (O) vs. </w:t>
      </w:r>
      <w:proofErr w:type="spellStart"/>
      <w:r w:rsidRPr="00B64CAE">
        <w:rPr>
          <w:b/>
          <w:color w:val="000000" w:themeColor="text1"/>
          <w:sz w:val="20"/>
          <w:szCs w:val="20"/>
          <w:lang w:val="en-US"/>
        </w:rPr>
        <w:t>glioblastoma</w:t>
      </w:r>
      <w:proofErr w:type="spellEnd"/>
      <w:r w:rsidRPr="00B64CAE">
        <w:rPr>
          <w:b/>
          <w:color w:val="000000" w:themeColor="text1"/>
          <w:sz w:val="20"/>
          <w:szCs w:val="20"/>
          <w:lang w:val="en-US"/>
        </w:rPr>
        <w:t xml:space="preserve"> (G). </w:t>
      </w:r>
      <w:r w:rsidRPr="00B64CAE">
        <w:rPr>
          <w:color w:val="000000" w:themeColor="text1"/>
          <w:sz w:val="20"/>
          <w:szCs w:val="20"/>
          <w:lang w:val="en-US"/>
        </w:rPr>
        <w:t xml:space="preserve">A total of 79 genes were differentially expressed between the two histological types. Only genes that were significantly different are shown. Mean gene expression values (FPM) values for the histological type are given.  For significance: A </w:t>
      </w:r>
      <w:proofErr w:type="spellStart"/>
      <w:r w:rsidRPr="00B64CAE">
        <w:rPr>
          <w:color w:val="000000" w:themeColor="text1"/>
          <w:sz w:val="20"/>
          <w:szCs w:val="20"/>
          <w:lang w:val="en-US"/>
        </w:rPr>
        <w:t>Wilcoxon</w:t>
      </w:r>
      <w:proofErr w:type="spellEnd"/>
      <w:r w:rsidRPr="00B64CAE">
        <w:rPr>
          <w:color w:val="000000" w:themeColor="text1"/>
          <w:sz w:val="20"/>
          <w:szCs w:val="20"/>
          <w:lang w:val="en-US"/>
        </w:rPr>
        <w:t>-Mann-Whitney test with multiple testing correction was performed. Values are significant when the p-value is lower than the False Discovery Rate (FDR).  The cutoff for the FDR was &lt;0.05.</w:t>
      </w:r>
    </w:p>
    <w:tbl>
      <w:tblPr>
        <w:tblStyle w:val="Lichtearcering-accent11"/>
        <w:tblW w:w="5000" w:type="pct"/>
        <w:tblLook w:val="04A0"/>
      </w:tblPr>
      <w:tblGrid>
        <w:gridCol w:w="1809"/>
        <w:gridCol w:w="1984"/>
        <w:gridCol w:w="2268"/>
        <w:gridCol w:w="1984"/>
        <w:gridCol w:w="1243"/>
      </w:tblGrid>
      <w:tr w:rsidR="0020001C" w:rsidRPr="00B64CAE" w:rsidTr="00F6163E">
        <w:trPr>
          <w:cnfStyle w:val="1000000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Gene</w:t>
            </w:r>
          </w:p>
        </w:tc>
        <w:tc>
          <w:tcPr>
            <w:tcW w:w="1068" w:type="pct"/>
            <w:noWrap/>
            <w:vAlign w:val="center"/>
            <w:hideMark/>
          </w:tcPr>
          <w:p w:rsidR="0020001C" w:rsidRPr="00B64CAE" w:rsidRDefault="0020001C" w:rsidP="00F6163E">
            <w:pPr>
              <w:jc w:val="center"/>
              <w:cnfStyle w:val="10000000000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Mean</w:t>
            </w:r>
            <w:proofErr w:type="spellEnd"/>
            <w:r w:rsidRPr="00B64CAE">
              <w:rPr>
                <w:rFonts w:ascii="Calibri" w:eastAsia="Times New Roman" w:hAnsi="Calibri" w:cs="Times New Roman"/>
                <w:color w:val="000000"/>
                <w:sz w:val="20"/>
                <w:szCs w:val="20"/>
                <w:lang w:eastAsia="nl-NL"/>
              </w:rPr>
              <w:t xml:space="preserve"> FPM O</w:t>
            </w:r>
          </w:p>
        </w:tc>
        <w:tc>
          <w:tcPr>
            <w:tcW w:w="1221" w:type="pct"/>
            <w:noWrap/>
            <w:vAlign w:val="center"/>
            <w:hideMark/>
          </w:tcPr>
          <w:p w:rsidR="0020001C" w:rsidRPr="00B64CAE" w:rsidRDefault="0020001C" w:rsidP="00F6163E">
            <w:pPr>
              <w:jc w:val="center"/>
              <w:cnfStyle w:val="10000000000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Mean</w:t>
            </w:r>
            <w:proofErr w:type="spellEnd"/>
            <w:r w:rsidRPr="00B64CAE">
              <w:rPr>
                <w:rFonts w:ascii="Calibri" w:eastAsia="Times New Roman" w:hAnsi="Calibri" w:cs="Times New Roman"/>
                <w:color w:val="000000"/>
                <w:sz w:val="20"/>
                <w:szCs w:val="20"/>
                <w:lang w:eastAsia="nl-NL"/>
              </w:rPr>
              <w:t xml:space="preserve"> FPM G</w:t>
            </w:r>
          </w:p>
        </w:tc>
        <w:tc>
          <w:tcPr>
            <w:tcW w:w="1068" w:type="pct"/>
            <w:noWrap/>
            <w:vAlign w:val="center"/>
            <w:hideMark/>
          </w:tcPr>
          <w:p w:rsidR="0020001C" w:rsidRPr="00B64CAE" w:rsidRDefault="0020001C" w:rsidP="00F6163E">
            <w:pPr>
              <w:jc w:val="center"/>
              <w:cnfStyle w:val="10000000000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p-value</w:t>
            </w:r>
            <w:proofErr w:type="spellEnd"/>
          </w:p>
        </w:tc>
        <w:tc>
          <w:tcPr>
            <w:tcW w:w="669" w:type="pct"/>
            <w:noWrap/>
            <w:vAlign w:val="center"/>
            <w:hideMark/>
          </w:tcPr>
          <w:p w:rsidR="0020001C" w:rsidRPr="00B64CAE" w:rsidRDefault="0020001C" w:rsidP="00F6163E">
            <w:pPr>
              <w:jc w:val="center"/>
              <w:cnfStyle w:val="1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FDR</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LDHA</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463.02</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4028.73</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PFKM</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1407.65</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500.74</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ABAT</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1583.34</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399.70</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BCAT1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144.99</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1381.35</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LDHB</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8884.68</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4012.27</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CBS</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402.38</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137.79</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CS</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736.33</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404.79</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SLC16A3</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89.69</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531.71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ACACA</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472.83</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242.18</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GLUD1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4025.21</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975.93</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SOD2</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5038.11</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19897.21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GAD1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722.64</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143.80</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GPI_1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381.53</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708.30</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GLUD2</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218.58</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46.31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ERBB4</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318.29</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84.29</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NAMPT</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596.93</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4997.24</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PC</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366.68</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137.33</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NTRK2</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14968.00</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5092.23</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PGAM1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892.07</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477.72</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ATP5C1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2483.77</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1222.98</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SOD1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898.90</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438.60</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IDH3G</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608.65</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343.61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SDHA</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1184.38</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704.97</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VEGF121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88.85</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742.05</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HK2</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13.10</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81.33</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23.96</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285.94</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GOT1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106.80</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48.45</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MAPK8</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317.58</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133.45</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GPI_2</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530.35</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990.43</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IGF1R</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575.63</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399.28</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VEGF189</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46.73</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811.61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ACO2</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409.97</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210.37</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GCLC</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732.70</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269.77</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VEGF165</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118.02</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1236.81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IDH3A</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277.82</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154.24</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D2HGDH</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151.50</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80.91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SLC7A1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1706.62</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934.94</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SLC2A3</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1301.77</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4686.36</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SLC9A1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170.53</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346.93</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L2HGDH</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40.92</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20.11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ATP5A1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3468.10</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2187.43</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lastRenderedPageBreak/>
              <w:t>SDHC</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1285.31</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880.65</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PDHA1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521.22</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279.67</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CA9</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17.94</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93.48</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MDH1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603.55</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369.90</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MET</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10.84</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55.95</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PGK1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1967.94</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3595.70</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FBP1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17.48</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59.52</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ALK</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128.78</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47.28</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CHKA</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177.20</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106.08</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CKB</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7498.28</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3500.81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BRAF</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402.55</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252.92</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SLC16A7</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176.87</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136.02</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SLC16A1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681.52</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1137.67</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CA12</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227.88</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1055.67</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TALDO1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1782.59</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1193.87</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PDGFRA</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5294.95</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4427.43</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ENO1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8027.94</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12392.53</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SDHD</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868.54</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628.45</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ERBB3</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349.27</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78.66</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EGLN1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274.98</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185.77</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FH</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228.96</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171.13</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GAPDH</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25070.21</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32132.06</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PDK1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179.88</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312.18</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FASN</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242.72</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158.25</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HK3</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4.04</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12.87</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CPT1A</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410.11</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276.92</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GCLM</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92.92</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146.69</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PFKFB1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2.55</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GPT</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8.25</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3.66</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G6PC</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1.83</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0.33</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IDH2</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854.75</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520.60</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GLUL</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3973.52</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1858.98</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PLXND1</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173.71</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336.24</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CD274</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13.98</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27.86</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ADPGK</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196.23</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308.57</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SLC1A2</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9679.14</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5159.91</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20001C" w:rsidRPr="00B64CAE" w:rsidTr="00F6163E">
        <w:trPr>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PTEN</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855.24</w:t>
            </w:r>
          </w:p>
        </w:tc>
        <w:tc>
          <w:tcPr>
            <w:tcW w:w="1221"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551.86</w:t>
            </w:r>
          </w:p>
        </w:tc>
        <w:tc>
          <w:tcPr>
            <w:tcW w:w="1068"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0.004</w:t>
            </w:r>
          </w:p>
        </w:tc>
        <w:tc>
          <w:tcPr>
            <w:tcW w:w="669" w:type="pct"/>
            <w:noWrap/>
            <w:vAlign w:val="center"/>
            <w:hideMark/>
          </w:tcPr>
          <w:p w:rsidR="0020001C" w:rsidRPr="00B64CAE" w:rsidRDefault="0020001C" w:rsidP="00F6163E">
            <w:pPr>
              <w:jc w:val="center"/>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r w:rsidR="0020001C" w:rsidRPr="00B64CAE" w:rsidTr="00F6163E">
        <w:trPr>
          <w:cnfStyle w:val="000000100000"/>
          <w:trHeight w:val="300"/>
        </w:trPr>
        <w:tc>
          <w:tcPr>
            <w:cnfStyle w:val="001000000000"/>
            <w:tcW w:w="974" w:type="pct"/>
            <w:noWrap/>
            <w:vAlign w:val="center"/>
            <w:hideMark/>
          </w:tcPr>
          <w:p w:rsidR="0020001C" w:rsidRPr="00B64CAE" w:rsidRDefault="0020001C" w:rsidP="00F6163E">
            <w:pPr>
              <w:jc w:val="center"/>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GLDC</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409.85</w:t>
            </w:r>
          </w:p>
        </w:tc>
        <w:tc>
          <w:tcPr>
            <w:tcW w:w="1221"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247.87</w:t>
            </w:r>
          </w:p>
        </w:tc>
        <w:tc>
          <w:tcPr>
            <w:tcW w:w="1068"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c>
          <w:tcPr>
            <w:tcW w:w="669" w:type="pct"/>
            <w:noWrap/>
            <w:vAlign w:val="center"/>
            <w:hideMark/>
          </w:tcPr>
          <w:p w:rsidR="0020001C" w:rsidRPr="00B64CAE" w:rsidRDefault="0020001C" w:rsidP="00F6163E">
            <w:pPr>
              <w:jc w:val="center"/>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0.005</w:t>
            </w:r>
          </w:p>
        </w:tc>
      </w:tr>
    </w:tbl>
    <w:p w:rsidR="0020001C" w:rsidRPr="00B64CAE" w:rsidRDefault="0020001C" w:rsidP="0020001C">
      <w:pPr>
        <w:jc w:val="both"/>
        <w:rPr>
          <w:sz w:val="20"/>
          <w:szCs w:val="20"/>
          <w:lang w:val="en-US"/>
        </w:rPr>
      </w:pPr>
      <w:r w:rsidRPr="00B64CAE">
        <w:rPr>
          <w:sz w:val="20"/>
          <w:szCs w:val="20"/>
          <w:lang w:val="en-US"/>
        </w:rPr>
        <w:br w:type="page"/>
      </w:r>
    </w:p>
    <w:p w:rsidR="0020001C" w:rsidRPr="00B64CAE" w:rsidRDefault="0020001C" w:rsidP="0020001C">
      <w:pPr>
        <w:jc w:val="both"/>
        <w:rPr>
          <w:sz w:val="20"/>
          <w:szCs w:val="20"/>
          <w:lang w:val="en-US"/>
        </w:rPr>
      </w:pPr>
      <w:r w:rsidRPr="00B64CAE">
        <w:rPr>
          <w:b/>
          <w:color w:val="000000" w:themeColor="text1"/>
          <w:sz w:val="20"/>
          <w:szCs w:val="20"/>
          <w:lang w:val="en-US"/>
        </w:rPr>
        <w:lastRenderedPageBreak/>
        <w:t xml:space="preserve">Table </w:t>
      </w:r>
      <w:proofErr w:type="spellStart"/>
      <w:r w:rsidRPr="00B64CAE">
        <w:rPr>
          <w:b/>
          <w:color w:val="000000" w:themeColor="text1"/>
          <w:sz w:val="20"/>
          <w:szCs w:val="20"/>
          <w:lang w:val="en-US"/>
        </w:rPr>
        <w:t>S</w:t>
      </w:r>
      <w:r w:rsidR="0021515E">
        <w:rPr>
          <w:b/>
          <w:color w:val="000000" w:themeColor="text1"/>
          <w:sz w:val="20"/>
          <w:szCs w:val="20"/>
          <w:lang w:val="en-US"/>
        </w:rPr>
        <w:t>I</w:t>
      </w:r>
      <w:r w:rsidRPr="00B64CAE">
        <w:rPr>
          <w:b/>
          <w:color w:val="000000" w:themeColor="text1"/>
          <w:sz w:val="20"/>
          <w:szCs w:val="20"/>
          <w:lang w:val="en-US"/>
        </w:rPr>
        <w:t>Vb</w:t>
      </w:r>
      <w:proofErr w:type="spellEnd"/>
      <w:r w:rsidRPr="00B64CAE">
        <w:rPr>
          <w:b/>
          <w:color w:val="000000" w:themeColor="text1"/>
          <w:sz w:val="20"/>
          <w:szCs w:val="20"/>
          <w:lang w:val="en-US"/>
        </w:rPr>
        <w:t xml:space="preserve">: Differential gene expression in </w:t>
      </w:r>
      <w:proofErr w:type="spellStart"/>
      <w:r w:rsidRPr="00B64CAE">
        <w:rPr>
          <w:b/>
          <w:color w:val="000000" w:themeColor="text1"/>
          <w:sz w:val="20"/>
          <w:szCs w:val="20"/>
          <w:lang w:val="en-US"/>
        </w:rPr>
        <w:t>Astrocytomas</w:t>
      </w:r>
      <w:proofErr w:type="spellEnd"/>
      <w:r w:rsidRPr="00B64CAE">
        <w:rPr>
          <w:b/>
          <w:color w:val="000000" w:themeColor="text1"/>
          <w:sz w:val="20"/>
          <w:szCs w:val="20"/>
          <w:lang w:val="en-US"/>
        </w:rPr>
        <w:t xml:space="preserve"> (A) vs. </w:t>
      </w:r>
      <w:proofErr w:type="spellStart"/>
      <w:r w:rsidRPr="00B64CAE">
        <w:rPr>
          <w:b/>
          <w:color w:val="000000" w:themeColor="text1"/>
          <w:sz w:val="20"/>
          <w:szCs w:val="20"/>
          <w:lang w:val="en-US"/>
        </w:rPr>
        <w:t>glioblastoma</w:t>
      </w:r>
      <w:proofErr w:type="spellEnd"/>
      <w:r w:rsidRPr="00B64CAE">
        <w:rPr>
          <w:b/>
          <w:color w:val="000000" w:themeColor="text1"/>
          <w:sz w:val="20"/>
          <w:szCs w:val="20"/>
          <w:lang w:val="en-US"/>
        </w:rPr>
        <w:t xml:space="preserve"> (G). </w:t>
      </w:r>
      <w:r w:rsidRPr="00B64CAE">
        <w:rPr>
          <w:color w:val="000000" w:themeColor="text1"/>
          <w:sz w:val="20"/>
          <w:szCs w:val="20"/>
          <w:lang w:val="en-US"/>
        </w:rPr>
        <w:t xml:space="preserve">A total of 50 genes were differentially expressed between the two histological types. Only genes that were significantly different are shown. Mean gene expression values (FPM) values for the histological type are given.  For significance: A </w:t>
      </w:r>
      <w:proofErr w:type="spellStart"/>
      <w:r w:rsidRPr="00B64CAE">
        <w:rPr>
          <w:color w:val="000000" w:themeColor="text1"/>
          <w:sz w:val="20"/>
          <w:szCs w:val="20"/>
          <w:lang w:val="en-US"/>
        </w:rPr>
        <w:t>Wilcoxon</w:t>
      </w:r>
      <w:proofErr w:type="spellEnd"/>
      <w:r w:rsidRPr="00B64CAE">
        <w:rPr>
          <w:color w:val="000000" w:themeColor="text1"/>
          <w:sz w:val="20"/>
          <w:szCs w:val="20"/>
          <w:lang w:val="en-US"/>
        </w:rPr>
        <w:t>-Mann-Whitney test with multiple testing correction was performed. Values are significant when the p-value is lower than the False Discovery Rate (FDR).  The cutoff for the FDR was &lt;0.05.</w:t>
      </w:r>
    </w:p>
    <w:tbl>
      <w:tblPr>
        <w:tblStyle w:val="Lichtearcering-accent11"/>
        <w:tblW w:w="5000" w:type="pct"/>
        <w:tblLook w:val="04A0"/>
      </w:tblPr>
      <w:tblGrid>
        <w:gridCol w:w="1807"/>
        <w:gridCol w:w="1986"/>
        <w:gridCol w:w="2268"/>
        <w:gridCol w:w="1986"/>
        <w:gridCol w:w="1241"/>
      </w:tblGrid>
      <w:tr w:rsidR="0020001C" w:rsidRPr="00B64CAE" w:rsidTr="00F6163E">
        <w:trPr>
          <w:cnfStyle w:val="1000000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Gene</w:t>
            </w:r>
          </w:p>
        </w:tc>
        <w:tc>
          <w:tcPr>
            <w:tcW w:w="1069" w:type="pct"/>
            <w:noWrap/>
            <w:vAlign w:val="center"/>
            <w:hideMark/>
          </w:tcPr>
          <w:p w:rsidR="0020001C" w:rsidRPr="00B64CAE" w:rsidRDefault="0020001C" w:rsidP="00F6163E">
            <w:pPr>
              <w:jc w:val="both"/>
              <w:cnfStyle w:val="10000000000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Mean</w:t>
            </w:r>
            <w:proofErr w:type="spellEnd"/>
            <w:r w:rsidRPr="00B64CAE">
              <w:rPr>
                <w:rFonts w:ascii="Calibri" w:eastAsia="Times New Roman" w:hAnsi="Calibri" w:cs="Times New Roman"/>
                <w:color w:val="000000"/>
                <w:sz w:val="20"/>
                <w:szCs w:val="20"/>
                <w:lang w:eastAsia="nl-NL"/>
              </w:rPr>
              <w:t xml:space="preserve"> FPM A</w:t>
            </w:r>
          </w:p>
        </w:tc>
        <w:tc>
          <w:tcPr>
            <w:tcW w:w="1221" w:type="pct"/>
            <w:noWrap/>
            <w:vAlign w:val="center"/>
            <w:hideMark/>
          </w:tcPr>
          <w:p w:rsidR="0020001C" w:rsidRPr="00B64CAE" w:rsidRDefault="0020001C" w:rsidP="00F6163E">
            <w:pPr>
              <w:jc w:val="both"/>
              <w:cnfStyle w:val="10000000000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Mean</w:t>
            </w:r>
            <w:proofErr w:type="spellEnd"/>
            <w:r w:rsidRPr="00B64CAE">
              <w:rPr>
                <w:rFonts w:ascii="Calibri" w:eastAsia="Times New Roman" w:hAnsi="Calibri" w:cs="Times New Roman"/>
                <w:color w:val="000000"/>
                <w:sz w:val="20"/>
                <w:szCs w:val="20"/>
                <w:lang w:eastAsia="nl-NL"/>
              </w:rPr>
              <w:t xml:space="preserve"> FPM G</w:t>
            </w:r>
          </w:p>
        </w:tc>
        <w:tc>
          <w:tcPr>
            <w:tcW w:w="1069" w:type="pct"/>
            <w:noWrap/>
            <w:vAlign w:val="center"/>
            <w:hideMark/>
          </w:tcPr>
          <w:p w:rsidR="0020001C" w:rsidRPr="00B64CAE" w:rsidRDefault="0020001C" w:rsidP="00F6163E">
            <w:pPr>
              <w:jc w:val="both"/>
              <w:cnfStyle w:val="10000000000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p-value</w:t>
            </w:r>
            <w:proofErr w:type="spellEnd"/>
            <w:r w:rsidRPr="00B64CAE">
              <w:rPr>
                <w:rFonts w:ascii="Calibri" w:eastAsia="Times New Roman" w:hAnsi="Calibri" w:cs="Times New Roman"/>
                <w:color w:val="000000"/>
                <w:sz w:val="20"/>
                <w:szCs w:val="20"/>
                <w:lang w:eastAsia="nl-NL"/>
              </w:rPr>
              <w:t xml:space="preserve"> </w:t>
            </w:r>
          </w:p>
        </w:tc>
        <w:tc>
          <w:tcPr>
            <w:tcW w:w="669" w:type="pct"/>
            <w:noWrap/>
            <w:vAlign w:val="center"/>
            <w:hideMark/>
          </w:tcPr>
          <w:p w:rsidR="0020001C" w:rsidRPr="00B64CAE" w:rsidRDefault="0020001C" w:rsidP="00F6163E">
            <w:pPr>
              <w:jc w:val="both"/>
              <w:cnfStyle w:val="1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FDR</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GLUD1</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5293.31</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975.93</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GLUD2</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304.69</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46.31</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BCAT1</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189.25</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1381.35</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NTRK2</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20109.69</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5092.23</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ATP5C1</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2809.18</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1222.98</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CA12</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82.87</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1055.67</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LDHA</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1110.43</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4028.73</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PRKAA2</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67.07</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31.50</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VEGF189</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32.90</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811.61</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ERBB4</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399.15</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84.29</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PFKM</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1094.09</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500.74</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14.87</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285.94</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MAPK8</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294.62</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133.45</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GLUL</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3749.54</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1858.98</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ABAT</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1080.06</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399.70</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GCLC</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721.35</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269.77</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PGK1</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1686.07</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3595.70</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VEGF121</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79.82</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742.05</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VEGF165</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73.90</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1236.81</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PC</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360.63</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137.33</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LDHB</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7509.53</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4012.27</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ACO2</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372.76</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210.37</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IDH3G</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532.97</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343.61</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MYC</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1673.47</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638.66</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ATP5A1</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3057.38</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2187.43</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CBR1</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77.69</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236.58</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MERTK</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883.48</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415.34</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IGF1R</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699.41</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399.28</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EPAS1</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567.49</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1146.52</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CBS</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434.54</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137.79</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SLC16A3</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162.31</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531.71</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GAPDH</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22245.75</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32132.06</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CS</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731.72</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404.79</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PDK1</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147.57</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312.18</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CA9</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13.50</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93.48</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SLC7A1</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1662.44</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934.94</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L2HGDH</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37.57</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20.11</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GAD1</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375.31</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143.80</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NAMPT</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1094.00</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4997.24</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ACACA</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368.84</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242.18</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GPI_1</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462.18</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708.30</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lastRenderedPageBreak/>
              <w:t>PKM</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3186.93</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4822.66</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ERBB3</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172.65</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78.66</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D2HGDH</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116.55</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80.91</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0.001</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GPT</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8.48</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3.66</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PTEN</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901.95</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551.86</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SLC9A1</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185.68</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346.93</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NQO1</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69.02</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171.00</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0.002</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SLC2A3</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1885.76</w:t>
            </w:r>
          </w:p>
        </w:tc>
        <w:tc>
          <w:tcPr>
            <w:tcW w:w="1221"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4686.36</w:t>
            </w:r>
          </w:p>
        </w:tc>
        <w:tc>
          <w:tcPr>
            <w:tcW w:w="10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r w:rsidR="0020001C" w:rsidRPr="00B64CAE" w:rsidTr="00F6163E">
        <w:trPr>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FASN</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256.59</w:t>
            </w:r>
          </w:p>
        </w:tc>
        <w:tc>
          <w:tcPr>
            <w:tcW w:w="1221"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158.25</w:t>
            </w:r>
          </w:p>
        </w:tc>
        <w:tc>
          <w:tcPr>
            <w:tcW w:w="10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c>
          <w:tcPr>
            <w:tcW w:w="669" w:type="pct"/>
            <w:noWrap/>
            <w:vAlign w:val="center"/>
            <w:hideMark/>
          </w:tcPr>
          <w:p w:rsidR="0020001C" w:rsidRPr="00B64CAE" w:rsidRDefault="0020001C" w:rsidP="00F6163E">
            <w:pPr>
              <w:jc w:val="both"/>
              <w:cnfStyle w:val="0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0.003</w:t>
            </w:r>
          </w:p>
        </w:tc>
      </w:tr>
    </w:tbl>
    <w:p w:rsidR="0020001C" w:rsidRPr="00B64CAE" w:rsidRDefault="0020001C" w:rsidP="0020001C">
      <w:pPr>
        <w:jc w:val="both"/>
        <w:rPr>
          <w:sz w:val="20"/>
          <w:szCs w:val="20"/>
          <w:lang w:val="en-US"/>
        </w:rPr>
      </w:pPr>
    </w:p>
    <w:p w:rsidR="0020001C" w:rsidRPr="00B64CAE" w:rsidRDefault="0020001C" w:rsidP="0020001C">
      <w:pPr>
        <w:jc w:val="both"/>
        <w:rPr>
          <w:sz w:val="20"/>
          <w:szCs w:val="20"/>
          <w:lang w:val="en-US"/>
        </w:rPr>
      </w:pPr>
    </w:p>
    <w:p w:rsidR="0020001C" w:rsidRPr="00B64CAE" w:rsidRDefault="0021515E" w:rsidP="0020001C">
      <w:pPr>
        <w:jc w:val="both"/>
        <w:rPr>
          <w:sz w:val="20"/>
          <w:szCs w:val="20"/>
          <w:lang w:val="en-US"/>
        </w:rPr>
      </w:pPr>
      <w:r>
        <w:rPr>
          <w:b/>
          <w:color w:val="000000" w:themeColor="text1"/>
          <w:sz w:val="20"/>
          <w:szCs w:val="20"/>
          <w:lang w:val="en-US"/>
        </w:rPr>
        <w:t xml:space="preserve">Table </w:t>
      </w:r>
      <w:proofErr w:type="spellStart"/>
      <w:r>
        <w:rPr>
          <w:b/>
          <w:color w:val="000000" w:themeColor="text1"/>
          <w:sz w:val="20"/>
          <w:szCs w:val="20"/>
          <w:lang w:val="en-US"/>
        </w:rPr>
        <w:t>S</w:t>
      </w:r>
      <w:r w:rsidR="007F33B3">
        <w:rPr>
          <w:b/>
          <w:color w:val="000000" w:themeColor="text1"/>
          <w:sz w:val="20"/>
          <w:szCs w:val="20"/>
          <w:lang w:val="en-US"/>
        </w:rPr>
        <w:t>I</w:t>
      </w:r>
      <w:r>
        <w:rPr>
          <w:b/>
          <w:color w:val="000000" w:themeColor="text1"/>
          <w:sz w:val="20"/>
          <w:szCs w:val="20"/>
          <w:lang w:val="en-US"/>
        </w:rPr>
        <w:t>V</w:t>
      </w:r>
      <w:r w:rsidR="0020001C" w:rsidRPr="00B64CAE">
        <w:rPr>
          <w:b/>
          <w:color w:val="000000" w:themeColor="text1"/>
          <w:sz w:val="20"/>
          <w:szCs w:val="20"/>
          <w:lang w:val="en-US"/>
        </w:rPr>
        <w:t>c</w:t>
      </w:r>
      <w:proofErr w:type="spellEnd"/>
      <w:r w:rsidR="0020001C" w:rsidRPr="00B64CAE">
        <w:rPr>
          <w:b/>
          <w:color w:val="000000" w:themeColor="text1"/>
          <w:sz w:val="20"/>
          <w:szCs w:val="20"/>
          <w:lang w:val="en-US"/>
        </w:rPr>
        <w:t xml:space="preserve">: Differential gene expression in </w:t>
      </w:r>
      <w:proofErr w:type="spellStart"/>
      <w:r w:rsidR="0020001C" w:rsidRPr="00B64CAE">
        <w:rPr>
          <w:b/>
          <w:color w:val="000000" w:themeColor="text1"/>
          <w:sz w:val="20"/>
          <w:szCs w:val="20"/>
          <w:lang w:val="en-US"/>
        </w:rPr>
        <w:t>Astrocytomas</w:t>
      </w:r>
      <w:proofErr w:type="spellEnd"/>
      <w:r w:rsidR="0020001C" w:rsidRPr="00B64CAE">
        <w:rPr>
          <w:b/>
          <w:color w:val="000000" w:themeColor="text1"/>
          <w:sz w:val="20"/>
          <w:szCs w:val="20"/>
          <w:lang w:val="en-US"/>
        </w:rPr>
        <w:t xml:space="preserve"> (A) vs. </w:t>
      </w:r>
      <w:proofErr w:type="spellStart"/>
      <w:r w:rsidR="0020001C" w:rsidRPr="00B64CAE">
        <w:rPr>
          <w:b/>
          <w:color w:val="000000" w:themeColor="text1"/>
          <w:sz w:val="20"/>
          <w:szCs w:val="20"/>
          <w:lang w:val="en-US"/>
        </w:rPr>
        <w:t>oligodendroglioma</w:t>
      </w:r>
      <w:proofErr w:type="spellEnd"/>
      <w:r w:rsidR="0020001C" w:rsidRPr="00B64CAE">
        <w:rPr>
          <w:b/>
          <w:color w:val="000000" w:themeColor="text1"/>
          <w:sz w:val="20"/>
          <w:szCs w:val="20"/>
          <w:lang w:val="en-US"/>
        </w:rPr>
        <w:t xml:space="preserve"> (O). </w:t>
      </w:r>
      <w:r w:rsidR="0020001C" w:rsidRPr="00B64CAE">
        <w:rPr>
          <w:color w:val="000000" w:themeColor="text1"/>
          <w:sz w:val="20"/>
          <w:szCs w:val="20"/>
          <w:lang w:val="en-US"/>
        </w:rPr>
        <w:t xml:space="preserve">One gene was differentially expressed between the two histological types. Only genes that were significantly different are shown. Mean gene expression values (FPM) values for the histological type are given.  For significance: A </w:t>
      </w:r>
      <w:proofErr w:type="spellStart"/>
      <w:r w:rsidR="0020001C" w:rsidRPr="00B64CAE">
        <w:rPr>
          <w:color w:val="000000" w:themeColor="text1"/>
          <w:sz w:val="20"/>
          <w:szCs w:val="20"/>
          <w:lang w:val="en-US"/>
        </w:rPr>
        <w:t>Wilcoxon</w:t>
      </w:r>
      <w:proofErr w:type="spellEnd"/>
      <w:r w:rsidR="0020001C" w:rsidRPr="00B64CAE">
        <w:rPr>
          <w:color w:val="000000" w:themeColor="text1"/>
          <w:sz w:val="20"/>
          <w:szCs w:val="20"/>
          <w:lang w:val="en-US"/>
        </w:rPr>
        <w:t>-Mann-Whitney test with multiple testing correction was performed. Values are significant when the p-value is lower than the False Discovery Rate (FDR).  The cutoff for the FDR was &lt;0.05.</w:t>
      </w:r>
    </w:p>
    <w:tbl>
      <w:tblPr>
        <w:tblStyle w:val="Lichtearcering-accent11"/>
        <w:tblW w:w="5000" w:type="pct"/>
        <w:tblLook w:val="04A0"/>
      </w:tblPr>
      <w:tblGrid>
        <w:gridCol w:w="1808"/>
        <w:gridCol w:w="2015"/>
        <w:gridCol w:w="2240"/>
        <w:gridCol w:w="1984"/>
        <w:gridCol w:w="1241"/>
      </w:tblGrid>
      <w:tr w:rsidR="0020001C" w:rsidRPr="00B64CAE" w:rsidTr="00F6163E">
        <w:trPr>
          <w:cnfStyle w:val="1000000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Gene</w:t>
            </w:r>
          </w:p>
        </w:tc>
        <w:tc>
          <w:tcPr>
            <w:tcW w:w="1085" w:type="pct"/>
            <w:noWrap/>
            <w:vAlign w:val="center"/>
            <w:hideMark/>
          </w:tcPr>
          <w:p w:rsidR="0020001C" w:rsidRPr="00B64CAE" w:rsidRDefault="0020001C" w:rsidP="00F6163E">
            <w:pPr>
              <w:jc w:val="both"/>
              <w:cnfStyle w:val="10000000000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Mean</w:t>
            </w:r>
            <w:proofErr w:type="spellEnd"/>
            <w:r w:rsidRPr="00B64CAE">
              <w:rPr>
                <w:rFonts w:ascii="Calibri" w:eastAsia="Times New Roman" w:hAnsi="Calibri" w:cs="Times New Roman"/>
                <w:color w:val="000000"/>
                <w:sz w:val="20"/>
                <w:szCs w:val="20"/>
                <w:lang w:eastAsia="nl-NL"/>
              </w:rPr>
              <w:t xml:space="preserve"> FPM A</w:t>
            </w:r>
          </w:p>
        </w:tc>
        <w:tc>
          <w:tcPr>
            <w:tcW w:w="1206" w:type="pct"/>
            <w:noWrap/>
            <w:vAlign w:val="center"/>
            <w:hideMark/>
          </w:tcPr>
          <w:p w:rsidR="0020001C" w:rsidRPr="00B64CAE" w:rsidRDefault="0020001C" w:rsidP="00F6163E">
            <w:pPr>
              <w:jc w:val="both"/>
              <w:cnfStyle w:val="10000000000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Mean</w:t>
            </w:r>
            <w:proofErr w:type="spellEnd"/>
            <w:r w:rsidRPr="00B64CAE">
              <w:rPr>
                <w:rFonts w:ascii="Calibri" w:eastAsia="Times New Roman" w:hAnsi="Calibri" w:cs="Times New Roman"/>
                <w:color w:val="000000"/>
                <w:sz w:val="20"/>
                <w:szCs w:val="20"/>
                <w:lang w:eastAsia="nl-NL"/>
              </w:rPr>
              <w:t xml:space="preserve"> FPM O</w:t>
            </w:r>
          </w:p>
        </w:tc>
        <w:tc>
          <w:tcPr>
            <w:tcW w:w="1068" w:type="pct"/>
            <w:noWrap/>
            <w:vAlign w:val="center"/>
            <w:hideMark/>
          </w:tcPr>
          <w:p w:rsidR="0020001C" w:rsidRPr="00B64CAE" w:rsidRDefault="0020001C" w:rsidP="00F6163E">
            <w:pPr>
              <w:jc w:val="both"/>
              <w:cnfStyle w:val="100000000000"/>
              <w:rPr>
                <w:rFonts w:ascii="Calibri" w:eastAsia="Times New Roman" w:hAnsi="Calibri" w:cs="Times New Roman"/>
                <w:color w:val="000000"/>
                <w:sz w:val="20"/>
                <w:szCs w:val="20"/>
                <w:lang w:eastAsia="nl-NL"/>
              </w:rPr>
            </w:pPr>
            <w:proofErr w:type="spellStart"/>
            <w:r w:rsidRPr="00B64CAE">
              <w:rPr>
                <w:rFonts w:ascii="Calibri" w:eastAsia="Times New Roman" w:hAnsi="Calibri" w:cs="Times New Roman"/>
                <w:color w:val="000000"/>
                <w:sz w:val="20"/>
                <w:szCs w:val="20"/>
                <w:lang w:eastAsia="nl-NL"/>
              </w:rPr>
              <w:t>p-value</w:t>
            </w:r>
            <w:proofErr w:type="spellEnd"/>
            <w:r w:rsidRPr="00B64CAE">
              <w:rPr>
                <w:rFonts w:ascii="Calibri" w:eastAsia="Times New Roman" w:hAnsi="Calibri" w:cs="Times New Roman"/>
                <w:color w:val="000000"/>
                <w:sz w:val="20"/>
                <w:szCs w:val="20"/>
                <w:lang w:eastAsia="nl-NL"/>
              </w:rPr>
              <w:t xml:space="preserve"> </w:t>
            </w:r>
          </w:p>
        </w:tc>
        <w:tc>
          <w:tcPr>
            <w:tcW w:w="669" w:type="pct"/>
            <w:noWrap/>
            <w:vAlign w:val="center"/>
            <w:hideMark/>
          </w:tcPr>
          <w:p w:rsidR="0020001C" w:rsidRPr="00B64CAE" w:rsidRDefault="0020001C" w:rsidP="00F6163E">
            <w:pPr>
              <w:jc w:val="both"/>
              <w:cnfStyle w:val="1000000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FDR</w:t>
            </w:r>
          </w:p>
        </w:tc>
      </w:tr>
      <w:tr w:rsidR="0020001C" w:rsidRPr="00B64CAE" w:rsidTr="00F6163E">
        <w:trPr>
          <w:cnfStyle w:val="000000100000"/>
          <w:trHeight w:val="300"/>
        </w:trPr>
        <w:tc>
          <w:tcPr>
            <w:cnfStyle w:val="001000000000"/>
            <w:tcW w:w="973" w:type="pct"/>
            <w:noWrap/>
            <w:vAlign w:val="center"/>
            <w:hideMark/>
          </w:tcPr>
          <w:p w:rsidR="0020001C" w:rsidRPr="00B64CAE" w:rsidRDefault="0020001C" w:rsidP="00F6163E">
            <w:pPr>
              <w:jc w:val="both"/>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ALK</w:t>
            </w:r>
          </w:p>
        </w:tc>
        <w:tc>
          <w:tcPr>
            <w:tcW w:w="1085"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19.61</w:t>
            </w:r>
          </w:p>
        </w:tc>
        <w:tc>
          <w:tcPr>
            <w:tcW w:w="1206"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128.78</w:t>
            </w:r>
          </w:p>
        </w:tc>
        <w:tc>
          <w:tcPr>
            <w:tcW w:w="1068"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c>
          <w:tcPr>
            <w:tcW w:w="669" w:type="pct"/>
            <w:noWrap/>
            <w:vAlign w:val="center"/>
            <w:hideMark/>
          </w:tcPr>
          <w:p w:rsidR="0020001C" w:rsidRPr="00B64CAE" w:rsidRDefault="0020001C" w:rsidP="00F6163E">
            <w:pPr>
              <w:jc w:val="both"/>
              <w:cnfStyle w:val="000000100000"/>
              <w:rPr>
                <w:rFonts w:ascii="Calibri" w:eastAsia="Times New Roman" w:hAnsi="Calibri" w:cs="Times New Roman"/>
                <w:color w:val="000000"/>
                <w:sz w:val="20"/>
                <w:szCs w:val="20"/>
                <w:lang w:eastAsia="nl-NL"/>
              </w:rPr>
            </w:pPr>
            <w:r w:rsidRPr="00B64CAE">
              <w:rPr>
                <w:rFonts w:ascii="Calibri" w:eastAsia="Times New Roman" w:hAnsi="Calibri" w:cs="Times New Roman"/>
                <w:color w:val="000000"/>
                <w:sz w:val="20"/>
                <w:szCs w:val="20"/>
                <w:lang w:eastAsia="nl-NL"/>
              </w:rPr>
              <w:t>0.000</w:t>
            </w:r>
          </w:p>
        </w:tc>
      </w:tr>
    </w:tbl>
    <w:p w:rsidR="0020001C" w:rsidRPr="00B64CAE" w:rsidRDefault="0020001C" w:rsidP="0020001C">
      <w:pPr>
        <w:jc w:val="both"/>
        <w:rPr>
          <w:sz w:val="20"/>
          <w:szCs w:val="20"/>
          <w:lang w:val="en-US"/>
        </w:rPr>
      </w:pPr>
    </w:p>
    <w:p w:rsidR="007A5979" w:rsidRDefault="0021515E"/>
    <w:sectPr w:rsidR="007A5979" w:rsidSect="008B1E6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defaultTabStop w:val="708"/>
  <w:hyphenationZone w:val="425"/>
  <w:characterSpacingControl w:val="doNotCompress"/>
  <w:compat/>
  <w:rsids>
    <w:rsidRoot w:val="0020001C"/>
    <w:rsid w:val="0020001C"/>
    <w:rsid w:val="0021515E"/>
    <w:rsid w:val="00706A3A"/>
    <w:rsid w:val="00731266"/>
    <w:rsid w:val="007F33B3"/>
    <w:rsid w:val="008B1E67"/>
    <w:rsid w:val="00A9460F"/>
    <w:rsid w:val="00F111B1"/>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0001C"/>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Lichtearcering-accent11">
    <w:name w:val="Lichte arcering - accent 11"/>
    <w:basedOn w:val="Standaardtabel"/>
    <w:uiPriority w:val="60"/>
    <w:rsid w:val="0020001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5033</Characters>
  <Application>Microsoft Office Word</Application>
  <DocSecurity>0</DocSecurity>
  <Lines>41</Lines>
  <Paragraphs>11</Paragraphs>
  <ScaleCrop>false</ScaleCrop>
  <Company/>
  <LinksUpToDate>false</LinksUpToDate>
  <CharactersWithSpaces>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Leenders</dc:creator>
  <cp:lastModifiedBy>William Leenders</cp:lastModifiedBy>
  <cp:revision>3</cp:revision>
  <dcterms:created xsi:type="dcterms:W3CDTF">2019-08-04T11:25:00Z</dcterms:created>
  <dcterms:modified xsi:type="dcterms:W3CDTF">2019-09-07T11:41:00Z</dcterms:modified>
</cp:coreProperties>
</file>