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4DDBB" w14:textId="7FDC8D64" w:rsidR="0098037D" w:rsidRPr="00753A98" w:rsidRDefault="00B01B8E" w:rsidP="00753A98">
      <w:pPr>
        <w:autoSpaceDE w:val="0"/>
        <w:autoSpaceDN w:val="0"/>
        <w:adjustRightInd w:val="0"/>
        <w:snapToGrid w:val="0"/>
        <w:jc w:val="both"/>
        <w:rPr>
          <w:b/>
          <w:bCs/>
          <w:sz w:val="23"/>
          <w:szCs w:val="23"/>
        </w:rPr>
      </w:pPr>
      <w:r>
        <w:rPr>
          <w:b/>
          <w:bCs/>
          <w:sz w:val="23"/>
          <w:szCs w:val="23"/>
        </w:rPr>
        <w:t>Additional file 1</w:t>
      </w:r>
    </w:p>
    <w:p w14:paraId="581B0328" w14:textId="77777777" w:rsidR="0098037D" w:rsidRPr="00753A98" w:rsidRDefault="0098037D" w:rsidP="00753A98">
      <w:pPr>
        <w:autoSpaceDE w:val="0"/>
        <w:autoSpaceDN w:val="0"/>
        <w:adjustRightInd w:val="0"/>
        <w:snapToGrid w:val="0"/>
        <w:jc w:val="both"/>
        <w:rPr>
          <w:b/>
          <w:bCs/>
          <w:color w:val="000000"/>
          <w:lang w:val="en-CA"/>
        </w:rPr>
      </w:pPr>
    </w:p>
    <w:p w14:paraId="40B6299D" w14:textId="77777777" w:rsidR="00393DF1" w:rsidRPr="00684100" w:rsidRDefault="00393DF1" w:rsidP="00393DF1">
      <w:pPr>
        <w:autoSpaceDE w:val="0"/>
        <w:autoSpaceDN w:val="0"/>
        <w:adjustRightInd w:val="0"/>
        <w:snapToGrid w:val="0"/>
        <w:spacing w:line="360" w:lineRule="auto"/>
        <w:jc w:val="center"/>
        <w:rPr>
          <w:b/>
          <w:bCs/>
          <w:i/>
          <w:iCs/>
          <w:color w:val="000000"/>
          <w:lang w:val="en-CA"/>
        </w:rPr>
      </w:pPr>
      <w:r w:rsidRPr="00684100">
        <w:rPr>
          <w:b/>
          <w:bCs/>
          <w:i/>
          <w:iCs/>
          <w:color w:val="000000"/>
          <w:lang w:val="en-CA"/>
        </w:rPr>
        <w:t>Methylene blue inhibits Caspase-6 activity, and reverses Caspase-6-induced cognitive impairment and neuroinflammation in aged mice</w:t>
      </w:r>
    </w:p>
    <w:p w14:paraId="276737F0" w14:textId="77777777" w:rsidR="00393DF1" w:rsidRPr="00684100" w:rsidRDefault="00393DF1" w:rsidP="00393DF1">
      <w:pPr>
        <w:autoSpaceDE w:val="0"/>
        <w:autoSpaceDN w:val="0"/>
        <w:adjustRightInd w:val="0"/>
        <w:snapToGrid w:val="0"/>
        <w:spacing w:line="360" w:lineRule="auto"/>
        <w:jc w:val="center"/>
        <w:rPr>
          <w:color w:val="000000"/>
          <w:lang w:val="en-CA"/>
        </w:rPr>
      </w:pPr>
    </w:p>
    <w:p w14:paraId="6777DA15" w14:textId="77777777" w:rsidR="00393DF1" w:rsidRPr="00DE06F9" w:rsidRDefault="00393DF1" w:rsidP="00393DF1">
      <w:pPr>
        <w:autoSpaceDE w:val="0"/>
        <w:autoSpaceDN w:val="0"/>
        <w:adjustRightInd w:val="0"/>
        <w:snapToGrid w:val="0"/>
        <w:spacing w:line="360" w:lineRule="auto"/>
        <w:jc w:val="center"/>
        <w:rPr>
          <w:color w:val="000000"/>
          <w:vertAlign w:val="superscript"/>
          <w:lang w:val="en-CA"/>
        </w:rPr>
      </w:pPr>
      <w:r w:rsidRPr="00DE06F9">
        <w:rPr>
          <w:color w:val="000000"/>
          <w:lang w:val="en-CA"/>
        </w:rPr>
        <w:t>Libin Zhou</w:t>
      </w:r>
      <w:r w:rsidRPr="00DE06F9">
        <w:rPr>
          <w:color w:val="000000"/>
          <w:vertAlign w:val="superscript"/>
          <w:lang w:val="en-CA"/>
        </w:rPr>
        <w:t>1,2</w:t>
      </w:r>
      <w:r w:rsidRPr="00DE06F9">
        <w:rPr>
          <w:color w:val="000000"/>
          <w:lang w:val="en-CA"/>
        </w:rPr>
        <w:t xml:space="preserve">, </w:t>
      </w:r>
      <w:r>
        <w:rPr>
          <w:color w:val="000000"/>
          <w:lang w:val="en-CA"/>
        </w:rPr>
        <w:t>Joseph Flores</w:t>
      </w:r>
      <w:r>
        <w:rPr>
          <w:color w:val="000000"/>
          <w:vertAlign w:val="superscript"/>
          <w:lang w:val="en-CA"/>
        </w:rPr>
        <w:t>1</w:t>
      </w:r>
      <w:r>
        <w:rPr>
          <w:color w:val="000000"/>
          <w:lang w:val="en-CA"/>
        </w:rPr>
        <w:t>, Anastasia Noël</w:t>
      </w:r>
      <w:r>
        <w:rPr>
          <w:color w:val="000000"/>
          <w:vertAlign w:val="superscript"/>
          <w:lang w:val="en-CA"/>
        </w:rPr>
        <w:t>1</w:t>
      </w:r>
      <w:r>
        <w:rPr>
          <w:color w:val="000000"/>
          <w:lang w:val="en-CA"/>
        </w:rPr>
        <w:t>, Olivier Beauchet</w:t>
      </w:r>
      <w:r>
        <w:rPr>
          <w:color w:val="000000"/>
          <w:vertAlign w:val="superscript"/>
          <w:lang w:val="en-CA"/>
        </w:rPr>
        <w:t>1,3,4</w:t>
      </w:r>
      <w:r>
        <w:rPr>
          <w:color w:val="000000"/>
          <w:lang w:val="en-CA"/>
        </w:rPr>
        <w:t xml:space="preserve">, </w:t>
      </w:r>
      <w:r w:rsidRPr="00DE06F9">
        <w:rPr>
          <w:color w:val="000000"/>
          <w:lang w:val="en-CA"/>
        </w:rPr>
        <w:t>P. Jesper Sjöström</w:t>
      </w:r>
      <w:r>
        <w:rPr>
          <w:color w:val="000000"/>
          <w:vertAlign w:val="superscript"/>
          <w:lang w:val="en-CA"/>
        </w:rPr>
        <w:t>5</w:t>
      </w:r>
      <w:r w:rsidRPr="00DE06F9">
        <w:rPr>
          <w:color w:val="000000"/>
          <w:lang w:val="en-CA"/>
        </w:rPr>
        <w:t>, and Andrea C. LeBlanc</w:t>
      </w:r>
      <w:r w:rsidRPr="00DE06F9">
        <w:rPr>
          <w:color w:val="000000"/>
          <w:vertAlign w:val="superscript"/>
          <w:lang w:val="en-CA"/>
        </w:rPr>
        <w:t>1,2,</w:t>
      </w:r>
      <w:r>
        <w:rPr>
          <w:color w:val="000000"/>
          <w:vertAlign w:val="superscript"/>
          <w:lang w:val="en-CA"/>
        </w:rPr>
        <w:t>6</w:t>
      </w:r>
      <w:r w:rsidRPr="00DE06F9">
        <w:rPr>
          <w:color w:val="000000"/>
          <w:vertAlign w:val="superscript"/>
          <w:lang w:val="en-CA"/>
        </w:rPr>
        <w:t>*</w:t>
      </w:r>
    </w:p>
    <w:p w14:paraId="7BF65342" w14:textId="77777777" w:rsidR="00393DF1" w:rsidRPr="00DE06F9" w:rsidRDefault="00393DF1" w:rsidP="00393DF1">
      <w:pPr>
        <w:autoSpaceDE w:val="0"/>
        <w:autoSpaceDN w:val="0"/>
        <w:adjustRightInd w:val="0"/>
        <w:snapToGrid w:val="0"/>
        <w:spacing w:line="360" w:lineRule="auto"/>
        <w:jc w:val="center"/>
        <w:rPr>
          <w:color w:val="000000"/>
          <w:vertAlign w:val="superscript"/>
          <w:lang w:val="en-CA"/>
        </w:rPr>
      </w:pPr>
    </w:p>
    <w:p w14:paraId="733B88DB" w14:textId="77777777" w:rsidR="00393DF1" w:rsidRPr="002010B4" w:rsidRDefault="00393DF1" w:rsidP="00393DF1">
      <w:pPr>
        <w:autoSpaceDE w:val="0"/>
        <w:autoSpaceDN w:val="0"/>
        <w:adjustRightInd w:val="0"/>
        <w:snapToGrid w:val="0"/>
        <w:spacing w:line="360" w:lineRule="auto"/>
        <w:rPr>
          <w:color w:val="000000" w:themeColor="text1"/>
          <w:lang w:val="en-CA"/>
        </w:rPr>
      </w:pPr>
      <w:r w:rsidRPr="002010B4">
        <w:rPr>
          <w:color w:val="000000" w:themeColor="text1"/>
          <w:vertAlign w:val="superscript"/>
          <w:lang w:val="en-CA"/>
        </w:rPr>
        <w:t>1</w:t>
      </w:r>
      <w:r w:rsidRPr="002010B4">
        <w:rPr>
          <w:color w:val="000000" w:themeColor="text1"/>
          <w:lang w:val="en-CA"/>
        </w:rPr>
        <w:t xml:space="preserve">Lady Davis Institute for Medical Research at Jewish General Hospital, 3999 Ch. Côte Ste-Catherine, Montreal, QC H3T 1E2, Canada </w:t>
      </w:r>
    </w:p>
    <w:p w14:paraId="4DFE1E43" w14:textId="77777777" w:rsidR="00393DF1" w:rsidRPr="002010B4" w:rsidRDefault="00393DF1" w:rsidP="00393DF1">
      <w:pPr>
        <w:autoSpaceDE w:val="0"/>
        <w:autoSpaceDN w:val="0"/>
        <w:adjustRightInd w:val="0"/>
        <w:snapToGrid w:val="0"/>
        <w:spacing w:line="360" w:lineRule="auto"/>
        <w:rPr>
          <w:color w:val="000000" w:themeColor="text1"/>
          <w:lang w:val="en-CA"/>
        </w:rPr>
      </w:pPr>
      <w:r w:rsidRPr="002010B4">
        <w:rPr>
          <w:color w:val="000000" w:themeColor="text1"/>
          <w:vertAlign w:val="superscript"/>
          <w:lang w:val="en-CA"/>
        </w:rPr>
        <w:t>2</w:t>
      </w:r>
      <w:r w:rsidRPr="002010B4">
        <w:rPr>
          <w:color w:val="000000" w:themeColor="text1"/>
          <w:lang w:val="en-CA"/>
        </w:rPr>
        <w:t>Department of Anatomy and Cell Biology, McGill University, 3640 University Street Strathcona Anatomy Building, Montreal, QC H3A 0C7, Canada</w:t>
      </w:r>
    </w:p>
    <w:p w14:paraId="28DBCEFA" w14:textId="77777777" w:rsidR="00393DF1" w:rsidRPr="002010B4" w:rsidRDefault="00393DF1" w:rsidP="00393DF1">
      <w:pPr>
        <w:autoSpaceDE w:val="0"/>
        <w:autoSpaceDN w:val="0"/>
        <w:adjustRightInd w:val="0"/>
        <w:snapToGrid w:val="0"/>
        <w:spacing w:line="360" w:lineRule="auto"/>
        <w:rPr>
          <w:rFonts w:ascii="Arial Narrow" w:eastAsia="Times New Roman" w:hAnsi="Arial Narrow"/>
          <w:color w:val="000000" w:themeColor="text1"/>
          <w:sz w:val="22"/>
          <w:szCs w:val="22"/>
        </w:rPr>
      </w:pPr>
      <w:r w:rsidRPr="002010B4">
        <w:rPr>
          <w:color w:val="000000" w:themeColor="text1"/>
          <w:vertAlign w:val="superscript"/>
          <w:lang w:val="en-CA"/>
        </w:rPr>
        <w:t>3</w:t>
      </w:r>
      <w:r w:rsidRPr="002010B4">
        <w:rPr>
          <w:color w:val="000000" w:themeColor="text1"/>
          <w:lang w:val="en-CA"/>
        </w:rPr>
        <w:t xml:space="preserve">Department </w:t>
      </w:r>
      <w:r w:rsidRPr="002010B4">
        <w:rPr>
          <w:rFonts w:ascii="Arial Narrow" w:eastAsia="Times New Roman" w:hAnsi="Arial Narrow"/>
          <w:color w:val="000000" w:themeColor="text1"/>
          <w:sz w:val="22"/>
          <w:szCs w:val="22"/>
        </w:rPr>
        <w:t xml:space="preserve">of Medicine, Division of Geriatric Medicine, Sir Mortimer B. Davis - Jewish General Hospital, </w:t>
      </w:r>
      <w:r w:rsidRPr="002010B4">
        <w:rPr>
          <w:color w:val="000000" w:themeColor="text1"/>
          <w:lang w:val="en-CA"/>
        </w:rPr>
        <w:t>3999 Ch. Côte Ste-Catherine, Montreal, QC H3T 1E2, Canada</w:t>
      </w:r>
    </w:p>
    <w:p w14:paraId="13A0101C" w14:textId="77777777" w:rsidR="00393DF1" w:rsidRPr="002010B4" w:rsidRDefault="00393DF1" w:rsidP="00393DF1">
      <w:pPr>
        <w:autoSpaceDE w:val="0"/>
        <w:autoSpaceDN w:val="0"/>
        <w:adjustRightInd w:val="0"/>
        <w:snapToGrid w:val="0"/>
        <w:spacing w:line="360" w:lineRule="auto"/>
        <w:rPr>
          <w:color w:val="000000" w:themeColor="text1"/>
          <w:lang w:val="en-CA"/>
        </w:rPr>
      </w:pPr>
      <w:r w:rsidRPr="002010B4">
        <w:rPr>
          <w:rFonts w:ascii="Arial Narrow" w:eastAsia="Times New Roman" w:hAnsi="Arial Narrow"/>
          <w:color w:val="000000" w:themeColor="text1"/>
          <w:sz w:val="22"/>
          <w:szCs w:val="22"/>
          <w:vertAlign w:val="superscript"/>
        </w:rPr>
        <w:t xml:space="preserve">4 </w:t>
      </w:r>
      <w:r w:rsidRPr="002010B4">
        <w:rPr>
          <w:rFonts w:ascii="Arial Narrow" w:eastAsia="Times New Roman" w:hAnsi="Arial Narrow"/>
          <w:color w:val="000000" w:themeColor="text1"/>
          <w:sz w:val="22"/>
          <w:szCs w:val="22"/>
        </w:rPr>
        <w:t>Lee Kong Chian School of Medicine, Nanyang Technological University, Singapore</w:t>
      </w:r>
    </w:p>
    <w:p w14:paraId="7E96B9FD" w14:textId="77777777" w:rsidR="00393DF1" w:rsidRPr="002010B4" w:rsidRDefault="00393DF1" w:rsidP="00393DF1">
      <w:pPr>
        <w:autoSpaceDE w:val="0"/>
        <w:autoSpaceDN w:val="0"/>
        <w:adjustRightInd w:val="0"/>
        <w:snapToGrid w:val="0"/>
        <w:spacing w:line="360" w:lineRule="auto"/>
        <w:rPr>
          <w:color w:val="000000" w:themeColor="text1"/>
          <w:lang w:val="en-CA"/>
        </w:rPr>
      </w:pPr>
      <w:r w:rsidRPr="002010B4">
        <w:rPr>
          <w:color w:val="000000" w:themeColor="text1"/>
          <w:vertAlign w:val="superscript"/>
          <w:lang w:val="en-CA"/>
        </w:rPr>
        <w:t>5</w:t>
      </w:r>
      <w:r w:rsidRPr="002010B4">
        <w:rPr>
          <w:color w:val="000000" w:themeColor="text1"/>
          <w:lang w:val="en-CA"/>
        </w:rPr>
        <w:t>Centre for Research in Neuroscience, the BRaIN Program, Department of Neurology and Neurosurgery, McGill University, The Research Institute of the McGill University Health Centre, Montreal General Hospital, 1650 Cedar Avenue Montreal, QC H3G 1A4, Canada</w:t>
      </w:r>
    </w:p>
    <w:p w14:paraId="776A2B79" w14:textId="77777777" w:rsidR="00393DF1" w:rsidRPr="002010B4" w:rsidRDefault="00393DF1" w:rsidP="00393DF1">
      <w:pPr>
        <w:autoSpaceDE w:val="0"/>
        <w:autoSpaceDN w:val="0"/>
        <w:adjustRightInd w:val="0"/>
        <w:snapToGrid w:val="0"/>
        <w:spacing w:line="360" w:lineRule="auto"/>
        <w:rPr>
          <w:color w:val="000000" w:themeColor="text1"/>
          <w:lang w:val="en-CA"/>
        </w:rPr>
      </w:pPr>
      <w:r w:rsidRPr="002010B4">
        <w:rPr>
          <w:color w:val="000000" w:themeColor="text1"/>
          <w:vertAlign w:val="superscript"/>
          <w:lang w:val="en-CA"/>
        </w:rPr>
        <w:t>6</w:t>
      </w:r>
      <w:r w:rsidRPr="002010B4">
        <w:rPr>
          <w:color w:val="000000" w:themeColor="text1"/>
          <w:lang w:val="en-CA"/>
        </w:rPr>
        <w:t xml:space="preserve">Department of Neurology and Neurosurgery, McGill University, 845 Sherbrooke O, Montreal, QC H3A 0G4, Canada. </w:t>
      </w:r>
    </w:p>
    <w:p w14:paraId="3F12B7DE" w14:textId="77777777" w:rsidR="00393DF1" w:rsidRPr="00684100" w:rsidRDefault="00393DF1" w:rsidP="00393DF1">
      <w:pPr>
        <w:autoSpaceDE w:val="0"/>
        <w:autoSpaceDN w:val="0"/>
        <w:adjustRightInd w:val="0"/>
        <w:snapToGrid w:val="0"/>
        <w:spacing w:line="360" w:lineRule="auto"/>
        <w:rPr>
          <w:color w:val="000000"/>
          <w:lang w:val="en-CA"/>
        </w:rPr>
      </w:pPr>
    </w:p>
    <w:p w14:paraId="4C24A3AD" w14:textId="77777777" w:rsidR="00393DF1" w:rsidRPr="00684100" w:rsidRDefault="00393DF1" w:rsidP="00393DF1">
      <w:pPr>
        <w:autoSpaceDE w:val="0"/>
        <w:autoSpaceDN w:val="0"/>
        <w:adjustRightInd w:val="0"/>
        <w:snapToGrid w:val="0"/>
        <w:spacing w:line="360" w:lineRule="auto"/>
        <w:rPr>
          <w:color w:val="000000"/>
          <w:lang w:val="en-CA"/>
        </w:rPr>
      </w:pPr>
      <w:r w:rsidRPr="00684100">
        <w:rPr>
          <w:color w:val="000000"/>
          <w:lang w:val="en-CA"/>
        </w:rPr>
        <w:t>Libin Zhou: libin.zhou@mail.mcgill.ca</w:t>
      </w:r>
    </w:p>
    <w:p w14:paraId="34A8107F" w14:textId="77777777" w:rsidR="00393DF1" w:rsidRPr="00684100" w:rsidRDefault="00393DF1" w:rsidP="00393DF1">
      <w:pPr>
        <w:autoSpaceDE w:val="0"/>
        <w:autoSpaceDN w:val="0"/>
        <w:adjustRightInd w:val="0"/>
        <w:snapToGrid w:val="0"/>
        <w:spacing w:line="360" w:lineRule="auto"/>
        <w:rPr>
          <w:color w:val="000000"/>
          <w:lang w:val="en-CA"/>
        </w:rPr>
      </w:pPr>
      <w:r w:rsidRPr="00DE06F9">
        <w:rPr>
          <w:color w:val="000000"/>
          <w:lang w:val="en-CA"/>
        </w:rPr>
        <w:t>P. Jesper Sjöström: jesper.sjostrom@mcgill.ca</w:t>
      </w:r>
    </w:p>
    <w:p w14:paraId="2E8D9A26" w14:textId="77777777" w:rsidR="00393DF1" w:rsidRPr="00DE06F9" w:rsidRDefault="00393DF1" w:rsidP="00393DF1">
      <w:pPr>
        <w:autoSpaceDE w:val="0"/>
        <w:autoSpaceDN w:val="0"/>
        <w:adjustRightInd w:val="0"/>
        <w:snapToGrid w:val="0"/>
        <w:spacing w:line="360" w:lineRule="auto"/>
        <w:rPr>
          <w:color w:val="000000"/>
          <w:lang w:val="en-CA"/>
        </w:rPr>
      </w:pPr>
      <w:r w:rsidRPr="00DE06F9">
        <w:rPr>
          <w:color w:val="000000"/>
          <w:lang w:val="en-CA"/>
        </w:rPr>
        <w:t xml:space="preserve">Andrea C. LeBlanc: </w:t>
      </w:r>
      <w:hyperlink r:id="rId5" w:history="1">
        <w:r w:rsidRPr="00DE06F9">
          <w:rPr>
            <w:rStyle w:val="Hyperlink"/>
            <w:lang w:val="en-CA"/>
          </w:rPr>
          <w:t>andrea.leblanc@mcgill.ca</w:t>
        </w:r>
      </w:hyperlink>
    </w:p>
    <w:p w14:paraId="095F7E9F" w14:textId="77777777" w:rsidR="00393DF1" w:rsidRPr="00684100" w:rsidRDefault="00393DF1" w:rsidP="00393DF1">
      <w:pPr>
        <w:autoSpaceDE w:val="0"/>
        <w:autoSpaceDN w:val="0"/>
        <w:adjustRightInd w:val="0"/>
        <w:snapToGrid w:val="0"/>
        <w:spacing w:line="360" w:lineRule="auto"/>
        <w:rPr>
          <w:color w:val="000000"/>
          <w:lang w:val="en-CA"/>
        </w:rPr>
      </w:pPr>
    </w:p>
    <w:p w14:paraId="2F8952EF" w14:textId="77777777" w:rsidR="00393DF1" w:rsidRPr="00DE06F9" w:rsidRDefault="00393DF1" w:rsidP="00393DF1">
      <w:pPr>
        <w:autoSpaceDE w:val="0"/>
        <w:autoSpaceDN w:val="0"/>
        <w:adjustRightInd w:val="0"/>
        <w:snapToGrid w:val="0"/>
        <w:spacing w:line="360" w:lineRule="auto"/>
        <w:rPr>
          <w:lang w:val="en-CA"/>
        </w:rPr>
      </w:pPr>
      <w:r w:rsidRPr="00684100">
        <w:rPr>
          <w:color w:val="000000"/>
          <w:lang w:val="en-CA"/>
        </w:rPr>
        <w:t xml:space="preserve">*Corresponding author: </w:t>
      </w:r>
      <w:r w:rsidRPr="00DE06F9">
        <w:rPr>
          <w:lang w:val="en-CA"/>
        </w:rPr>
        <w:t xml:space="preserve">Andrea LeBlanc, </w:t>
      </w:r>
      <w:r w:rsidRPr="00DE06F9">
        <w:rPr>
          <w:noProof/>
          <w:lang w:val="en-CA"/>
        </w:rPr>
        <w:t>PhD</w:t>
      </w:r>
      <w:r w:rsidRPr="00DE06F9">
        <w:rPr>
          <w:lang w:val="en-CA"/>
        </w:rPr>
        <w:t xml:space="preserve">, Bloomfield Center for Research in Aging, Lady Davis Institute for Medical Research, Sir Mortimer B Davis Jewish General Hospital, 3755 ch. Côte Ste-Catherine, Montréal, QC, Canada H3T 1E2. Tel.: +1 (514) 340 8222 ext 24976. e-mail address: </w:t>
      </w:r>
      <w:hyperlink r:id="rId6" w:history="1">
        <w:r w:rsidRPr="00DE06F9">
          <w:rPr>
            <w:lang w:val="en-CA"/>
          </w:rPr>
          <w:t>andrea.leblanc@mcgill.ca</w:t>
        </w:r>
      </w:hyperlink>
    </w:p>
    <w:p w14:paraId="423F6501" w14:textId="77777777" w:rsidR="00393DF1" w:rsidRPr="005F2F02" w:rsidRDefault="00393DF1">
      <w:pPr>
        <w:jc w:val="both"/>
        <w:rPr>
          <w:lang w:val="fr-CA"/>
        </w:rPr>
      </w:pPr>
    </w:p>
    <w:p w14:paraId="0E8F3B58" w14:textId="74527EB9" w:rsidR="0098037D" w:rsidRPr="00753A98" w:rsidRDefault="0098037D" w:rsidP="00753A98">
      <w:pPr>
        <w:jc w:val="both"/>
      </w:pPr>
      <w:r w:rsidRPr="00753A98">
        <w:br w:type="page"/>
      </w:r>
    </w:p>
    <w:p w14:paraId="6D643AE9" w14:textId="51DF1F23" w:rsidR="0098037D" w:rsidRPr="00753A98" w:rsidRDefault="00D405D0" w:rsidP="00753A98">
      <w:pPr>
        <w:jc w:val="both"/>
      </w:pPr>
      <w:r w:rsidRPr="00753A98">
        <w:rPr>
          <w:b/>
          <w:bCs/>
          <w:noProof/>
        </w:rPr>
        <w:lastRenderedPageBreak/>
        <w:drawing>
          <wp:inline distT="0" distB="0" distL="0" distR="0" wp14:anchorId="4DBFA4E4" wp14:editId="4C259D9D">
            <wp:extent cx="5918200" cy="5854700"/>
            <wp:effectExtent l="0" t="0" r="0" b="0"/>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 Fig 1_20191004.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8200" cy="5854700"/>
                    </a:xfrm>
                    <a:prstGeom prst="rect">
                      <a:avLst/>
                    </a:prstGeom>
                  </pic:spPr>
                </pic:pic>
              </a:graphicData>
            </a:graphic>
          </wp:inline>
        </w:drawing>
      </w:r>
    </w:p>
    <w:p w14:paraId="77BA6B23" w14:textId="77777777" w:rsidR="00D405D0" w:rsidRPr="00753A98" w:rsidRDefault="00D405D0" w:rsidP="00753A98">
      <w:pPr>
        <w:jc w:val="both"/>
      </w:pPr>
    </w:p>
    <w:p w14:paraId="3349F657" w14:textId="086D2358" w:rsidR="006E4C6C" w:rsidRPr="00753A98" w:rsidRDefault="006E4C6C" w:rsidP="00753A98">
      <w:pPr>
        <w:adjustRightInd w:val="0"/>
        <w:snapToGrid w:val="0"/>
        <w:jc w:val="both"/>
        <w:rPr>
          <w:b/>
          <w:lang w:eastAsia="zh-CN"/>
        </w:rPr>
      </w:pPr>
      <w:r w:rsidRPr="00753A98">
        <w:rPr>
          <w:b/>
          <w:lang w:eastAsia="zh-CN"/>
        </w:rPr>
        <w:t>F</w:t>
      </w:r>
      <w:r w:rsidRPr="00753A98">
        <w:rPr>
          <w:rFonts w:hint="eastAsia"/>
          <w:b/>
          <w:lang w:eastAsia="zh-CN"/>
        </w:rPr>
        <w:t>igure</w:t>
      </w:r>
      <w:r w:rsidRPr="00753A98">
        <w:rPr>
          <w:b/>
          <w:lang w:eastAsia="zh-CN"/>
        </w:rPr>
        <w:t xml:space="preserve"> S1</w:t>
      </w:r>
      <w:r w:rsidR="00D405D0" w:rsidRPr="00753A98">
        <w:rPr>
          <w:b/>
          <w:lang w:eastAsia="zh-CN"/>
        </w:rPr>
        <w:t xml:space="preserve">. Human Casp6 immunostaining by LS-B477 antibody. </w:t>
      </w:r>
      <w:r w:rsidR="00D405D0" w:rsidRPr="00753A98">
        <w:t>Immunohistochemistry analysis shows no Casp6 distribution in the hippocampal CA1, cortex, the white matter of corpus callosum, hippocampal fimbria or fornix of WT/WT or WT/Cre mice. Positive control</w:t>
      </w:r>
      <w:r w:rsidR="00ED754B">
        <w:t xml:space="preserve"> ACL/G KI/Cre</w:t>
      </w:r>
      <w:r w:rsidR="00D405D0" w:rsidRPr="00753A98">
        <w:t xml:space="preserve"> shows the immunoreactivity in the neurites of CA1 (arrow) and the soma and neurites of cortex (arrow), and in the dot-like staining (</w:t>
      </w:r>
      <w:r w:rsidR="00714539" w:rsidRPr="00753A98">
        <w:t>arrowhead</w:t>
      </w:r>
      <w:r w:rsidR="00D405D0" w:rsidRPr="00753A98">
        <w:t>) of corpus callosum, fimbria, and the columns of the fornix. Bar</w:t>
      </w:r>
      <w:r w:rsidR="00753A98">
        <w:t xml:space="preserve"> = </w:t>
      </w:r>
      <w:r w:rsidR="00D405D0" w:rsidRPr="00753A98">
        <w:t>50 µm.</w:t>
      </w:r>
    </w:p>
    <w:p w14:paraId="4094F7F5" w14:textId="3934E1E0" w:rsidR="0098037D" w:rsidRPr="00ED754B" w:rsidRDefault="0098037D" w:rsidP="00753A98">
      <w:pPr>
        <w:jc w:val="both"/>
        <w:rPr>
          <w:b/>
          <w:bCs/>
          <w:lang w:val="en-CA" w:eastAsia="zh-CN"/>
        </w:rPr>
      </w:pPr>
      <w:r w:rsidRPr="00753A98">
        <w:rPr>
          <w:b/>
          <w:bCs/>
          <w:lang w:eastAsia="zh-CN"/>
        </w:rPr>
        <w:br w:type="page"/>
      </w:r>
    </w:p>
    <w:p w14:paraId="3CCA1123" w14:textId="0E4D27FB" w:rsidR="0098037D" w:rsidRPr="00753A98" w:rsidRDefault="00D405D0" w:rsidP="00753A98">
      <w:pPr>
        <w:jc w:val="both"/>
        <w:rPr>
          <w:lang w:val="en-CA"/>
        </w:rPr>
      </w:pPr>
      <w:r w:rsidRPr="00753A98">
        <w:rPr>
          <w:noProof/>
        </w:rPr>
        <w:lastRenderedPageBreak/>
        <w:drawing>
          <wp:inline distT="0" distB="0" distL="0" distR="0" wp14:anchorId="410387DF" wp14:editId="3F805EFD">
            <wp:extent cx="5918200" cy="5867400"/>
            <wp:effectExtent l="0" t="0" r="0" b="0"/>
            <wp:docPr id="8" name="Picture 8"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l Fig 2_2019100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0" cy="5867400"/>
                    </a:xfrm>
                    <a:prstGeom prst="rect">
                      <a:avLst/>
                    </a:prstGeom>
                  </pic:spPr>
                </pic:pic>
              </a:graphicData>
            </a:graphic>
          </wp:inline>
        </w:drawing>
      </w:r>
    </w:p>
    <w:p w14:paraId="09B1ECC0" w14:textId="2453A933" w:rsidR="0098037D" w:rsidRPr="00753A98" w:rsidRDefault="0098037D" w:rsidP="00753A98">
      <w:pPr>
        <w:jc w:val="both"/>
        <w:rPr>
          <w:lang w:val="en-CA"/>
        </w:rPr>
      </w:pPr>
    </w:p>
    <w:p w14:paraId="13B569BE" w14:textId="5DF1A24F" w:rsidR="006E4C6C" w:rsidRPr="00753A98" w:rsidRDefault="0098037D" w:rsidP="00753A98">
      <w:pPr>
        <w:adjustRightInd w:val="0"/>
        <w:snapToGrid w:val="0"/>
        <w:jc w:val="both"/>
      </w:pPr>
      <w:bookmarkStart w:id="0" w:name="OLE_LINK1"/>
      <w:bookmarkStart w:id="1" w:name="OLE_LINK2"/>
      <w:r w:rsidRPr="00753A98">
        <w:rPr>
          <w:b/>
          <w:lang w:eastAsia="zh-CN"/>
        </w:rPr>
        <w:t>F</w:t>
      </w:r>
      <w:r w:rsidRPr="00753A98">
        <w:rPr>
          <w:rFonts w:hint="eastAsia"/>
          <w:b/>
          <w:lang w:eastAsia="zh-CN"/>
        </w:rPr>
        <w:t>igure</w:t>
      </w:r>
      <w:r w:rsidRPr="00753A98">
        <w:rPr>
          <w:b/>
          <w:lang w:eastAsia="zh-CN"/>
        </w:rPr>
        <w:t xml:space="preserve"> S2. MB does not affect locomotor ability or anxiety assessed by open field test.</w:t>
      </w:r>
      <w:r w:rsidRPr="00753A98">
        <w:rPr>
          <w:lang w:eastAsia="zh-CN"/>
        </w:rPr>
        <w:t xml:space="preserve"> </w:t>
      </w:r>
      <w:r w:rsidRPr="00753A98">
        <w:t>The distance travelled (</w:t>
      </w:r>
      <w:r w:rsidRPr="00753A98">
        <w:rPr>
          <w:b/>
        </w:rPr>
        <w:t>a</w:t>
      </w:r>
      <w:r w:rsidRPr="00753A98">
        <w:t>), % time moving (</w:t>
      </w:r>
      <w:r w:rsidRPr="00753A98">
        <w:rPr>
          <w:b/>
        </w:rPr>
        <w:t>b</w:t>
      </w:r>
      <w:r w:rsidRPr="00753A98">
        <w:t>), % used zones (</w:t>
      </w:r>
      <w:r w:rsidRPr="00753A98">
        <w:rPr>
          <w:b/>
        </w:rPr>
        <w:t>c</w:t>
      </w:r>
      <w:r w:rsidRPr="00753A98">
        <w:t xml:space="preserve">), moving </w:t>
      </w:r>
      <w:r w:rsidRPr="00753A98">
        <w:rPr>
          <w:rFonts w:hint="eastAsia"/>
          <w:lang w:eastAsia="zh-CN"/>
        </w:rPr>
        <w:t>speed</w:t>
      </w:r>
      <w:r w:rsidRPr="00753A98">
        <w:rPr>
          <w:lang w:eastAsia="zh-CN"/>
        </w:rPr>
        <w:t xml:space="preserve"> </w:t>
      </w:r>
      <w:r w:rsidRPr="00753A98">
        <w:t>(</w:t>
      </w:r>
      <w:r w:rsidRPr="00753A98">
        <w:rPr>
          <w:b/>
        </w:rPr>
        <w:t>d</w:t>
      </w:r>
      <w:r w:rsidRPr="00753A98">
        <w:t>) and % time in periphery (</w:t>
      </w:r>
      <w:r w:rsidRPr="00753A98">
        <w:rPr>
          <w:b/>
        </w:rPr>
        <w:t>e</w:t>
      </w:r>
      <w:r w:rsidRPr="00753A98">
        <w:t xml:space="preserve">) of </w:t>
      </w:r>
      <w:r w:rsidR="00D405D0" w:rsidRPr="00753A98">
        <w:rPr>
          <w:lang w:val="en-CA"/>
        </w:rPr>
        <w:t>ACL/G KI/Cre (n=15), ACL/G KI/WT (n=8), ACL KI/Cre (n=7)</w:t>
      </w:r>
      <w:r w:rsidR="00D405D0" w:rsidRPr="00753A98">
        <w:rPr>
          <w:rFonts w:hint="eastAsia"/>
          <w:lang w:val="en-CA"/>
        </w:rPr>
        <w:t xml:space="preserve">, </w:t>
      </w:r>
      <w:r w:rsidR="00D405D0" w:rsidRPr="00753A98">
        <w:rPr>
          <w:lang w:val="en-CA"/>
        </w:rPr>
        <w:t>ACL KI/WT (n=</w:t>
      </w:r>
      <w:r w:rsidR="00D405D0" w:rsidRPr="00753A98">
        <w:rPr>
          <w:rFonts w:hint="eastAsia"/>
          <w:lang w:val="en-CA"/>
        </w:rPr>
        <w:t>1</w:t>
      </w:r>
      <w:r w:rsidR="00D405D0" w:rsidRPr="00753A98">
        <w:rPr>
          <w:lang w:val="en-CA"/>
        </w:rPr>
        <w:t>4),</w:t>
      </w:r>
      <w:r w:rsidRPr="00753A98">
        <w:rPr>
          <w:lang w:val="en-CA"/>
        </w:rPr>
        <w:t xml:space="preserve"> WT/Cre (n=25), or WT/WT (n=22) mice before treatment (pre-treatment)</w:t>
      </w:r>
      <w:r w:rsidRPr="00753A98">
        <w:rPr>
          <w:rFonts w:hint="eastAsia"/>
          <w:lang w:val="en-CA"/>
        </w:rPr>
        <w:t>,</w:t>
      </w:r>
      <w:r w:rsidRPr="00753A98">
        <w:rPr>
          <w:lang w:val="en-CA"/>
        </w:rPr>
        <w:t xml:space="preserve"> </w:t>
      </w:r>
      <w:r w:rsidR="00D405D0" w:rsidRPr="00753A98">
        <w:rPr>
          <w:lang w:val="en-CA"/>
        </w:rPr>
        <w:t>ACL/G (n=15)</w:t>
      </w:r>
      <w:r w:rsidR="00D405D0" w:rsidRPr="00753A98">
        <w:rPr>
          <w:rFonts w:hint="eastAsia"/>
          <w:lang w:val="en-CA"/>
        </w:rPr>
        <w:t>,</w:t>
      </w:r>
      <w:r w:rsidR="00D405D0" w:rsidRPr="00753A98">
        <w:rPr>
          <w:lang w:val="en-CA"/>
        </w:rPr>
        <w:t xml:space="preserve"> ACL KI/Cre (n=2), ACL KI/WT (n=6),</w:t>
      </w:r>
      <w:r w:rsidRPr="00753A98">
        <w:rPr>
          <w:lang w:val="en-CA"/>
        </w:rPr>
        <w:t>WT/Cre (n=</w:t>
      </w:r>
      <w:r w:rsidRPr="00753A98">
        <w:rPr>
          <w:rFonts w:hint="eastAsia"/>
          <w:lang w:val="en-CA"/>
        </w:rPr>
        <w:t>12</w:t>
      </w:r>
      <w:r w:rsidRPr="00753A98">
        <w:rPr>
          <w:lang w:val="en-CA"/>
        </w:rPr>
        <w:t>)</w:t>
      </w:r>
      <w:r w:rsidRPr="00753A98">
        <w:rPr>
          <w:rFonts w:hint="eastAsia"/>
          <w:lang w:val="en-CA"/>
        </w:rPr>
        <w:t xml:space="preserve">, or </w:t>
      </w:r>
      <w:r w:rsidRPr="00753A98">
        <w:rPr>
          <w:lang w:val="en-CA"/>
        </w:rPr>
        <w:t>WT/WT (n=</w:t>
      </w:r>
      <w:r w:rsidRPr="00753A98">
        <w:rPr>
          <w:rFonts w:hint="eastAsia"/>
          <w:lang w:val="en-CA"/>
        </w:rPr>
        <w:t>12</w:t>
      </w:r>
      <w:r w:rsidRPr="00753A98">
        <w:rPr>
          <w:lang w:val="en-CA"/>
        </w:rPr>
        <w:t>) mice</w:t>
      </w:r>
      <w:r w:rsidR="0045423C">
        <w:rPr>
          <w:lang w:val="en-CA"/>
        </w:rPr>
        <w:t xml:space="preserve"> after </w:t>
      </w:r>
      <w:r w:rsidR="0045423C" w:rsidRPr="00753A98">
        <w:rPr>
          <w:lang w:val="en-CA"/>
        </w:rPr>
        <w:t xml:space="preserve">1 month </w:t>
      </w:r>
      <w:r w:rsidR="0045423C">
        <w:rPr>
          <w:lang w:val="en-CA"/>
        </w:rPr>
        <w:t>of treatment with vehicle</w:t>
      </w:r>
      <w:r w:rsidRPr="00753A98">
        <w:rPr>
          <w:lang w:val="en-CA"/>
        </w:rPr>
        <w:t xml:space="preserve">, </w:t>
      </w:r>
      <w:r w:rsidRPr="00753A98">
        <w:rPr>
          <w:rFonts w:hint="eastAsia"/>
          <w:lang w:val="en-CA"/>
        </w:rPr>
        <w:t>and</w:t>
      </w:r>
      <w:r w:rsidRPr="00753A98">
        <w:rPr>
          <w:lang w:val="en-CA"/>
        </w:rPr>
        <w:t xml:space="preserve"> </w:t>
      </w:r>
      <w:r w:rsidR="00D405D0" w:rsidRPr="00753A98">
        <w:rPr>
          <w:lang w:val="en-CA"/>
        </w:rPr>
        <w:t>ACL/G (n=9)</w:t>
      </w:r>
      <w:r w:rsidR="00D405D0" w:rsidRPr="00753A98">
        <w:rPr>
          <w:rFonts w:hint="eastAsia"/>
          <w:lang w:val="en-CA"/>
        </w:rPr>
        <w:t>,</w:t>
      </w:r>
      <w:r w:rsidR="00D405D0" w:rsidRPr="00753A98">
        <w:rPr>
          <w:lang w:val="en-CA"/>
        </w:rPr>
        <w:t xml:space="preserve"> ACL KI/Cre (n=5), ACL KI/WT (n=8), </w:t>
      </w:r>
      <w:r w:rsidRPr="00753A98">
        <w:rPr>
          <w:lang w:val="en-CA"/>
        </w:rPr>
        <w:t xml:space="preserve"> WT/Cre (n=13)</w:t>
      </w:r>
      <w:r w:rsidRPr="00753A98">
        <w:rPr>
          <w:rFonts w:hint="eastAsia"/>
          <w:lang w:val="en-CA"/>
        </w:rPr>
        <w:t xml:space="preserve">, or </w:t>
      </w:r>
      <w:r w:rsidRPr="00753A98">
        <w:rPr>
          <w:lang w:val="en-CA"/>
        </w:rPr>
        <w:t>WT/WT (n=10) mice</w:t>
      </w:r>
      <w:r w:rsidRPr="00753A98">
        <w:t xml:space="preserve"> </w:t>
      </w:r>
      <w:r w:rsidR="0045423C">
        <w:t xml:space="preserve">after 1 month of MB treatment, </w:t>
      </w:r>
      <w:r w:rsidRPr="00753A98">
        <w:t>measured during the open field test. Each mouse tested is represented by one symbol. Bars represent the mean and error bars the s.e.m. No statistical difference was shown in one-way ANOVA.</w:t>
      </w:r>
    </w:p>
    <w:p w14:paraId="5FCBBB14" w14:textId="72E0739A" w:rsidR="0098037D" w:rsidRPr="00753A98" w:rsidRDefault="00D405D0" w:rsidP="00753A98">
      <w:pPr>
        <w:adjustRightInd w:val="0"/>
        <w:snapToGrid w:val="0"/>
        <w:jc w:val="both"/>
        <w:rPr>
          <w:lang w:val="en-CA"/>
        </w:rPr>
      </w:pPr>
      <w:r w:rsidRPr="00753A98">
        <w:rPr>
          <w:noProof/>
        </w:rPr>
        <w:lastRenderedPageBreak/>
        <w:drawing>
          <wp:inline distT="0" distB="0" distL="0" distR="0" wp14:anchorId="27BFDCA6" wp14:editId="2FCD52F9">
            <wp:extent cx="5512576" cy="6139543"/>
            <wp:effectExtent l="0" t="0" r="0" b="0"/>
            <wp:docPr id="12" name="Picture 1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l Fig 3_2019100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2668" cy="6150783"/>
                    </a:xfrm>
                    <a:prstGeom prst="rect">
                      <a:avLst/>
                    </a:prstGeom>
                  </pic:spPr>
                </pic:pic>
              </a:graphicData>
            </a:graphic>
          </wp:inline>
        </w:drawing>
      </w:r>
    </w:p>
    <w:bookmarkEnd w:id="0"/>
    <w:bookmarkEnd w:id="1"/>
    <w:p w14:paraId="388EDC79" w14:textId="3BE26E78" w:rsidR="0098037D" w:rsidRPr="00753A98" w:rsidRDefault="0098037D" w:rsidP="00753A98">
      <w:pPr>
        <w:jc w:val="both"/>
        <w:rPr>
          <w:lang w:val="en-CA"/>
        </w:rPr>
      </w:pPr>
    </w:p>
    <w:p w14:paraId="486A4A58" w14:textId="19ECAB82" w:rsidR="006E4C6C" w:rsidRPr="00F07E2A" w:rsidRDefault="006E4C6C" w:rsidP="00753A98">
      <w:pPr>
        <w:adjustRightInd w:val="0"/>
        <w:snapToGrid w:val="0"/>
        <w:jc w:val="both"/>
        <w:rPr>
          <w:lang w:val="en-CA"/>
        </w:rPr>
      </w:pPr>
      <w:r w:rsidRPr="00753A98">
        <w:rPr>
          <w:b/>
          <w:lang w:eastAsia="zh-CN"/>
        </w:rPr>
        <w:t>F</w:t>
      </w:r>
      <w:r w:rsidRPr="00753A98">
        <w:rPr>
          <w:rFonts w:hint="eastAsia"/>
          <w:b/>
          <w:lang w:eastAsia="zh-CN"/>
        </w:rPr>
        <w:t>igure</w:t>
      </w:r>
      <w:r w:rsidRPr="00753A98">
        <w:rPr>
          <w:b/>
          <w:lang w:eastAsia="zh-CN"/>
        </w:rPr>
        <w:t xml:space="preserve"> S3. </w:t>
      </w:r>
      <w:r w:rsidR="0045423C">
        <w:rPr>
          <w:b/>
          <w:lang w:eastAsia="zh-CN"/>
        </w:rPr>
        <w:t>NOR discrimination index and</w:t>
      </w:r>
      <w:r w:rsidR="00D405D0" w:rsidRPr="00753A98">
        <w:rPr>
          <w:b/>
          <w:lang w:eastAsia="zh-CN"/>
        </w:rPr>
        <w:t xml:space="preserve"> </w:t>
      </w:r>
      <w:r w:rsidR="0045423C">
        <w:rPr>
          <w:b/>
          <w:lang w:eastAsia="zh-CN"/>
        </w:rPr>
        <w:t xml:space="preserve">open-field </w:t>
      </w:r>
      <w:r w:rsidR="00D405D0" w:rsidRPr="00753A98">
        <w:rPr>
          <w:b/>
          <w:lang w:eastAsia="zh-CN"/>
        </w:rPr>
        <w:t>locomotor ability</w:t>
      </w:r>
      <w:r w:rsidR="0045423C">
        <w:rPr>
          <w:b/>
          <w:lang w:eastAsia="zh-CN"/>
        </w:rPr>
        <w:t xml:space="preserve"> between ACL</w:t>
      </w:r>
      <w:r w:rsidR="0045423C">
        <w:rPr>
          <w:b/>
          <w:lang w:val="en-CA" w:eastAsia="zh-CN"/>
        </w:rPr>
        <w:t>/</w:t>
      </w:r>
      <w:r w:rsidR="0045423C">
        <w:rPr>
          <w:b/>
          <w:lang w:eastAsia="zh-CN"/>
        </w:rPr>
        <w:t>G or ACL KI/Cre and KI/WT.</w:t>
      </w:r>
      <w:r w:rsidRPr="00753A98">
        <w:rPr>
          <w:lang w:eastAsia="zh-CN"/>
        </w:rPr>
        <w:t xml:space="preserve"> </w:t>
      </w:r>
      <w:r w:rsidR="00D405D0" w:rsidRPr="00753A98">
        <w:rPr>
          <w:lang w:eastAsia="zh-CN"/>
        </w:rPr>
        <w:t xml:space="preserve"> </w:t>
      </w:r>
      <w:r w:rsidR="00D405D0" w:rsidRPr="00753A98">
        <w:rPr>
          <w:b/>
          <w:bCs/>
          <w:lang w:eastAsia="zh-CN"/>
        </w:rPr>
        <w:t>(a&amp;b)</w:t>
      </w:r>
      <w:r w:rsidR="00D405D0" w:rsidRPr="00753A98">
        <w:rPr>
          <w:lang w:eastAsia="zh-CN"/>
        </w:rPr>
        <w:t xml:space="preserve"> No statistical difference was shown in the discrimination index between vehicle-treated ACL/G KI/Cre and ACL/G KI/WT mice (</w:t>
      </w:r>
      <w:r w:rsidR="00D405D0" w:rsidRPr="00753A98">
        <w:rPr>
          <w:b/>
          <w:bCs/>
          <w:lang w:eastAsia="zh-CN"/>
        </w:rPr>
        <w:t>a</w:t>
      </w:r>
      <w:r w:rsidR="00D405D0" w:rsidRPr="00753A98">
        <w:rPr>
          <w:lang w:eastAsia="zh-CN"/>
        </w:rPr>
        <w:t xml:space="preserve">), or </w:t>
      </w:r>
      <w:r w:rsidR="00D405D0" w:rsidRPr="00F331C8">
        <w:rPr>
          <w:lang w:eastAsia="zh-CN"/>
        </w:rPr>
        <w:t>between MB-treated ACL/G KI/Cre and ACL/G KI/WT mice (</w:t>
      </w:r>
      <w:r w:rsidR="00D405D0" w:rsidRPr="00F331C8">
        <w:rPr>
          <w:b/>
          <w:bCs/>
          <w:lang w:eastAsia="zh-CN"/>
        </w:rPr>
        <w:t>b</w:t>
      </w:r>
      <w:r w:rsidR="00D405D0" w:rsidRPr="00F331C8">
        <w:rPr>
          <w:lang w:eastAsia="zh-CN"/>
        </w:rPr>
        <w:t xml:space="preserve">) by Student's t-test. </w:t>
      </w:r>
      <w:r w:rsidR="00D405D0" w:rsidRPr="00F331C8">
        <w:rPr>
          <w:b/>
          <w:bCs/>
          <w:lang w:eastAsia="zh-CN"/>
        </w:rPr>
        <w:t>(c-f)</w:t>
      </w:r>
      <w:r w:rsidR="00D405D0" w:rsidRPr="00F331C8">
        <w:rPr>
          <w:lang w:eastAsia="zh-CN"/>
        </w:rPr>
        <w:t xml:space="preserve"> </w:t>
      </w:r>
      <w:r w:rsidRPr="00F331C8">
        <w:t>The total numbers of touches to both objects (</w:t>
      </w:r>
      <w:r w:rsidR="00D405D0" w:rsidRPr="00F331C8">
        <w:rPr>
          <w:b/>
          <w:lang w:eastAsia="zh-CN"/>
        </w:rPr>
        <w:t>c</w:t>
      </w:r>
      <w:r w:rsidRPr="00F331C8">
        <w:t>), the distance travelled (</w:t>
      </w:r>
      <w:r w:rsidR="00D405D0" w:rsidRPr="00F331C8">
        <w:rPr>
          <w:b/>
          <w:lang w:eastAsia="zh-CN"/>
        </w:rPr>
        <w:t>d</w:t>
      </w:r>
      <w:r w:rsidRPr="00F331C8">
        <w:t>), the % time moving (</w:t>
      </w:r>
      <w:r w:rsidR="00D405D0" w:rsidRPr="00F331C8">
        <w:rPr>
          <w:b/>
        </w:rPr>
        <w:t>e</w:t>
      </w:r>
      <w:r w:rsidRPr="00F331C8">
        <w:t>), and the</w:t>
      </w:r>
      <w:r w:rsidRPr="00753A98">
        <w:t xml:space="preserve"> % used zones (</w:t>
      </w:r>
      <w:r w:rsidR="00D405D0" w:rsidRPr="00753A98">
        <w:rPr>
          <w:b/>
        </w:rPr>
        <w:t>f</w:t>
      </w:r>
      <w:r w:rsidRPr="00753A98">
        <w:t xml:space="preserve">) before treatment (pre-treatment), and in vehicle- or MB-treated </w:t>
      </w:r>
      <w:r w:rsidR="003F7352">
        <w:t xml:space="preserve">ACL/G </w:t>
      </w:r>
      <w:r w:rsidR="00FD50A6">
        <w:t>(</w:t>
      </w:r>
      <w:r w:rsidRPr="00753A98">
        <w:t>KI/Cre</w:t>
      </w:r>
      <w:r w:rsidR="00FD50A6">
        <w:t xml:space="preserve"> and</w:t>
      </w:r>
      <w:r w:rsidRPr="00753A98">
        <w:t xml:space="preserve"> KI/WT</w:t>
      </w:r>
      <w:r w:rsidR="00FD50A6">
        <w:t>)</w:t>
      </w:r>
      <w:r w:rsidRPr="00753A98">
        <w:t xml:space="preserve">, </w:t>
      </w:r>
      <w:r w:rsidR="003F7352">
        <w:t xml:space="preserve">ACL KI/Cre, ACL KI/WT, </w:t>
      </w:r>
      <w:r w:rsidRPr="00753A98">
        <w:t xml:space="preserve">WT/Cre and WT/WT mice </w:t>
      </w:r>
      <w:r w:rsidR="001318A1">
        <w:t xml:space="preserve">measured </w:t>
      </w:r>
      <w:r w:rsidRPr="00753A98">
        <w:t>during NOR task. The total number of mice per group is indicated in Supplemental Figure S</w:t>
      </w:r>
      <w:r w:rsidR="00D405D0" w:rsidRPr="00753A98">
        <w:t>2</w:t>
      </w:r>
      <w:r w:rsidRPr="00753A98">
        <w:t xml:space="preserve">. Each mouse tested is represented by one symbol. Bars represent the mean and error bars the s.e.m. No statistical difference was shown by </w:t>
      </w:r>
      <w:r w:rsidRPr="00753A98">
        <w:rPr>
          <w:rFonts w:hint="eastAsia"/>
          <w:lang w:eastAsia="zh-CN"/>
        </w:rPr>
        <w:t>o</w:t>
      </w:r>
      <w:r w:rsidRPr="00753A98">
        <w:t>ne-way ANOVA.</w:t>
      </w:r>
    </w:p>
    <w:p w14:paraId="65F9B254" w14:textId="569384D4" w:rsidR="006E4C6C" w:rsidRPr="00753A98" w:rsidRDefault="001318A1" w:rsidP="00753A98">
      <w:pPr>
        <w:adjustRightInd w:val="0"/>
        <w:snapToGrid w:val="0"/>
        <w:jc w:val="both"/>
      </w:pPr>
      <w:r>
        <w:rPr>
          <w:noProof/>
        </w:rPr>
        <w:lastRenderedPageBreak/>
        <w:drawing>
          <wp:inline distT="0" distB="0" distL="0" distR="0" wp14:anchorId="745BA882" wp14:editId="2309144D">
            <wp:extent cx="5918200" cy="519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l Fig 4_2019102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18200" cy="5194300"/>
                    </a:xfrm>
                    <a:prstGeom prst="rect">
                      <a:avLst/>
                    </a:prstGeom>
                  </pic:spPr>
                </pic:pic>
              </a:graphicData>
            </a:graphic>
          </wp:inline>
        </w:drawing>
      </w:r>
    </w:p>
    <w:p w14:paraId="78EDFD94" w14:textId="0B73827A" w:rsidR="006E4C6C" w:rsidRPr="00753A98" w:rsidRDefault="006E4C6C" w:rsidP="00753A98">
      <w:pPr>
        <w:adjustRightInd w:val="0"/>
        <w:snapToGrid w:val="0"/>
        <w:jc w:val="both"/>
      </w:pPr>
    </w:p>
    <w:p w14:paraId="696137D1" w14:textId="77777777" w:rsidR="006E4C6C" w:rsidRPr="00753A98" w:rsidRDefault="006E4C6C" w:rsidP="00753A98">
      <w:pPr>
        <w:adjustRightInd w:val="0"/>
        <w:snapToGrid w:val="0"/>
        <w:jc w:val="both"/>
      </w:pPr>
    </w:p>
    <w:p w14:paraId="493C09A7" w14:textId="277C68E7" w:rsidR="006E4C6C" w:rsidRPr="00753A98" w:rsidRDefault="006E4C6C" w:rsidP="00753A98">
      <w:pPr>
        <w:adjustRightInd w:val="0"/>
        <w:snapToGrid w:val="0"/>
        <w:jc w:val="both"/>
        <w:rPr>
          <w:b/>
          <w:lang w:eastAsia="zh-CN"/>
        </w:rPr>
      </w:pPr>
      <w:r w:rsidRPr="00753A98">
        <w:rPr>
          <w:b/>
          <w:lang w:eastAsia="zh-CN"/>
        </w:rPr>
        <w:t>F</w:t>
      </w:r>
      <w:r w:rsidRPr="00753A98">
        <w:rPr>
          <w:rFonts w:hint="eastAsia"/>
          <w:b/>
          <w:lang w:eastAsia="zh-CN"/>
        </w:rPr>
        <w:t>igure</w:t>
      </w:r>
      <w:r w:rsidRPr="00753A98">
        <w:rPr>
          <w:b/>
          <w:lang w:eastAsia="zh-CN"/>
        </w:rPr>
        <w:t xml:space="preserve"> S4</w:t>
      </w:r>
      <w:r w:rsidR="00D405D0" w:rsidRPr="00753A98">
        <w:rPr>
          <w:b/>
          <w:lang w:eastAsia="zh-CN"/>
        </w:rPr>
        <w:t xml:space="preserve">. </w:t>
      </w:r>
      <w:r w:rsidR="00D405D0" w:rsidRPr="00753A98">
        <w:rPr>
          <w:b/>
        </w:rPr>
        <w:t xml:space="preserve">No difference was seen between ACL/G KI/Cre and </w:t>
      </w:r>
      <w:r w:rsidR="001318A1">
        <w:rPr>
          <w:b/>
        </w:rPr>
        <w:t>ACL</w:t>
      </w:r>
      <w:r w:rsidR="001318A1">
        <w:rPr>
          <w:b/>
          <w:lang w:val="en-CA"/>
        </w:rPr>
        <w:t>/</w:t>
      </w:r>
      <w:r w:rsidR="001318A1">
        <w:rPr>
          <w:b/>
        </w:rPr>
        <w:t xml:space="preserve">G </w:t>
      </w:r>
      <w:r w:rsidR="00D405D0" w:rsidRPr="00753A98">
        <w:rPr>
          <w:b/>
        </w:rPr>
        <w:t>KI/WT during Barnes maze.</w:t>
      </w:r>
      <w:r w:rsidR="00D405D0" w:rsidRPr="00753A98">
        <w:t xml:space="preserve"> </w:t>
      </w:r>
      <w:r w:rsidR="00D405D0" w:rsidRPr="00753A98">
        <w:rPr>
          <w:b/>
          <w:bCs/>
        </w:rPr>
        <w:t>(a-d)</w:t>
      </w:r>
      <w:r w:rsidR="00D405D0" w:rsidRPr="00753A98">
        <w:t xml:space="preserve"> </w:t>
      </w:r>
      <w:r w:rsidR="00D405D0" w:rsidRPr="00753A98">
        <w:rPr>
          <w:lang w:val="en-CA"/>
        </w:rPr>
        <w:t>Primary latency (</w:t>
      </w:r>
      <w:r w:rsidR="00D405D0" w:rsidRPr="00753A98">
        <w:rPr>
          <w:b/>
          <w:lang w:val="en-CA"/>
        </w:rPr>
        <w:t>a&amp;c)</w:t>
      </w:r>
      <w:r w:rsidR="00D405D0" w:rsidRPr="00753A98">
        <w:rPr>
          <w:lang w:val="en-CA"/>
        </w:rPr>
        <w:t xml:space="preserve"> and primary errors (</w:t>
      </w:r>
      <w:r w:rsidR="00D405D0" w:rsidRPr="00753A98">
        <w:rPr>
          <w:b/>
          <w:lang w:val="en-CA"/>
        </w:rPr>
        <w:t xml:space="preserve">b&amp;d) </w:t>
      </w:r>
      <w:r w:rsidR="00D405D0" w:rsidRPr="00753A98">
        <w:rPr>
          <w:lang w:val="en-CA"/>
        </w:rPr>
        <w:t xml:space="preserve">during </w:t>
      </w:r>
      <w:r w:rsidR="00D405D0" w:rsidRPr="00753A98">
        <w:rPr>
          <w:color w:val="000000"/>
          <w:lang w:val="en-CA"/>
        </w:rPr>
        <w:t>spatial acquisition training</w:t>
      </w:r>
      <w:r w:rsidR="00D405D0" w:rsidRPr="00753A98">
        <w:rPr>
          <w:lang w:val="en-CA"/>
        </w:rPr>
        <w:t xml:space="preserve"> in vehicle-treated</w:t>
      </w:r>
      <w:r w:rsidR="00D405D0" w:rsidRPr="00753A98">
        <w:rPr>
          <w:b/>
          <w:lang w:val="en-CA"/>
        </w:rPr>
        <w:t xml:space="preserve"> </w:t>
      </w:r>
      <w:r w:rsidR="00D405D0" w:rsidRPr="00753A98">
        <w:rPr>
          <w:bCs/>
          <w:lang w:val="en-CA"/>
        </w:rPr>
        <w:t>ACL/G KI/Cre (n=10) and ACL/G KI/WT (n=4)</w:t>
      </w:r>
      <w:r w:rsidR="00D405D0" w:rsidRPr="00753A98">
        <w:rPr>
          <w:b/>
          <w:lang w:val="en-CA"/>
        </w:rPr>
        <w:t xml:space="preserve"> (a&amp;b)</w:t>
      </w:r>
      <w:r w:rsidR="00D405D0" w:rsidRPr="00753A98">
        <w:rPr>
          <w:lang w:val="en-CA"/>
        </w:rPr>
        <w:t xml:space="preserve">, and MB-treated </w:t>
      </w:r>
      <w:r w:rsidR="00D405D0" w:rsidRPr="00753A98">
        <w:rPr>
          <w:bCs/>
          <w:lang w:val="en-CA"/>
        </w:rPr>
        <w:t>ACL/G KI/Cre (n=5) and ACL/G KI/WT (n=4)</w:t>
      </w:r>
      <w:r w:rsidR="00D405D0" w:rsidRPr="00753A98">
        <w:rPr>
          <w:lang w:val="en-CA"/>
        </w:rPr>
        <w:t xml:space="preserve"> (</w:t>
      </w:r>
      <w:r w:rsidR="00D405D0" w:rsidRPr="00753A98">
        <w:rPr>
          <w:b/>
          <w:lang w:val="en-CA"/>
        </w:rPr>
        <w:t xml:space="preserve">c&amp;d) </w:t>
      </w:r>
      <w:r w:rsidR="00D405D0" w:rsidRPr="00753A98">
        <w:rPr>
          <w:bCs/>
          <w:lang w:val="en-CA"/>
        </w:rPr>
        <w:t>mice</w:t>
      </w:r>
      <w:r w:rsidR="00D405D0" w:rsidRPr="00753A98">
        <w:rPr>
          <w:lang w:val="en-CA"/>
        </w:rPr>
        <w:t xml:space="preserve">. </w:t>
      </w:r>
      <w:r w:rsidR="00D405D0" w:rsidRPr="00753A98">
        <w:t xml:space="preserve">No statistical difference was shown by repeated-measures </w:t>
      </w:r>
      <w:r w:rsidR="00D405D0" w:rsidRPr="00753A98">
        <w:rPr>
          <w:lang w:eastAsia="zh-CN"/>
        </w:rPr>
        <w:t>two</w:t>
      </w:r>
      <w:r w:rsidR="00D405D0" w:rsidRPr="00753A98">
        <w:t>-way ANOVA.</w:t>
      </w:r>
      <w:r w:rsidR="00D405D0" w:rsidRPr="00753A98">
        <w:rPr>
          <w:lang w:eastAsia="zh-CN"/>
        </w:rPr>
        <w:t xml:space="preserve"> </w:t>
      </w:r>
      <w:r w:rsidR="00D405D0" w:rsidRPr="00753A98">
        <w:rPr>
          <w:b/>
          <w:bCs/>
          <w:lang w:eastAsia="zh-CN"/>
        </w:rPr>
        <w:t>(e-n)</w:t>
      </w:r>
      <w:r w:rsidR="00D405D0" w:rsidRPr="00753A98">
        <w:rPr>
          <w:lang w:eastAsia="zh-CN"/>
        </w:rPr>
        <w:t xml:space="preserve"> </w:t>
      </w:r>
      <w:r w:rsidR="00D405D0" w:rsidRPr="00753A98">
        <w:rPr>
          <w:lang w:val="en-CA"/>
        </w:rPr>
        <w:t>Primary latency (</w:t>
      </w:r>
      <w:r w:rsidR="00D405D0" w:rsidRPr="00753A98">
        <w:rPr>
          <w:b/>
          <w:lang w:val="en-CA"/>
        </w:rPr>
        <w:t>e&amp;</w:t>
      </w:r>
      <w:r w:rsidR="001318A1">
        <w:rPr>
          <w:b/>
          <w:lang w:val="en-CA"/>
        </w:rPr>
        <w:t>f</w:t>
      </w:r>
      <w:r w:rsidR="00D405D0" w:rsidRPr="00753A98">
        <w:rPr>
          <w:b/>
          <w:lang w:val="en-CA"/>
        </w:rPr>
        <w:t>)</w:t>
      </w:r>
      <w:r w:rsidR="00D405D0" w:rsidRPr="00753A98">
        <w:rPr>
          <w:bCs/>
          <w:lang w:val="en-CA"/>
        </w:rPr>
        <w:t>,</w:t>
      </w:r>
      <w:r w:rsidR="00D405D0" w:rsidRPr="00753A98">
        <w:rPr>
          <w:lang w:val="en-CA"/>
        </w:rPr>
        <w:t xml:space="preserve"> primary errors (</w:t>
      </w:r>
      <w:r w:rsidR="001318A1">
        <w:rPr>
          <w:b/>
          <w:lang w:val="en-CA"/>
        </w:rPr>
        <w:t>g</w:t>
      </w:r>
      <w:r w:rsidR="00D405D0" w:rsidRPr="00753A98">
        <w:rPr>
          <w:b/>
          <w:lang w:val="en-CA"/>
        </w:rPr>
        <w:t>&amp;h)</w:t>
      </w:r>
      <w:r w:rsidR="00D405D0" w:rsidRPr="00753A98">
        <w:rPr>
          <w:bCs/>
          <w:lang w:val="en-CA"/>
        </w:rPr>
        <w:t xml:space="preserve">, % visit to each hole </w:t>
      </w:r>
      <w:r w:rsidR="00D405D0" w:rsidRPr="00753A98">
        <w:rPr>
          <w:b/>
          <w:lang w:val="en-CA"/>
        </w:rPr>
        <w:t>(i&amp;j)</w:t>
      </w:r>
      <w:r w:rsidR="00D405D0" w:rsidRPr="00753A98">
        <w:rPr>
          <w:bCs/>
          <w:lang w:val="en-CA"/>
        </w:rPr>
        <w:t xml:space="preserve">, number of total visits </w:t>
      </w:r>
      <w:r w:rsidR="00D405D0" w:rsidRPr="00753A98">
        <w:rPr>
          <w:b/>
          <w:lang w:val="en-CA"/>
        </w:rPr>
        <w:t>(k&amp;</w:t>
      </w:r>
      <w:r w:rsidR="001318A1">
        <w:rPr>
          <w:b/>
          <w:lang w:val="en-CA"/>
        </w:rPr>
        <w:t>l</w:t>
      </w:r>
      <w:r w:rsidR="00D405D0" w:rsidRPr="00753A98">
        <w:rPr>
          <w:b/>
          <w:lang w:val="en-CA"/>
        </w:rPr>
        <w:t>),</w:t>
      </w:r>
      <w:r w:rsidR="00D405D0" w:rsidRPr="00753A98">
        <w:rPr>
          <w:bCs/>
          <w:lang w:val="en-CA"/>
        </w:rPr>
        <w:t xml:space="preserve"> and % visit to the target hole </w:t>
      </w:r>
      <w:r w:rsidR="00D405D0" w:rsidRPr="00753A98">
        <w:rPr>
          <w:b/>
          <w:lang w:val="en-CA"/>
        </w:rPr>
        <w:t>(</w:t>
      </w:r>
      <w:r w:rsidR="001318A1">
        <w:rPr>
          <w:b/>
          <w:lang w:val="en-CA"/>
        </w:rPr>
        <w:t>m</w:t>
      </w:r>
      <w:r w:rsidR="00D405D0" w:rsidRPr="00753A98">
        <w:rPr>
          <w:b/>
          <w:lang w:val="en-CA"/>
        </w:rPr>
        <w:t>&amp;n)</w:t>
      </w:r>
      <w:r w:rsidR="00D405D0" w:rsidRPr="00753A98">
        <w:rPr>
          <w:bCs/>
          <w:lang w:val="en-CA"/>
        </w:rPr>
        <w:t xml:space="preserve"> during</w:t>
      </w:r>
      <w:r w:rsidR="00D405D0" w:rsidRPr="00753A98">
        <w:rPr>
          <w:lang w:val="en-CA"/>
        </w:rPr>
        <w:t xml:space="preserve"> </w:t>
      </w:r>
      <w:r w:rsidR="00D405D0" w:rsidRPr="00753A98">
        <w:rPr>
          <w:color w:val="000000"/>
          <w:lang w:val="en-CA"/>
        </w:rPr>
        <w:t>probe test</w:t>
      </w:r>
      <w:r w:rsidR="00D405D0" w:rsidRPr="00753A98">
        <w:rPr>
          <w:lang w:val="en-CA"/>
        </w:rPr>
        <w:t xml:space="preserve"> in vehicle-treated</w:t>
      </w:r>
      <w:r w:rsidR="00D405D0" w:rsidRPr="00753A98">
        <w:rPr>
          <w:b/>
          <w:lang w:val="en-CA"/>
        </w:rPr>
        <w:t xml:space="preserve"> (</w:t>
      </w:r>
      <w:r w:rsidR="00F07E2A">
        <w:rPr>
          <w:b/>
          <w:lang w:val="en-CA"/>
        </w:rPr>
        <w:t>e,g,k,</w:t>
      </w:r>
      <w:r w:rsidR="001318A1">
        <w:rPr>
          <w:b/>
          <w:lang w:val="en-CA"/>
        </w:rPr>
        <w:t>l</w:t>
      </w:r>
      <w:r w:rsidR="00D405D0" w:rsidRPr="00753A98">
        <w:rPr>
          <w:b/>
          <w:lang w:val="en-CA"/>
        </w:rPr>
        <w:t>)</w:t>
      </w:r>
      <w:r w:rsidR="00D405D0" w:rsidRPr="00753A98">
        <w:rPr>
          <w:lang w:val="en-CA"/>
        </w:rPr>
        <w:t>, and MB-treated (</w:t>
      </w:r>
      <w:r w:rsidR="00F07E2A">
        <w:rPr>
          <w:b/>
          <w:lang w:val="en-CA"/>
        </w:rPr>
        <w:t>f,h,</w:t>
      </w:r>
      <w:r w:rsidR="001318A1">
        <w:rPr>
          <w:b/>
          <w:lang w:val="en-CA"/>
        </w:rPr>
        <w:t>m</w:t>
      </w:r>
      <w:r w:rsidR="00F07E2A">
        <w:rPr>
          <w:b/>
          <w:lang w:val="en-CA"/>
        </w:rPr>
        <w:t>,n</w:t>
      </w:r>
      <w:r w:rsidR="00D405D0" w:rsidRPr="00753A98">
        <w:rPr>
          <w:b/>
          <w:lang w:val="en-CA"/>
        </w:rPr>
        <w:t xml:space="preserve">) </w:t>
      </w:r>
      <w:r w:rsidR="00D405D0" w:rsidRPr="00753A98">
        <w:rPr>
          <w:bCs/>
          <w:lang w:val="en-CA"/>
        </w:rPr>
        <w:t>ACL/G KI/Cre and ACL/G KI/WT mice</w:t>
      </w:r>
      <w:r w:rsidR="00D405D0" w:rsidRPr="00753A98">
        <w:rPr>
          <w:lang w:val="en-CA"/>
        </w:rPr>
        <w:t xml:space="preserve">. </w:t>
      </w:r>
      <w:r w:rsidR="00D405D0" w:rsidRPr="00753A98">
        <w:t xml:space="preserve">Each mouse tested is represented by one symbol. Bars represent the mean and error bars the s.e.m. </w:t>
      </w:r>
      <w:r w:rsidR="00D405D0" w:rsidRPr="00753A98">
        <w:rPr>
          <w:b/>
          <w:bCs/>
        </w:rPr>
        <w:t>(e-h,k-n)</w:t>
      </w:r>
      <w:r w:rsidR="00D405D0" w:rsidRPr="00753A98">
        <w:t xml:space="preserve"> </w:t>
      </w:r>
      <w:r w:rsidR="00D405D0" w:rsidRPr="00753A98">
        <w:rPr>
          <w:lang w:val="en-CA"/>
        </w:rPr>
        <w:t xml:space="preserve">No </w:t>
      </w:r>
      <w:r w:rsidR="00D405D0" w:rsidRPr="00753A98">
        <w:t xml:space="preserve">statistical difference was shown by </w:t>
      </w:r>
      <w:r w:rsidR="005F2F02">
        <w:t>S</w:t>
      </w:r>
      <w:r w:rsidR="00D405D0" w:rsidRPr="00753A98">
        <w:t>tudent’s test.</w:t>
      </w:r>
      <w:r w:rsidRPr="00753A98">
        <w:rPr>
          <w:b/>
          <w:lang w:eastAsia="zh-CN"/>
        </w:rPr>
        <w:br w:type="page"/>
      </w:r>
    </w:p>
    <w:p w14:paraId="78B4C835" w14:textId="4E80FE7E" w:rsidR="006E4C6C" w:rsidRPr="00753A98" w:rsidRDefault="00D405D0" w:rsidP="00753A98">
      <w:pPr>
        <w:jc w:val="both"/>
      </w:pPr>
      <w:r w:rsidRPr="00753A98">
        <w:rPr>
          <w:noProof/>
        </w:rPr>
        <w:lastRenderedPageBreak/>
        <w:drawing>
          <wp:inline distT="0" distB="0" distL="0" distR="0" wp14:anchorId="45B00B21" wp14:editId="5996A2CF">
            <wp:extent cx="5943600" cy="5888355"/>
            <wp:effectExtent l="0" t="0" r="0" b="4445"/>
            <wp:docPr id="14" name="Picture 14"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l Fig 5_2019100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888355"/>
                    </a:xfrm>
                    <a:prstGeom prst="rect">
                      <a:avLst/>
                    </a:prstGeom>
                  </pic:spPr>
                </pic:pic>
              </a:graphicData>
            </a:graphic>
          </wp:inline>
        </w:drawing>
      </w:r>
    </w:p>
    <w:p w14:paraId="1BA08973" w14:textId="266D2597" w:rsidR="006E4C6C" w:rsidRPr="00753A98" w:rsidRDefault="006E4C6C" w:rsidP="00753A98">
      <w:pPr>
        <w:jc w:val="both"/>
      </w:pPr>
    </w:p>
    <w:p w14:paraId="14A2EEED" w14:textId="6AD1351D" w:rsidR="006E4C6C" w:rsidRPr="00753A98" w:rsidRDefault="006E4C6C" w:rsidP="00753A98">
      <w:pPr>
        <w:adjustRightInd w:val="0"/>
        <w:snapToGrid w:val="0"/>
        <w:jc w:val="both"/>
        <w:rPr>
          <w:b/>
          <w:lang w:eastAsia="zh-CN"/>
        </w:rPr>
      </w:pPr>
      <w:r w:rsidRPr="00753A98">
        <w:rPr>
          <w:b/>
          <w:lang w:eastAsia="zh-CN"/>
        </w:rPr>
        <w:t>F</w:t>
      </w:r>
      <w:r w:rsidRPr="00753A98">
        <w:rPr>
          <w:rFonts w:hint="eastAsia"/>
          <w:b/>
          <w:lang w:eastAsia="zh-CN"/>
        </w:rPr>
        <w:t>igure</w:t>
      </w:r>
      <w:r w:rsidRPr="00753A98">
        <w:rPr>
          <w:b/>
          <w:lang w:eastAsia="zh-CN"/>
        </w:rPr>
        <w:t xml:space="preserve"> S5</w:t>
      </w:r>
      <w:r w:rsidR="00D405D0" w:rsidRPr="00753A98">
        <w:rPr>
          <w:b/>
          <w:lang w:eastAsia="zh-CN"/>
        </w:rPr>
        <w:t xml:space="preserve">. </w:t>
      </w:r>
      <w:r w:rsidR="00D405D0" w:rsidRPr="00753A98">
        <w:rPr>
          <w:b/>
        </w:rPr>
        <w:t>MB reversed spatial memory impairments of ACL KI/Cre mice during Barnes maze.</w:t>
      </w:r>
      <w:r w:rsidR="00D405D0" w:rsidRPr="00753A98">
        <w:t xml:space="preserve"> </w:t>
      </w:r>
      <w:r w:rsidR="00D405D0" w:rsidRPr="00753A98">
        <w:rPr>
          <w:b/>
          <w:bCs/>
        </w:rPr>
        <w:t>(a-f)</w:t>
      </w:r>
      <w:r w:rsidR="00D405D0" w:rsidRPr="00753A98">
        <w:t xml:space="preserve"> </w:t>
      </w:r>
      <w:r w:rsidR="00D405D0" w:rsidRPr="00753A98">
        <w:rPr>
          <w:lang w:val="en-CA"/>
        </w:rPr>
        <w:t>Primary latency (</w:t>
      </w:r>
      <w:r w:rsidR="00D405D0" w:rsidRPr="00753A98">
        <w:rPr>
          <w:b/>
          <w:lang w:val="en-CA"/>
        </w:rPr>
        <w:t>a,c,e)</w:t>
      </w:r>
      <w:r w:rsidR="00D405D0" w:rsidRPr="00753A98">
        <w:rPr>
          <w:lang w:val="en-CA"/>
        </w:rPr>
        <w:t xml:space="preserve"> and primary errors (</w:t>
      </w:r>
      <w:r w:rsidR="00D405D0" w:rsidRPr="00753A98">
        <w:rPr>
          <w:b/>
          <w:lang w:val="en-CA"/>
        </w:rPr>
        <w:t xml:space="preserve">b,d,f) </w:t>
      </w:r>
      <w:r w:rsidR="00D405D0" w:rsidRPr="00753A98">
        <w:rPr>
          <w:lang w:val="en-CA"/>
        </w:rPr>
        <w:t xml:space="preserve">during </w:t>
      </w:r>
      <w:r w:rsidR="00D405D0" w:rsidRPr="00753A98">
        <w:rPr>
          <w:color w:val="000000"/>
          <w:lang w:val="en-CA"/>
        </w:rPr>
        <w:t>spatial acquisition training</w:t>
      </w:r>
      <w:r w:rsidR="00D405D0" w:rsidRPr="00753A98">
        <w:rPr>
          <w:lang w:val="en-CA"/>
        </w:rPr>
        <w:t xml:space="preserve"> in pre-treated </w:t>
      </w:r>
      <w:r w:rsidR="00D405D0" w:rsidRPr="00753A98">
        <w:rPr>
          <w:bCs/>
          <w:lang w:val="en-CA"/>
        </w:rPr>
        <w:t>ACL KI/Cre (n=7), ACL KI/WT (n=14), WT/Cre (n=25), and WT/WT</w:t>
      </w:r>
      <w:r w:rsidR="00D405D0" w:rsidRPr="00753A98">
        <w:rPr>
          <w:lang w:val="en-CA"/>
        </w:rPr>
        <w:t xml:space="preserve"> (n=22) (</w:t>
      </w:r>
      <w:r w:rsidR="00D405D0" w:rsidRPr="00753A98">
        <w:rPr>
          <w:b/>
          <w:lang w:val="en-CA"/>
        </w:rPr>
        <w:t xml:space="preserve">a&amp;b), </w:t>
      </w:r>
      <w:r w:rsidR="00D405D0" w:rsidRPr="00753A98">
        <w:rPr>
          <w:lang w:val="en-CA"/>
        </w:rPr>
        <w:t>vehicle-treated</w:t>
      </w:r>
      <w:r w:rsidR="00D405D0" w:rsidRPr="00753A98">
        <w:rPr>
          <w:b/>
          <w:lang w:val="en-CA"/>
        </w:rPr>
        <w:t xml:space="preserve"> </w:t>
      </w:r>
      <w:r w:rsidR="00D405D0" w:rsidRPr="00753A98">
        <w:rPr>
          <w:bCs/>
          <w:lang w:val="en-CA"/>
        </w:rPr>
        <w:t>ACL KI/Cre (n=2), ACL KI/WT (n=6), WT/Cre (n=12), and WT/WT</w:t>
      </w:r>
      <w:r w:rsidR="00D405D0" w:rsidRPr="00753A98">
        <w:rPr>
          <w:lang w:val="en-CA"/>
        </w:rPr>
        <w:t xml:space="preserve"> (n=12)</w:t>
      </w:r>
      <w:r w:rsidR="00D405D0" w:rsidRPr="00753A98">
        <w:rPr>
          <w:b/>
          <w:lang w:val="en-CA"/>
        </w:rPr>
        <w:t xml:space="preserve"> (c&amp;d)</w:t>
      </w:r>
      <w:r w:rsidR="00D405D0" w:rsidRPr="00753A98">
        <w:rPr>
          <w:lang w:val="en-CA"/>
        </w:rPr>
        <w:t xml:space="preserve">, and MB-treated </w:t>
      </w:r>
      <w:r w:rsidR="00D405D0" w:rsidRPr="00753A98">
        <w:rPr>
          <w:bCs/>
          <w:lang w:val="en-CA"/>
        </w:rPr>
        <w:t>ACL KI/Cre (n=5), ACL KI/WT (n=8), WT/Cre (n=13), and WT/WT</w:t>
      </w:r>
      <w:r w:rsidR="00D405D0" w:rsidRPr="00753A98">
        <w:rPr>
          <w:lang w:val="en-CA"/>
        </w:rPr>
        <w:t xml:space="preserve"> (n=10) (</w:t>
      </w:r>
      <w:r w:rsidR="00D405D0" w:rsidRPr="00753A98">
        <w:rPr>
          <w:b/>
          <w:lang w:val="en-CA"/>
        </w:rPr>
        <w:t xml:space="preserve">e&amp;f) </w:t>
      </w:r>
      <w:r w:rsidR="00D405D0" w:rsidRPr="00753A98">
        <w:rPr>
          <w:bCs/>
          <w:lang w:val="en-CA"/>
        </w:rPr>
        <w:t>mice</w:t>
      </w:r>
      <w:r w:rsidR="00D405D0" w:rsidRPr="00753A98">
        <w:rPr>
          <w:lang w:val="en-CA"/>
        </w:rPr>
        <w:t xml:space="preserve">. No statistical difference was shown with repeated-measures two-way ANOVA in </w:t>
      </w:r>
      <w:r w:rsidR="00D405D0" w:rsidRPr="00753A98">
        <w:rPr>
          <w:b/>
          <w:bCs/>
          <w:lang w:val="en-CA"/>
        </w:rPr>
        <w:t>a,b</w:t>
      </w:r>
      <w:r w:rsidR="00D405D0" w:rsidRPr="00753A98">
        <w:rPr>
          <w:lang w:val="en-CA"/>
        </w:rPr>
        <w:t xml:space="preserve">. </w:t>
      </w:r>
      <w:r w:rsidR="00D405D0" w:rsidRPr="00753A98">
        <w:rPr>
          <w:b/>
          <w:lang w:val="en-CA"/>
        </w:rPr>
        <w:t>(g-k)</w:t>
      </w:r>
      <w:r w:rsidR="00D405D0" w:rsidRPr="00753A98">
        <w:rPr>
          <w:lang w:val="en-CA"/>
        </w:rPr>
        <w:t xml:space="preserve"> Probe test primary latency (</w:t>
      </w:r>
      <w:r w:rsidR="00D405D0" w:rsidRPr="00753A98">
        <w:rPr>
          <w:b/>
          <w:lang w:val="en-CA"/>
        </w:rPr>
        <w:t>g)</w:t>
      </w:r>
      <w:r w:rsidR="00D405D0" w:rsidRPr="00753A98">
        <w:rPr>
          <w:lang w:val="en-CA"/>
        </w:rPr>
        <w:t xml:space="preserve">, primary errors </w:t>
      </w:r>
      <w:r w:rsidR="00D405D0" w:rsidRPr="00753A98">
        <w:rPr>
          <w:b/>
          <w:lang w:val="en-CA"/>
        </w:rPr>
        <w:t xml:space="preserve">(h), </w:t>
      </w:r>
      <w:r w:rsidR="00D405D0" w:rsidRPr="00753A98">
        <w:rPr>
          <w:lang w:val="en-CA"/>
        </w:rPr>
        <w:t>% visit to each hole (</w:t>
      </w:r>
      <w:r w:rsidR="00D405D0" w:rsidRPr="00753A98">
        <w:rPr>
          <w:b/>
          <w:lang w:val="en-CA"/>
        </w:rPr>
        <w:t>i)</w:t>
      </w:r>
      <w:r w:rsidR="00D405D0" w:rsidRPr="00753A98">
        <w:rPr>
          <w:lang w:val="en-CA"/>
        </w:rPr>
        <w:t xml:space="preserve">, % visit to the target hole </w:t>
      </w:r>
      <w:r w:rsidR="00D405D0" w:rsidRPr="00753A98">
        <w:rPr>
          <w:b/>
          <w:lang w:val="en-CA"/>
        </w:rPr>
        <w:t>(j)</w:t>
      </w:r>
      <w:r w:rsidR="00D405D0" w:rsidRPr="00753A98">
        <w:rPr>
          <w:bCs/>
          <w:lang w:val="en-CA"/>
        </w:rPr>
        <w:t>,</w:t>
      </w:r>
      <w:r w:rsidR="00D405D0" w:rsidRPr="00753A98">
        <w:rPr>
          <w:b/>
          <w:lang w:val="en-CA"/>
        </w:rPr>
        <w:t xml:space="preserve"> </w:t>
      </w:r>
      <w:r w:rsidR="00D405D0" w:rsidRPr="00753A98">
        <w:rPr>
          <w:bCs/>
          <w:lang w:val="en-CA"/>
        </w:rPr>
        <w:t>and</w:t>
      </w:r>
      <w:r w:rsidR="00D405D0" w:rsidRPr="00753A98">
        <w:rPr>
          <w:b/>
          <w:lang w:val="en-CA"/>
        </w:rPr>
        <w:t xml:space="preserve"> </w:t>
      </w:r>
      <w:r w:rsidR="00D405D0" w:rsidRPr="00753A98">
        <w:rPr>
          <w:lang w:val="en-CA"/>
        </w:rPr>
        <w:t>number of total visits (</w:t>
      </w:r>
      <w:r w:rsidR="00D405D0" w:rsidRPr="00753A98">
        <w:rPr>
          <w:b/>
          <w:lang w:val="en-CA"/>
        </w:rPr>
        <w:t>k</w:t>
      </w:r>
      <w:r w:rsidR="00D405D0" w:rsidRPr="00753A98">
        <w:rPr>
          <w:lang w:val="en-CA"/>
        </w:rPr>
        <w:t xml:space="preserve">) were represented as mean and s.e.m. Each one symbol represents one individual mouse data. </w:t>
      </w:r>
      <w:r w:rsidR="00D405D0" w:rsidRPr="00753A98">
        <w:rPr>
          <w:b/>
          <w:bCs/>
        </w:rPr>
        <w:t>(g,h,j,k)</w:t>
      </w:r>
      <w:r w:rsidR="00D405D0" w:rsidRPr="00753A98">
        <w:t xml:space="preserve"> </w:t>
      </w:r>
      <w:r w:rsidR="00D405D0" w:rsidRPr="00753A98">
        <w:rPr>
          <w:lang w:val="en-CA"/>
        </w:rPr>
        <w:t xml:space="preserve">Statistics </w:t>
      </w:r>
      <w:r w:rsidR="00F07E2A">
        <w:rPr>
          <w:lang w:val="en-CA"/>
        </w:rPr>
        <w:t>were</w:t>
      </w:r>
      <w:r w:rsidR="00D405D0" w:rsidRPr="00753A98">
        <w:rPr>
          <w:lang w:val="en-CA"/>
        </w:rPr>
        <w:t xml:space="preserve"> assessed with one-way ANOVA</w:t>
      </w:r>
      <w:r w:rsidR="00F07E2A">
        <w:rPr>
          <w:lang w:val="en-CA"/>
        </w:rPr>
        <w:t>. Significance was observed only</w:t>
      </w:r>
      <w:r w:rsidR="00D405D0" w:rsidRPr="00753A98">
        <w:rPr>
          <w:lang w:val="en-CA"/>
        </w:rPr>
        <w:t xml:space="preserve"> in the left panel of </w:t>
      </w:r>
      <w:r w:rsidR="00D405D0" w:rsidRPr="00753A98">
        <w:rPr>
          <w:b/>
          <w:bCs/>
          <w:lang w:val="en-CA"/>
        </w:rPr>
        <w:t>j</w:t>
      </w:r>
      <w:r w:rsidR="00D405D0" w:rsidRPr="00753A98">
        <w:rPr>
          <w:lang w:val="en-CA"/>
        </w:rPr>
        <w:t xml:space="preserve"> (</w:t>
      </w:r>
      <w:r w:rsidR="00D405D0" w:rsidRPr="00753A98">
        <w:rPr>
          <w:i/>
          <w:iCs/>
          <w:lang w:val="en-CA"/>
        </w:rPr>
        <w:t>p</w:t>
      </w:r>
      <w:r w:rsidR="00D405D0" w:rsidRPr="00753A98">
        <w:rPr>
          <w:lang w:val="en-CA"/>
        </w:rPr>
        <w:t>=0.022)</w:t>
      </w:r>
      <w:r w:rsidR="00F07E2A">
        <w:rPr>
          <w:lang w:val="en-CA"/>
        </w:rPr>
        <w:t xml:space="preserve">. </w:t>
      </w:r>
      <w:r w:rsidR="00D405D0" w:rsidRPr="00753A98">
        <w:rPr>
          <w:lang w:val="en-CA"/>
        </w:rPr>
        <w:t>*</w:t>
      </w:r>
      <w:r w:rsidR="00D405D0" w:rsidRPr="00753A98">
        <w:rPr>
          <w:i/>
          <w:iCs/>
          <w:lang w:val="en-CA"/>
        </w:rPr>
        <w:t>p</w:t>
      </w:r>
      <w:r w:rsidR="00D405D0" w:rsidRPr="00753A98">
        <w:rPr>
          <w:lang w:val="en-CA"/>
        </w:rPr>
        <w:t>&lt;0.05 vs vehicle-treated WT/WT</w:t>
      </w:r>
      <w:r w:rsidR="00F07E2A">
        <w:rPr>
          <w:lang w:val="en-CA"/>
        </w:rPr>
        <w:t xml:space="preserve"> in </w:t>
      </w:r>
      <w:r w:rsidR="00F07E2A" w:rsidRPr="00753A98">
        <w:rPr>
          <w:lang w:val="en-CA"/>
        </w:rPr>
        <w:t>Dunnett’s post-hoc analysis</w:t>
      </w:r>
      <w:r w:rsidR="00D405D0" w:rsidRPr="00753A98">
        <w:rPr>
          <w:lang w:val="en-CA"/>
        </w:rPr>
        <w:t xml:space="preserve">. </w:t>
      </w:r>
    </w:p>
    <w:p w14:paraId="53B05584" w14:textId="76B135F8" w:rsidR="006E4C6C" w:rsidRPr="00753A98" w:rsidRDefault="006E4C6C" w:rsidP="00753A98">
      <w:pPr>
        <w:adjustRightInd w:val="0"/>
        <w:snapToGrid w:val="0"/>
        <w:jc w:val="both"/>
        <w:rPr>
          <w:b/>
          <w:bCs/>
          <w:lang w:eastAsia="zh-CN"/>
        </w:rPr>
      </w:pPr>
      <w:r w:rsidRPr="00753A98">
        <w:rPr>
          <w:b/>
          <w:bCs/>
          <w:noProof/>
        </w:rPr>
        <w:lastRenderedPageBreak/>
        <w:drawing>
          <wp:inline distT="0" distB="0" distL="0" distR="0" wp14:anchorId="7F45A401" wp14:editId="07AE55AF">
            <wp:extent cx="5943600" cy="238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 6.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387600"/>
                    </a:xfrm>
                    <a:prstGeom prst="rect">
                      <a:avLst/>
                    </a:prstGeom>
                  </pic:spPr>
                </pic:pic>
              </a:graphicData>
            </a:graphic>
          </wp:inline>
        </w:drawing>
      </w:r>
    </w:p>
    <w:p w14:paraId="07705AAA" w14:textId="7C52F110" w:rsidR="00AA1234" w:rsidRPr="00753A98" w:rsidRDefault="00AA1234" w:rsidP="00753A98">
      <w:pPr>
        <w:adjustRightInd w:val="0"/>
        <w:snapToGrid w:val="0"/>
        <w:jc w:val="both"/>
        <w:rPr>
          <w:b/>
          <w:bCs/>
          <w:lang w:eastAsia="zh-CN"/>
        </w:rPr>
      </w:pPr>
    </w:p>
    <w:p w14:paraId="14F6F3B1" w14:textId="77777777" w:rsidR="00AA1234" w:rsidRPr="00753A98" w:rsidRDefault="00AA1234" w:rsidP="00753A98">
      <w:pPr>
        <w:adjustRightInd w:val="0"/>
        <w:snapToGrid w:val="0"/>
        <w:jc w:val="both"/>
        <w:rPr>
          <w:b/>
          <w:bCs/>
          <w:lang w:eastAsia="zh-CN"/>
        </w:rPr>
      </w:pPr>
    </w:p>
    <w:p w14:paraId="795F48CD" w14:textId="76EF9982" w:rsidR="003C36D2" w:rsidRPr="00753A98" w:rsidRDefault="006E4C6C" w:rsidP="00753A98">
      <w:pPr>
        <w:pStyle w:val="NormalWeb"/>
        <w:spacing w:before="0" w:beforeAutospacing="0" w:after="0" w:afterAutospacing="0"/>
        <w:jc w:val="both"/>
      </w:pPr>
      <w:r w:rsidRPr="00753A98">
        <w:rPr>
          <w:b/>
          <w:lang w:eastAsia="zh-CN"/>
        </w:rPr>
        <w:t>F</w:t>
      </w:r>
      <w:r w:rsidRPr="00753A98">
        <w:rPr>
          <w:rFonts w:hint="eastAsia"/>
          <w:b/>
          <w:lang w:eastAsia="zh-CN"/>
        </w:rPr>
        <w:t>igure</w:t>
      </w:r>
      <w:r w:rsidRPr="00753A98">
        <w:rPr>
          <w:b/>
          <w:lang w:eastAsia="zh-CN"/>
        </w:rPr>
        <w:t xml:space="preserve"> S6. FLICA-Casp6 activity in acute brain slice CA1 neurons. </w:t>
      </w:r>
      <w:r w:rsidRPr="00753A98">
        <w:t xml:space="preserve">Quantification of the numbers of FLICA-Casp6 positive neurons per </w:t>
      </w:r>
      <w:r w:rsidR="00E171C0">
        <w:t>µm</w:t>
      </w:r>
      <w:r w:rsidRPr="00753A98">
        <w:t xml:space="preserve"> along the pyramidal cell neurons (PCL) </w:t>
      </w:r>
      <w:r w:rsidRPr="00753A98">
        <w:rPr>
          <w:rFonts w:hint="eastAsia"/>
          <w:lang w:eastAsia="zh-CN"/>
        </w:rPr>
        <w:t>fro</w:t>
      </w:r>
      <w:r w:rsidRPr="00753A98">
        <w:rPr>
          <w:lang w:eastAsia="zh-CN"/>
        </w:rPr>
        <w:t>m the slice surface to -30-µm depth</w:t>
      </w:r>
      <w:r w:rsidRPr="00753A98">
        <w:t>. Data represents mean ± s.e.m. Statistical evaluations were done with repeated-measures two-way ANOVA followed by D</w:t>
      </w:r>
      <w:r w:rsidRPr="00753A98">
        <w:rPr>
          <w:rFonts w:hint="eastAsia"/>
          <w:lang w:eastAsia="zh-CN"/>
        </w:rPr>
        <w:t>unn</w:t>
      </w:r>
      <w:r w:rsidRPr="00753A98">
        <w:rPr>
          <w:lang w:eastAsia="zh-CN"/>
        </w:rPr>
        <w:t>ett</w:t>
      </w:r>
      <w:r w:rsidRPr="00753A98">
        <w:t xml:space="preserve">’s post-hoc analysis (depth </w:t>
      </w:r>
      <w:r w:rsidRPr="00753A98">
        <w:rPr>
          <w:i/>
        </w:rPr>
        <w:t>p</w:t>
      </w:r>
      <w:r w:rsidRPr="00753A98">
        <w:t xml:space="preserve">&lt;0.0001, group </w:t>
      </w:r>
      <w:r w:rsidRPr="00753A98">
        <w:rPr>
          <w:i/>
        </w:rPr>
        <w:t>p</w:t>
      </w:r>
      <w:r w:rsidRPr="00753A98">
        <w:t xml:space="preserve">=0.0003, interaction </w:t>
      </w:r>
      <w:r w:rsidRPr="00753A98">
        <w:rPr>
          <w:i/>
        </w:rPr>
        <w:t>p</w:t>
      </w:r>
      <w:r w:rsidRPr="00753A98">
        <w:t>=0.0006). **</w:t>
      </w:r>
      <w:r w:rsidRPr="00753A98">
        <w:rPr>
          <w:i/>
        </w:rPr>
        <w:t>p</w:t>
      </w:r>
      <w:r w:rsidRPr="00753A98">
        <w:t xml:space="preserve">&lt;0.01 vs vehicle-treated </w:t>
      </w:r>
      <w:r w:rsidR="00D405D0" w:rsidRPr="00753A98">
        <w:t>WT/WT</w:t>
      </w:r>
      <w:r w:rsidRPr="00753A98">
        <w:t>.</w:t>
      </w:r>
    </w:p>
    <w:p w14:paraId="29970580" w14:textId="77777777" w:rsidR="003C36D2" w:rsidRPr="00753A98" w:rsidRDefault="003C36D2" w:rsidP="00753A98">
      <w:pPr>
        <w:jc w:val="both"/>
        <w:rPr>
          <w:rFonts w:eastAsia="Times New Roman"/>
          <w:lang w:val="en-CA"/>
        </w:rPr>
      </w:pPr>
      <w:r w:rsidRPr="00753A98">
        <w:br w:type="page"/>
      </w:r>
    </w:p>
    <w:p w14:paraId="4888CC34" w14:textId="4DD949A4" w:rsidR="006E4C6C" w:rsidRPr="00753A98" w:rsidRDefault="00D405D0" w:rsidP="00753A98">
      <w:pPr>
        <w:pStyle w:val="NormalWeb"/>
        <w:spacing w:before="0" w:beforeAutospacing="0" w:after="0" w:afterAutospacing="0"/>
        <w:jc w:val="both"/>
        <w:rPr>
          <w:color w:val="000000"/>
        </w:rPr>
      </w:pPr>
      <w:r w:rsidRPr="00753A98">
        <w:rPr>
          <w:noProof/>
          <w:color w:val="000000"/>
          <w:lang w:val="en-US"/>
        </w:rPr>
        <w:lastRenderedPageBreak/>
        <w:drawing>
          <wp:inline distT="0" distB="0" distL="0" distR="0" wp14:anchorId="23EAE874" wp14:editId="13FD60FB">
            <wp:extent cx="5943600" cy="37287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l Fig 7_2019100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728720"/>
                    </a:xfrm>
                    <a:prstGeom prst="rect">
                      <a:avLst/>
                    </a:prstGeom>
                  </pic:spPr>
                </pic:pic>
              </a:graphicData>
            </a:graphic>
          </wp:inline>
        </w:drawing>
      </w:r>
    </w:p>
    <w:p w14:paraId="5778E9E4" w14:textId="77777777" w:rsidR="006E4C6C" w:rsidRPr="00753A98" w:rsidRDefault="006E4C6C" w:rsidP="00753A98">
      <w:pPr>
        <w:adjustRightInd w:val="0"/>
        <w:snapToGrid w:val="0"/>
        <w:jc w:val="both"/>
        <w:rPr>
          <w:lang w:val="en-CA" w:eastAsia="zh-CN"/>
        </w:rPr>
      </w:pPr>
    </w:p>
    <w:p w14:paraId="4447E181" w14:textId="60E119B8" w:rsidR="003C36D2" w:rsidRPr="00753A98" w:rsidRDefault="003C36D2" w:rsidP="00753A98">
      <w:pPr>
        <w:jc w:val="both"/>
        <w:rPr>
          <w:b/>
        </w:rPr>
      </w:pPr>
      <w:r w:rsidRPr="00753A98">
        <w:rPr>
          <w:b/>
        </w:rPr>
        <w:t>Figure S7.</w:t>
      </w:r>
      <w:r w:rsidR="00D405D0" w:rsidRPr="00753A98">
        <w:rPr>
          <w:b/>
        </w:rPr>
        <w:t xml:space="preserve"> </w:t>
      </w:r>
      <w:r w:rsidR="00D405D0" w:rsidRPr="00753A98">
        <w:rPr>
          <w:b/>
          <w:bCs/>
        </w:rPr>
        <w:t>Tub∆Casp6 immunostaining</w:t>
      </w:r>
      <w:r w:rsidR="00D405D0" w:rsidRPr="00753A98">
        <w:rPr>
          <w:b/>
        </w:rPr>
        <w:t xml:space="preserve"> in hippocampal CA1 and fiber tracts. (a)</w:t>
      </w:r>
      <w:r w:rsidR="00D405D0" w:rsidRPr="00753A98">
        <w:t xml:space="preserve"> Representative micrographs of immunopositive Tub</w:t>
      </w:r>
      <w:r w:rsidR="00D405D0" w:rsidRPr="00753A98">
        <w:rPr>
          <w:rFonts w:eastAsia="Kaiti SC Regular"/>
        </w:rPr>
        <w:t>∆</w:t>
      </w:r>
      <w:r w:rsidR="00D405D0" w:rsidRPr="00753A98">
        <w:t xml:space="preserve">Casp6 in hippocampal CA1 regions of vehicle-treated ACL/G KI/WT (n=3), ACL KI/Cre (n=1), ACL KI/WT (n=3), WT/Cre (n=3), WT/WT (n=3) mice, and MB-treated ACL/G KI/WT (n=1), ACL KI/Cre (n=5), ACL KI/WT (n=3), WT/Cre (n=3), WT/WT (n=3) mice. Bar=50 µm. </w:t>
      </w:r>
      <w:r w:rsidR="00D405D0" w:rsidRPr="00753A98">
        <w:rPr>
          <w:b/>
        </w:rPr>
        <w:t>(b)</w:t>
      </w:r>
      <w:r w:rsidR="00D405D0" w:rsidRPr="00753A98">
        <w:t xml:space="preserve"> Micrographs of immunopositive Tub</w:t>
      </w:r>
      <w:r w:rsidR="00D405D0" w:rsidRPr="00753A98">
        <w:rPr>
          <w:rFonts w:eastAsia="Kaiti SC Regular"/>
        </w:rPr>
        <w:t>∆</w:t>
      </w:r>
      <w:r w:rsidR="00D405D0" w:rsidRPr="00753A98">
        <w:t xml:space="preserve">Casp6 in the </w:t>
      </w:r>
      <w:r w:rsidR="00714539" w:rsidRPr="00753A98">
        <w:t>white</w:t>
      </w:r>
      <w:r w:rsidR="00D405D0" w:rsidRPr="00753A98">
        <w:t xml:space="preserve"> matter of corpus callosum,</w:t>
      </w:r>
      <w:r w:rsidR="00D405D0" w:rsidRPr="00753A98">
        <w:rPr>
          <w:b/>
        </w:rPr>
        <w:t xml:space="preserve"> </w:t>
      </w:r>
      <w:r w:rsidR="00D405D0" w:rsidRPr="00753A98">
        <w:t xml:space="preserve">fimbria, and the column of the fornix. Bar=50 µm. </w:t>
      </w:r>
      <w:r w:rsidR="00D255C3">
        <w:t>(</w:t>
      </w:r>
      <w:r w:rsidR="00D255C3">
        <w:rPr>
          <w:b/>
        </w:rPr>
        <w:t xml:space="preserve">a&amp;b) </w:t>
      </w:r>
      <w:r w:rsidR="00D255C3" w:rsidRPr="00753A98">
        <w:t xml:space="preserve">Red arrow indicates immunopositive </w:t>
      </w:r>
      <w:r w:rsidR="00D255C3">
        <w:t>compact structures</w:t>
      </w:r>
      <w:r w:rsidR="00D255C3" w:rsidRPr="00753A98">
        <w:t>, black arrow indicates immunopositive neurites, and white arrow indicates punctate staining.</w:t>
      </w:r>
    </w:p>
    <w:p w14:paraId="363E6C3F" w14:textId="77777777" w:rsidR="003C36D2" w:rsidRPr="00753A98" w:rsidRDefault="003C36D2" w:rsidP="00753A98">
      <w:pPr>
        <w:jc w:val="both"/>
        <w:rPr>
          <w:b/>
        </w:rPr>
      </w:pPr>
      <w:r w:rsidRPr="00753A98">
        <w:rPr>
          <w:b/>
        </w:rPr>
        <w:br w:type="page"/>
      </w:r>
    </w:p>
    <w:p w14:paraId="72D7126E" w14:textId="2AF70BE8" w:rsidR="006E4C6C" w:rsidRPr="00753A98" w:rsidRDefault="00D405D0" w:rsidP="00753A98">
      <w:pPr>
        <w:jc w:val="both"/>
        <w:rPr>
          <w:b/>
        </w:rPr>
      </w:pPr>
      <w:r w:rsidRPr="00753A98">
        <w:rPr>
          <w:b/>
          <w:noProof/>
        </w:rPr>
        <w:lastRenderedPageBreak/>
        <w:drawing>
          <wp:inline distT="0" distB="0" distL="0" distR="0" wp14:anchorId="62909E9E" wp14:editId="6121FD58">
            <wp:extent cx="5518150" cy="8229600"/>
            <wp:effectExtent l="0" t="0" r="6350" b="0"/>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l Fig 8_2019100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18150" cy="8229600"/>
                    </a:xfrm>
                    <a:prstGeom prst="rect">
                      <a:avLst/>
                    </a:prstGeom>
                  </pic:spPr>
                </pic:pic>
              </a:graphicData>
            </a:graphic>
          </wp:inline>
        </w:drawing>
      </w:r>
    </w:p>
    <w:p w14:paraId="4AA94F88" w14:textId="5C5CE5DA" w:rsidR="003C36D2" w:rsidRPr="00753A98" w:rsidRDefault="003C36D2" w:rsidP="00753A98">
      <w:pPr>
        <w:jc w:val="both"/>
        <w:rPr>
          <w:b/>
        </w:rPr>
      </w:pPr>
    </w:p>
    <w:p w14:paraId="33E2CB96" w14:textId="36A48DAC" w:rsidR="003C36D2" w:rsidRPr="00753A98" w:rsidRDefault="003C36D2" w:rsidP="00753A98">
      <w:pPr>
        <w:adjustRightInd w:val="0"/>
        <w:snapToGrid w:val="0"/>
        <w:jc w:val="both"/>
        <w:rPr>
          <w:b/>
          <w:lang w:eastAsia="zh-CN"/>
        </w:rPr>
      </w:pPr>
      <w:r w:rsidRPr="00753A98">
        <w:rPr>
          <w:b/>
          <w:lang w:eastAsia="zh-CN"/>
        </w:rPr>
        <w:t>F</w:t>
      </w:r>
      <w:r w:rsidRPr="00753A98">
        <w:rPr>
          <w:rFonts w:hint="eastAsia"/>
          <w:b/>
          <w:lang w:eastAsia="zh-CN"/>
        </w:rPr>
        <w:t>igure</w:t>
      </w:r>
      <w:r w:rsidRPr="00753A98">
        <w:rPr>
          <w:b/>
          <w:lang w:eastAsia="zh-CN"/>
        </w:rPr>
        <w:t xml:space="preserve"> S8. Microglial activation in hippocampal CA1 region</w:t>
      </w:r>
      <w:r w:rsidR="00A049E8" w:rsidRPr="00753A98">
        <w:rPr>
          <w:b/>
          <w:lang w:eastAsia="zh-CN"/>
        </w:rPr>
        <w:t xml:space="preserve"> and fiber tracts</w:t>
      </w:r>
      <w:r w:rsidRPr="00753A98">
        <w:rPr>
          <w:b/>
          <w:lang w:eastAsia="zh-CN"/>
        </w:rPr>
        <w:t xml:space="preserve">. </w:t>
      </w:r>
    </w:p>
    <w:p w14:paraId="2B0DF3F5" w14:textId="66345188" w:rsidR="00A049E8" w:rsidRPr="00753A98" w:rsidRDefault="003C36D2" w:rsidP="00753A98">
      <w:pPr>
        <w:adjustRightInd w:val="0"/>
        <w:snapToGrid w:val="0"/>
        <w:jc w:val="both"/>
        <w:rPr>
          <w:b/>
          <w:lang w:eastAsia="zh-CN"/>
        </w:rPr>
      </w:pPr>
      <w:r w:rsidRPr="00753A98">
        <w:rPr>
          <w:b/>
          <w:lang w:eastAsia="zh-CN"/>
        </w:rPr>
        <w:t xml:space="preserve">(a) </w:t>
      </w:r>
      <w:r w:rsidR="00B632FA">
        <w:rPr>
          <w:lang w:eastAsia="zh-CN"/>
        </w:rPr>
        <w:t>Representative micrograph</w:t>
      </w:r>
      <w:r w:rsidRPr="00753A98">
        <w:t xml:space="preserve"> of subtype I, II, III, and IV microglia used for subtype classification.</w:t>
      </w:r>
      <w:r w:rsidR="00A049E8" w:rsidRPr="00753A98">
        <w:t xml:space="preserve"> </w:t>
      </w:r>
      <w:r w:rsidR="00A049E8" w:rsidRPr="00753A98">
        <w:rPr>
          <w:b/>
          <w:lang w:val="en-CA"/>
        </w:rPr>
        <w:t>(b-m)</w:t>
      </w:r>
      <w:r w:rsidR="00A049E8" w:rsidRPr="00753A98">
        <w:rPr>
          <w:lang w:val="en-CA"/>
        </w:rPr>
        <w:t xml:space="preserve"> </w:t>
      </w:r>
      <w:r w:rsidR="00A049E8" w:rsidRPr="00753A98">
        <w:rPr>
          <w:rFonts w:hint="eastAsia"/>
          <w:lang w:val="en-CA"/>
        </w:rPr>
        <w:t>R</w:t>
      </w:r>
      <w:r w:rsidR="00A049E8" w:rsidRPr="00753A98">
        <w:rPr>
          <w:lang w:val="en-CA"/>
        </w:rPr>
        <w:t>epresentative</w:t>
      </w:r>
      <w:r w:rsidR="00A049E8" w:rsidRPr="00753A98">
        <w:rPr>
          <w:rFonts w:hint="eastAsia"/>
          <w:lang w:val="en-CA"/>
        </w:rPr>
        <w:t xml:space="preserve"> </w:t>
      </w:r>
      <w:r w:rsidR="00A049E8" w:rsidRPr="00753A98">
        <w:rPr>
          <w:lang w:val="en-CA"/>
        </w:rPr>
        <w:t>micrographs, Bar = 50µm (</w:t>
      </w:r>
      <w:r w:rsidR="00A049E8" w:rsidRPr="00753A98">
        <w:rPr>
          <w:b/>
          <w:lang w:val="en-CA"/>
        </w:rPr>
        <w:t>b,e,h,k</w:t>
      </w:r>
      <w:r w:rsidR="00A049E8" w:rsidRPr="00753A98">
        <w:rPr>
          <w:lang w:val="en-CA"/>
        </w:rPr>
        <w:t>), quantitation of numbers of Iba1-immunopositive microglia/mm</w:t>
      </w:r>
      <w:r w:rsidR="00A049E8" w:rsidRPr="00753A98">
        <w:rPr>
          <w:vertAlign w:val="superscript"/>
          <w:lang w:val="en-CA"/>
        </w:rPr>
        <w:t>2</w:t>
      </w:r>
      <w:r w:rsidR="00A049E8" w:rsidRPr="00753A98">
        <w:rPr>
          <w:lang w:val="en-CA"/>
        </w:rPr>
        <w:t xml:space="preserve"> (</w:t>
      </w:r>
      <w:r w:rsidR="00A049E8" w:rsidRPr="00753A98">
        <w:rPr>
          <w:b/>
          <w:lang w:val="en-CA"/>
        </w:rPr>
        <w:t xml:space="preserve">c,f,i,l) </w:t>
      </w:r>
      <w:r w:rsidR="00A049E8" w:rsidRPr="00753A98">
        <w:rPr>
          <w:lang w:val="en-CA"/>
        </w:rPr>
        <w:t>and subtype I-IV microglia (</w:t>
      </w:r>
      <w:r w:rsidR="00A049E8" w:rsidRPr="00753A98">
        <w:rPr>
          <w:b/>
          <w:lang w:val="en-CA"/>
        </w:rPr>
        <w:t>d,g,j,m)</w:t>
      </w:r>
      <w:r w:rsidR="00A049E8" w:rsidRPr="00753A98">
        <w:rPr>
          <w:lang w:val="en-CA"/>
        </w:rPr>
        <w:t xml:space="preserve"> in hippocampus CA1 (</w:t>
      </w:r>
      <w:r w:rsidR="00A049E8" w:rsidRPr="00753A98">
        <w:rPr>
          <w:b/>
          <w:lang w:val="en-CA"/>
        </w:rPr>
        <w:t>b-d)</w:t>
      </w:r>
      <w:r w:rsidR="00A049E8" w:rsidRPr="00753A98">
        <w:rPr>
          <w:lang w:val="en-CA"/>
        </w:rPr>
        <w:t>, corpus callosum (</w:t>
      </w:r>
      <w:r w:rsidR="00A049E8" w:rsidRPr="00753A98">
        <w:rPr>
          <w:b/>
          <w:lang w:val="en-CA"/>
        </w:rPr>
        <w:t>e-g)</w:t>
      </w:r>
      <w:r w:rsidR="00A049E8" w:rsidRPr="00753A98">
        <w:rPr>
          <w:lang w:val="en-CA"/>
        </w:rPr>
        <w:t>, fimbria (</w:t>
      </w:r>
      <w:r w:rsidR="00A049E8" w:rsidRPr="00753A98">
        <w:rPr>
          <w:b/>
          <w:lang w:val="en-CA"/>
        </w:rPr>
        <w:t>h-j)</w:t>
      </w:r>
      <w:r w:rsidR="00A049E8" w:rsidRPr="00753A98">
        <w:rPr>
          <w:lang w:val="en-CA"/>
        </w:rPr>
        <w:t>, and fornix (</w:t>
      </w:r>
      <w:r w:rsidR="00A049E8" w:rsidRPr="00753A98">
        <w:rPr>
          <w:b/>
          <w:lang w:val="en-CA"/>
        </w:rPr>
        <w:t xml:space="preserve">k-m) </w:t>
      </w:r>
      <w:r w:rsidR="00A049E8" w:rsidRPr="00753A98">
        <w:rPr>
          <w:lang w:val="en-CA"/>
        </w:rPr>
        <w:t>of</w:t>
      </w:r>
      <w:r w:rsidR="00A049E8" w:rsidRPr="00753A98">
        <w:rPr>
          <w:b/>
          <w:lang w:val="en-CA"/>
        </w:rPr>
        <w:t xml:space="preserve"> </w:t>
      </w:r>
      <w:r w:rsidR="00A049E8" w:rsidRPr="00753A98">
        <w:rPr>
          <w:rFonts w:hint="eastAsia"/>
          <w:lang w:val="en-CA"/>
        </w:rPr>
        <w:t>vehicle-</w:t>
      </w:r>
      <w:r w:rsidR="00A049E8" w:rsidRPr="00753A98">
        <w:rPr>
          <w:lang w:val="en-CA"/>
        </w:rPr>
        <w:t xml:space="preserve">treated ACL/G (KI/Cre n=5, KI/WT n=3), ACL KI/Cre (n=1), ACL KI/WT (n=3) </w:t>
      </w:r>
      <w:r w:rsidR="00A049E8" w:rsidRPr="00753A98">
        <w:rPr>
          <w:rFonts w:hint="eastAsia"/>
          <w:lang w:val="en-CA"/>
        </w:rPr>
        <w:t xml:space="preserve">or MB-treated </w:t>
      </w:r>
      <w:r w:rsidR="00A049E8" w:rsidRPr="00753A98">
        <w:rPr>
          <w:lang w:val="en-CA"/>
        </w:rPr>
        <w:t>ACL/G (KI/Cre n=2</w:t>
      </w:r>
      <w:r w:rsidR="00A049E8" w:rsidRPr="00753A98">
        <w:rPr>
          <w:rFonts w:hint="eastAsia"/>
          <w:lang w:val="en-CA"/>
        </w:rPr>
        <w:t>,</w:t>
      </w:r>
      <w:r w:rsidR="00A049E8" w:rsidRPr="00753A98">
        <w:rPr>
          <w:lang w:val="en-CA"/>
        </w:rPr>
        <w:t xml:space="preserve"> KI/WT n=1),</w:t>
      </w:r>
      <w:r w:rsidR="00A049E8" w:rsidRPr="00753A98">
        <w:rPr>
          <w:rFonts w:hint="eastAsia"/>
          <w:lang w:val="en-CA"/>
        </w:rPr>
        <w:t xml:space="preserve"> </w:t>
      </w:r>
      <w:r w:rsidR="00A049E8" w:rsidRPr="00753A98">
        <w:rPr>
          <w:lang w:val="en-CA"/>
        </w:rPr>
        <w:t>ACL KI/Cre (n=5), ACL KI/WT (n=3)</w:t>
      </w:r>
      <w:r w:rsidR="00A049E8" w:rsidRPr="00753A98">
        <w:rPr>
          <w:rFonts w:hint="eastAsia"/>
          <w:lang w:val="en-CA"/>
        </w:rPr>
        <w:t xml:space="preserve"> </w:t>
      </w:r>
      <w:r w:rsidR="00A049E8" w:rsidRPr="00753A98">
        <w:rPr>
          <w:lang w:val="en-CA"/>
        </w:rPr>
        <w:t>mice. Data represents mean and s.e.m. Each symbol represents data from one mouse.</w:t>
      </w:r>
    </w:p>
    <w:p w14:paraId="1EA90433" w14:textId="36B994EC" w:rsidR="002A32D3" w:rsidRPr="00753A98" w:rsidRDefault="002A32D3" w:rsidP="00753A98">
      <w:pPr>
        <w:adjustRightInd w:val="0"/>
        <w:snapToGrid w:val="0"/>
        <w:jc w:val="both"/>
      </w:pPr>
    </w:p>
    <w:p w14:paraId="381AC727" w14:textId="77777777" w:rsidR="002A32D3" w:rsidRPr="00753A98" w:rsidRDefault="002A32D3" w:rsidP="00753A98">
      <w:pPr>
        <w:jc w:val="both"/>
      </w:pPr>
      <w:r w:rsidRPr="00753A98">
        <w:br w:type="page"/>
      </w:r>
    </w:p>
    <w:p w14:paraId="2AA876DE" w14:textId="5154BA2C" w:rsidR="003C36D2" w:rsidRPr="00753A98" w:rsidRDefault="00D405D0" w:rsidP="00753A98">
      <w:pPr>
        <w:adjustRightInd w:val="0"/>
        <w:snapToGrid w:val="0"/>
        <w:jc w:val="both"/>
      </w:pPr>
      <w:r w:rsidRPr="00753A98">
        <w:rPr>
          <w:noProof/>
        </w:rPr>
        <w:lastRenderedPageBreak/>
        <w:drawing>
          <wp:inline distT="0" distB="0" distL="0" distR="0" wp14:anchorId="3AE50115" wp14:editId="7E6745B0">
            <wp:extent cx="5238750" cy="8229600"/>
            <wp:effectExtent l="0" t="0" r="6350" b="0"/>
            <wp:docPr id="3" name="Picture 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 Fig 9_20191004.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8750" cy="8229600"/>
                    </a:xfrm>
                    <a:prstGeom prst="rect">
                      <a:avLst/>
                    </a:prstGeom>
                  </pic:spPr>
                </pic:pic>
              </a:graphicData>
            </a:graphic>
          </wp:inline>
        </w:drawing>
      </w:r>
    </w:p>
    <w:p w14:paraId="0FA347ED" w14:textId="61DBD38D" w:rsidR="00A049E8" w:rsidRPr="00753A98" w:rsidRDefault="00A049E8" w:rsidP="00753A98">
      <w:pPr>
        <w:adjustRightInd w:val="0"/>
        <w:snapToGrid w:val="0"/>
        <w:jc w:val="both"/>
        <w:rPr>
          <w:b/>
          <w:lang w:eastAsia="zh-CN"/>
        </w:rPr>
      </w:pPr>
      <w:bookmarkStart w:id="2" w:name="_GoBack"/>
      <w:bookmarkEnd w:id="2"/>
      <w:r w:rsidRPr="00753A98">
        <w:rPr>
          <w:b/>
          <w:lang w:eastAsia="zh-CN"/>
        </w:rPr>
        <w:lastRenderedPageBreak/>
        <w:t>F</w:t>
      </w:r>
      <w:r w:rsidRPr="00753A98">
        <w:rPr>
          <w:rFonts w:hint="eastAsia"/>
          <w:b/>
          <w:lang w:eastAsia="zh-CN"/>
        </w:rPr>
        <w:t>igure</w:t>
      </w:r>
      <w:r w:rsidRPr="00753A98">
        <w:rPr>
          <w:b/>
          <w:lang w:eastAsia="zh-CN"/>
        </w:rPr>
        <w:t xml:space="preserve"> S</w:t>
      </w:r>
      <w:r w:rsidR="00B632FA">
        <w:rPr>
          <w:b/>
          <w:lang w:eastAsia="zh-CN"/>
        </w:rPr>
        <w:t>9</w:t>
      </w:r>
      <w:r w:rsidRPr="00753A98">
        <w:rPr>
          <w:b/>
          <w:lang w:eastAsia="zh-CN"/>
        </w:rPr>
        <w:t xml:space="preserve">. </w:t>
      </w:r>
      <w:r w:rsidR="00B632FA">
        <w:rPr>
          <w:b/>
          <w:lang w:eastAsia="zh-CN"/>
        </w:rPr>
        <w:t>A</w:t>
      </w:r>
      <w:r w:rsidRPr="00753A98">
        <w:rPr>
          <w:b/>
          <w:lang w:eastAsia="zh-CN"/>
        </w:rPr>
        <w:t xml:space="preserve">stroglial activation in </w:t>
      </w:r>
      <w:r w:rsidR="00B632FA">
        <w:rPr>
          <w:b/>
          <w:lang w:eastAsia="zh-CN"/>
        </w:rPr>
        <w:t>Casp6-expressing brains</w:t>
      </w:r>
      <w:r w:rsidRPr="00753A98">
        <w:rPr>
          <w:b/>
          <w:lang w:eastAsia="zh-CN"/>
        </w:rPr>
        <w:t xml:space="preserve">. </w:t>
      </w:r>
    </w:p>
    <w:p w14:paraId="060B0008" w14:textId="658AB78F" w:rsidR="00A049E8" w:rsidRPr="00753A98" w:rsidRDefault="00A049E8" w:rsidP="00753A98">
      <w:pPr>
        <w:adjustRightInd w:val="0"/>
        <w:snapToGrid w:val="0"/>
        <w:jc w:val="both"/>
        <w:rPr>
          <w:lang w:val="en-CA"/>
        </w:rPr>
      </w:pPr>
      <w:r w:rsidRPr="00753A98">
        <w:t xml:space="preserve"> (</w:t>
      </w:r>
      <w:r w:rsidRPr="00753A98">
        <w:rPr>
          <w:b/>
        </w:rPr>
        <w:t>a)</w:t>
      </w:r>
      <w:r w:rsidRPr="00753A98">
        <w:t xml:space="preserve"> Western blot of GFAP expression in vehicle- or MB-treated ACL/G KI/Cre, ACL KI/WT, WT/Cre and WT/WT hippocampus. (</w:t>
      </w:r>
      <w:r w:rsidRPr="00753A98">
        <w:rPr>
          <w:b/>
        </w:rPr>
        <w:t>b)</w:t>
      </w:r>
      <w:r w:rsidRPr="00753A98">
        <w:t xml:space="preserve"> Quantification of GFAP over β-Actin</w:t>
      </w:r>
      <w:r w:rsidR="00B632FA">
        <w:t>.</w:t>
      </w:r>
      <w:r w:rsidRPr="00753A98">
        <w:t xml:space="preserve"> Data shown as mean and s.e.m. No statistical difference was shown by one-way ANOVA. (</w:t>
      </w:r>
      <w:r w:rsidRPr="00753A98">
        <w:rPr>
          <w:b/>
        </w:rPr>
        <w:t xml:space="preserve">c-j) </w:t>
      </w:r>
      <w:r w:rsidRPr="00753A98">
        <w:t>Representative micrographs, bar = 50 µm</w:t>
      </w:r>
      <w:r w:rsidRPr="00753A98">
        <w:rPr>
          <w:b/>
        </w:rPr>
        <w:t xml:space="preserve"> (c,e,g,i</w:t>
      </w:r>
      <w:r w:rsidRPr="00753A98">
        <w:t>) and quantitation (</w:t>
      </w:r>
      <w:r w:rsidRPr="00753A98">
        <w:rPr>
          <w:b/>
        </w:rPr>
        <w:t xml:space="preserve">d,f,h,j) </w:t>
      </w:r>
      <w:r w:rsidRPr="00753A98">
        <w:t>of GFAP-immunopositive astrocytes (µm</w:t>
      </w:r>
      <w:r w:rsidRPr="00753A98">
        <w:rPr>
          <w:vertAlign w:val="superscript"/>
        </w:rPr>
        <w:t>2</w:t>
      </w:r>
      <w:r w:rsidRPr="00753A98">
        <w:t xml:space="preserve"> immunopositive GFAP/100µm</w:t>
      </w:r>
      <w:r w:rsidRPr="00753A98">
        <w:rPr>
          <w:vertAlign w:val="superscript"/>
        </w:rPr>
        <w:t>2</w:t>
      </w:r>
      <w:r w:rsidRPr="00753A98">
        <w:t xml:space="preserve"> area) </w:t>
      </w:r>
      <w:r w:rsidRPr="00753A98">
        <w:rPr>
          <w:lang w:val="en-CA"/>
        </w:rPr>
        <w:t>in hippocampus CA1 (</w:t>
      </w:r>
      <w:r w:rsidRPr="00753A98">
        <w:rPr>
          <w:b/>
          <w:lang w:val="en-CA"/>
        </w:rPr>
        <w:t>c&amp;d)</w:t>
      </w:r>
      <w:r w:rsidRPr="00753A98">
        <w:rPr>
          <w:lang w:val="en-CA"/>
        </w:rPr>
        <w:t>, corpus callosum (</w:t>
      </w:r>
      <w:r w:rsidRPr="00753A98">
        <w:rPr>
          <w:b/>
          <w:lang w:val="en-CA"/>
        </w:rPr>
        <w:t>e&amp;f)</w:t>
      </w:r>
      <w:r w:rsidRPr="00753A98">
        <w:rPr>
          <w:lang w:val="en-CA"/>
        </w:rPr>
        <w:t>, fimbria (</w:t>
      </w:r>
      <w:r w:rsidRPr="00753A98">
        <w:rPr>
          <w:b/>
          <w:lang w:val="en-CA"/>
        </w:rPr>
        <w:t>g&amp;h)</w:t>
      </w:r>
      <w:r w:rsidRPr="00753A98">
        <w:rPr>
          <w:lang w:val="en-CA"/>
        </w:rPr>
        <w:t>, and the columns of the fornix (</w:t>
      </w:r>
      <w:r w:rsidRPr="00753A98">
        <w:rPr>
          <w:b/>
          <w:lang w:val="en-CA"/>
        </w:rPr>
        <w:t xml:space="preserve">i&amp;j) </w:t>
      </w:r>
      <w:r w:rsidRPr="00753A98">
        <w:rPr>
          <w:lang w:val="en-CA"/>
        </w:rPr>
        <w:t>of</w:t>
      </w:r>
      <w:r w:rsidRPr="00753A98">
        <w:rPr>
          <w:b/>
          <w:lang w:val="en-CA"/>
        </w:rPr>
        <w:t xml:space="preserve"> </w:t>
      </w:r>
      <w:r w:rsidRPr="00753A98">
        <w:rPr>
          <w:rFonts w:hint="eastAsia"/>
          <w:lang w:val="en-CA"/>
        </w:rPr>
        <w:t>vehicle-</w:t>
      </w:r>
      <w:r w:rsidRPr="00753A98">
        <w:rPr>
          <w:lang w:val="en-CA"/>
        </w:rPr>
        <w:t xml:space="preserve">treated ACL/G (KI/Cre n=5, KI/WT n=3), ACL KI/Cre (n=1), ACL KI/WT (n=3) </w:t>
      </w:r>
      <w:r w:rsidRPr="00753A98">
        <w:rPr>
          <w:rFonts w:hint="eastAsia"/>
          <w:lang w:val="en-CA"/>
        </w:rPr>
        <w:t xml:space="preserve">or MB-treated </w:t>
      </w:r>
      <w:r w:rsidRPr="00753A98">
        <w:rPr>
          <w:lang w:val="en-CA"/>
        </w:rPr>
        <w:t>ACL/G (KI/Cre n=2</w:t>
      </w:r>
      <w:r w:rsidRPr="00753A98">
        <w:rPr>
          <w:rFonts w:hint="eastAsia"/>
          <w:lang w:val="en-CA"/>
        </w:rPr>
        <w:t>,</w:t>
      </w:r>
      <w:r w:rsidRPr="00753A98">
        <w:rPr>
          <w:lang w:val="en-CA"/>
        </w:rPr>
        <w:t xml:space="preserve"> KI/WT n=1)</w:t>
      </w:r>
      <w:r w:rsidRPr="00753A98">
        <w:rPr>
          <w:rFonts w:hint="eastAsia"/>
          <w:lang w:val="en-CA"/>
        </w:rPr>
        <w:t xml:space="preserve">, </w:t>
      </w:r>
      <w:r w:rsidRPr="00753A98">
        <w:rPr>
          <w:lang w:val="en-CA"/>
        </w:rPr>
        <w:t>ACL KI/Cre (n=5), ACL KI/WT (n=3) mice. Data represents mean and s.e.m.</w:t>
      </w:r>
      <w:r w:rsidRPr="00753A98">
        <w:rPr>
          <w:rFonts w:hint="eastAsia"/>
          <w:lang w:val="en-CA"/>
        </w:rPr>
        <w:t xml:space="preserve"> </w:t>
      </w:r>
    </w:p>
    <w:p w14:paraId="3A76FE5B" w14:textId="77777777" w:rsidR="00A049E8" w:rsidRPr="001318A1" w:rsidRDefault="00A049E8" w:rsidP="00753A98">
      <w:pPr>
        <w:adjustRightInd w:val="0"/>
        <w:snapToGrid w:val="0"/>
        <w:jc w:val="both"/>
        <w:rPr>
          <w:lang w:val="fr-CA"/>
        </w:rPr>
      </w:pPr>
    </w:p>
    <w:p w14:paraId="462B007B" w14:textId="1008BA0F" w:rsidR="00D405D0" w:rsidRPr="00753A98" w:rsidRDefault="00D405D0" w:rsidP="00753A98">
      <w:pPr>
        <w:adjustRightInd w:val="0"/>
        <w:snapToGrid w:val="0"/>
        <w:jc w:val="both"/>
      </w:pPr>
    </w:p>
    <w:p w14:paraId="0E04EFB2" w14:textId="77777777" w:rsidR="00D405D0" w:rsidRPr="00753A98" w:rsidRDefault="00D405D0" w:rsidP="00753A98">
      <w:pPr>
        <w:adjustRightInd w:val="0"/>
        <w:snapToGrid w:val="0"/>
        <w:jc w:val="both"/>
      </w:pPr>
    </w:p>
    <w:p w14:paraId="72EAC70A" w14:textId="216D79A7" w:rsidR="003C36D2" w:rsidRPr="003C36D2" w:rsidRDefault="003C36D2" w:rsidP="00753A98">
      <w:pPr>
        <w:jc w:val="both"/>
        <w:rPr>
          <w:b/>
        </w:rPr>
      </w:pPr>
    </w:p>
    <w:sectPr w:rsidR="003C36D2" w:rsidRPr="003C36D2" w:rsidSect="000F0C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Kaiti SC Regular">
    <w:altName w:val="Microsoft YaHei"/>
    <w:charset w:val="86"/>
    <w:family w:val="auto"/>
    <w:pitch w:val="variable"/>
    <w:sig w:usb0="80000287" w:usb1="280F3C52" w:usb2="00000016" w:usb3="00000000" w:csb0="0004001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5"/>
  </w:docVars>
  <w:rsids>
    <w:rsidRoot w:val="0098037D"/>
    <w:rsid w:val="00015741"/>
    <w:rsid w:val="00032493"/>
    <w:rsid w:val="00047069"/>
    <w:rsid w:val="00084FEC"/>
    <w:rsid w:val="0008526A"/>
    <w:rsid w:val="000A6A24"/>
    <w:rsid w:val="000B64D9"/>
    <w:rsid w:val="000C0D48"/>
    <w:rsid w:val="000E0B2F"/>
    <w:rsid w:val="000F0C08"/>
    <w:rsid w:val="00100F22"/>
    <w:rsid w:val="00105EA4"/>
    <w:rsid w:val="001115FD"/>
    <w:rsid w:val="001318A1"/>
    <w:rsid w:val="00166D28"/>
    <w:rsid w:val="00194080"/>
    <w:rsid w:val="001C0CA2"/>
    <w:rsid w:val="001C2F83"/>
    <w:rsid w:val="001E0FBD"/>
    <w:rsid w:val="00222C1C"/>
    <w:rsid w:val="002319F9"/>
    <w:rsid w:val="00242939"/>
    <w:rsid w:val="00245382"/>
    <w:rsid w:val="0025680B"/>
    <w:rsid w:val="002722F2"/>
    <w:rsid w:val="002735E1"/>
    <w:rsid w:val="00285BE7"/>
    <w:rsid w:val="002A32D3"/>
    <w:rsid w:val="002E2AC0"/>
    <w:rsid w:val="002F3C0A"/>
    <w:rsid w:val="0030129A"/>
    <w:rsid w:val="00320E0F"/>
    <w:rsid w:val="00327C32"/>
    <w:rsid w:val="00332A9C"/>
    <w:rsid w:val="003376BA"/>
    <w:rsid w:val="003401C1"/>
    <w:rsid w:val="003446A3"/>
    <w:rsid w:val="0035458A"/>
    <w:rsid w:val="00361742"/>
    <w:rsid w:val="00393DF1"/>
    <w:rsid w:val="003A0392"/>
    <w:rsid w:val="003B16B5"/>
    <w:rsid w:val="003C36D2"/>
    <w:rsid w:val="003D0EFC"/>
    <w:rsid w:val="003D4B3F"/>
    <w:rsid w:val="003D78EE"/>
    <w:rsid w:val="003F7352"/>
    <w:rsid w:val="0041255C"/>
    <w:rsid w:val="00445E0A"/>
    <w:rsid w:val="0045423C"/>
    <w:rsid w:val="004601A2"/>
    <w:rsid w:val="004703FF"/>
    <w:rsid w:val="00483FC7"/>
    <w:rsid w:val="0048696D"/>
    <w:rsid w:val="0049182B"/>
    <w:rsid w:val="004A44F8"/>
    <w:rsid w:val="004A6732"/>
    <w:rsid w:val="004D4A8A"/>
    <w:rsid w:val="005112EA"/>
    <w:rsid w:val="00535662"/>
    <w:rsid w:val="0054132C"/>
    <w:rsid w:val="00575CD9"/>
    <w:rsid w:val="00585DEA"/>
    <w:rsid w:val="00590EB2"/>
    <w:rsid w:val="00593C1C"/>
    <w:rsid w:val="005A7A29"/>
    <w:rsid w:val="005B6DE5"/>
    <w:rsid w:val="005F16AF"/>
    <w:rsid w:val="005F2F02"/>
    <w:rsid w:val="005F6696"/>
    <w:rsid w:val="00605588"/>
    <w:rsid w:val="00606428"/>
    <w:rsid w:val="00627080"/>
    <w:rsid w:val="00635850"/>
    <w:rsid w:val="00641DBD"/>
    <w:rsid w:val="006637F4"/>
    <w:rsid w:val="00664129"/>
    <w:rsid w:val="00666197"/>
    <w:rsid w:val="00686E44"/>
    <w:rsid w:val="006C4864"/>
    <w:rsid w:val="006C5ED6"/>
    <w:rsid w:val="006E0423"/>
    <w:rsid w:val="006E49C8"/>
    <w:rsid w:val="006E4C6C"/>
    <w:rsid w:val="00714539"/>
    <w:rsid w:val="00736B38"/>
    <w:rsid w:val="00740FA9"/>
    <w:rsid w:val="00753A98"/>
    <w:rsid w:val="007A38D6"/>
    <w:rsid w:val="007C1628"/>
    <w:rsid w:val="007D02C4"/>
    <w:rsid w:val="007F234B"/>
    <w:rsid w:val="007F6A25"/>
    <w:rsid w:val="007F6B29"/>
    <w:rsid w:val="008074F5"/>
    <w:rsid w:val="00813D2C"/>
    <w:rsid w:val="0082409C"/>
    <w:rsid w:val="00832455"/>
    <w:rsid w:val="008368DC"/>
    <w:rsid w:val="0087749A"/>
    <w:rsid w:val="008C70A0"/>
    <w:rsid w:val="008E42C2"/>
    <w:rsid w:val="008E4D32"/>
    <w:rsid w:val="009077BD"/>
    <w:rsid w:val="0095050C"/>
    <w:rsid w:val="00956988"/>
    <w:rsid w:val="00962306"/>
    <w:rsid w:val="00976A29"/>
    <w:rsid w:val="00977A25"/>
    <w:rsid w:val="0098037D"/>
    <w:rsid w:val="009A08F0"/>
    <w:rsid w:val="009E6D91"/>
    <w:rsid w:val="00A049E8"/>
    <w:rsid w:val="00A25182"/>
    <w:rsid w:val="00A465E9"/>
    <w:rsid w:val="00A5343A"/>
    <w:rsid w:val="00A56042"/>
    <w:rsid w:val="00A61B6A"/>
    <w:rsid w:val="00A62983"/>
    <w:rsid w:val="00A73224"/>
    <w:rsid w:val="00AA1234"/>
    <w:rsid w:val="00AD7620"/>
    <w:rsid w:val="00AD76EE"/>
    <w:rsid w:val="00B01B11"/>
    <w:rsid w:val="00B01B8E"/>
    <w:rsid w:val="00B105C8"/>
    <w:rsid w:val="00B11D57"/>
    <w:rsid w:val="00B174FD"/>
    <w:rsid w:val="00B41EF4"/>
    <w:rsid w:val="00B47CE1"/>
    <w:rsid w:val="00B55652"/>
    <w:rsid w:val="00B632FA"/>
    <w:rsid w:val="00B76786"/>
    <w:rsid w:val="00B91A6C"/>
    <w:rsid w:val="00BA2894"/>
    <w:rsid w:val="00BC0D92"/>
    <w:rsid w:val="00BD0E0D"/>
    <w:rsid w:val="00C2565A"/>
    <w:rsid w:val="00C25A12"/>
    <w:rsid w:val="00C27FC0"/>
    <w:rsid w:val="00C417D0"/>
    <w:rsid w:val="00C56525"/>
    <w:rsid w:val="00C57B1A"/>
    <w:rsid w:val="00C80B63"/>
    <w:rsid w:val="00C81EC4"/>
    <w:rsid w:val="00C96339"/>
    <w:rsid w:val="00CA5A14"/>
    <w:rsid w:val="00CC2097"/>
    <w:rsid w:val="00CC7B45"/>
    <w:rsid w:val="00D06818"/>
    <w:rsid w:val="00D12411"/>
    <w:rsid w:val="00D141B2"/>
    <w:rsid w:val="00D22D52"/>
    <w:rsid w:val="00D23206"/>
    <w:rsid w:val="00D255C3"/>
    <w:rsid w:val="00D327F9"/>
    <w:rsid w:val="00D33D45"/>
    <w:rsid w:val="00D405D0"/>
    <w:rsid w:val="00D45393"/>
    <w:rsid w:val="00D517DE"/>
    <w:rsid w:val="00D66213"/>
    <w:rsid w:val="00D66B5F"/>
    <w:rsid w:val="00D94D2C"/>
    <w:rsid w:val="00DB1091"/>
    <w:rsid w:val="00DB4F2A"/>
    <w:rsid w:val="00DC183B"/>
    <w:rsid w:val="00DF374B"/>
    <w:rsid w:val="00E02039"/>
    <w:rsid w:val="00E163C5"/>
    <w:rsid w:val="00E171C0"/>
    <w:rsid w:val="00E353B0"/>
    <w:rsid w:val="00E37CD3"/>
    <w:rsid w:val="00E50496"/>
    <w:rsid w:val="00E528E9"/>
    <w:rsid w:val="00E60557"/>
    <w:rsid w:val="00E83123"/>
    <w:rsid w:val="00EA745D"/>
    <w:rsid w:val="00EB68F8"/>
    <w:rsid w:val="00ED2DC6"/>
    <w:rsid w:val="00ED754B"/>
    <w:rsid w:val="00EE0C66"/>
    <w:rsid w:val="00EE40C7"/>
    <w:rsid w:val="00EE62BC"/>
    <w:rsid w:val="00F07E2A"/>
    <w:rsid w:val="00F331C8"/>
    <w:rsid w:val="00F50457"/>
    <w:rsid w:val="00F749FA"/>
    <w:rsid w:val="00F853E7"/>
    <w:rsid w:val="00F90B8B"/>
    <w:rsid w:val="00FB28CE"/>
    <w:rsid w:val="00FC219C"/>
    <w:rsid w:val="00FD2B04"/>
    <w:rsid w:val="00FD32BB"/>
    <w:rsid w:val="00FD4435"/>
    <w:rsid w:val="00FD50A6"/>
    <w:rsid w:val="00FE189A"/>
    <w:rsid w:val="00FE7A39"/>
    <w:rsid w:val="00FF6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37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4C6C"/>
    <w:pPr>
      <w:spacing w:before="100" w:beforeAutospacing="1" w:after="100" w:afterAutospacing="1"/>
    </w:pPr>
    <w:rPr>
      <w:rFonts w:eastAsia="Times New Roman"/>
      <w:lang w:val="en-CA"/>
    </w:rPr>
  </w:style>
  <w:style w:type="paragraph" w:styleId="BalloonText">
    <w:name w:val="Balloon Text"/>
    <w:basedOn w:val="Normal"/>
    <w:link w:val="BalloonTextChar"/>
    <w:uiPriority w:val="99"/>
    <w:semiHidden/>
    <w:unhideWhenUsed/>
    <w:rsid w:val="0045423C"/>
    <w:rPr>
      <w:sz w:val="18"/>
      <w:szCs w:val="18"/>
    </w:rPr>
  </w:style>
  <w:style w:type="character" w:customStyle="1" w:styleId="BalloonTextChar">
    <w:name w:val="Balloon Text Char"/>
    <w:basedOn w:val="DefaultParagraphFont"/>
    <w:link w:val="BalloonText"/>
    <w:uiPriority w:val="99"/>
    <w:semiHidden/>
    <w:rsid w:val="0045423C"/>
    <w:rPr>
      <w:rFonts w:eastAsiaTheme="minorEastAsia"/>
      <w:sz w:val="18"/>
      <w:szCs w:val="18"/>
    </w:rPr>
  </w:style>
  <w:style w:type="character" w:styleId="Hyperlink">
    <w:name w:val="Hyperlink"/>
    <w:basedOn w:val="DefaultParagraphFont"/>
    <w:uiPriority w:val="99"/>
    <w:unhideWhenUsed/>
    <w:rsid w:val="00393DF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37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4C6C"/>
    <w:pPr>
      <w:spacing w:before="100" w:beforeAutospacing="1" w:after="100" w:afterAutospacing="1"/>
    </w:pPr>
    <w:rPr>
      <w:rFonts w:eastAsia="Times New Roman"/>
      <w:lang w:val="en-CA"/>
    </w:rPr>
  </w:style>
  <w:style w:type="paragraph" w:styleId="BalloonText">
    <w:name w:val="Balloon Text"/>
    <w:basedOn w:val="Normal"/>
    <w:link w:val="BalloonTextChar"/>
    <w:uiPriority w:val="99"/>
    <w:semiHidden/>
    <w:unhideWhenUsed/>
    <w:rsid w:val="0045423C"/>
    <w:rPr>
      <w:sz w:val="18"/>
      <w:szCs w:val="18"/>
    </w:rPr>
  </w:style>
  <w:style w:type="character" w:customStyle="1" w:styleId="BalloonTextChar">
    <w:name w:val="Balloon Text Char"/>
    <w:basedOn w:val="DefaultParagraphFont"/>
    <w:link w:val="BalloonText"/>
    <w:uiPriority w:val="99"/>
    <w:semiHidden/>
    <w:rsid w:val="0045423C"/>
    <w:rPr>
      <w:rFonts w:eastAsiaTheme="minorEastAsia"/>
      <w:sz w:val="18"/>
      <w:szCs w:val="18"/>
    </w:rPr>
  </w:style>
  <w:style w:type="character" w:styleId="Hyperlink">
    <w:name w:val="Hyperlink"/>
    <w:basedOn w:val="DefaultParagraphFont"/>
    <w:uiPriority w:val="99"/>
    <w:unhideWhenUsed/>
    <w:rsid w:val="00393D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ndrea.leblanc@mcgill.ca" TargetMode="External"/><Relationship Id="rId11" Type="http://schemas.openxmlformats.org/officeDocument/2006/relationships/image" Target="media/image5.tiff"/><Relationship Id="rId5" Type="http://schemas.openxmlformats.org/officeDocument/2006/relationships/hyperlink" Target="mailto:andrea.leblanc@mcgill.ca" TargetMode="Externa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12</Pages>
  <Words>1195</Words>
  <Characters>6958</Characters>
  <Application>Microsoft Office Word</Application>
  <DocSecurity>0</DocSecurity>
  <Lines>136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LeBlanc, Ph.D.</dc:creator>
  <cp:keywords/>
  <dc:description/>
  <cp:lastModifiedBy>MLAPINIG</cp:lastModifiedBy>
  <cp:revision>26</cp:revision>
  <cp:lastPrinted>2019-11-06T17:57:00Z</cp:lastPrinted>
  <dcterms:created xsi:type="dcterms:W3CDTF">2019-10-04T12:11:00Z</dcterms:created>
  <dcterms:modified xsi:type="dcterms:W3CDTF">2019-11-28T05:56:00Z</dcterms:modified>
</cp:coreProperties>
</file>