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1F5" w:rsidRDefault="005A71F5" w:rsidP="005A71F5">
      <w:pPr>
        <w:spacing w:line="480" w:lineRule="auto"/>
      </w:pPr>
      <w:r>
        <w:rPr>
          <w:b/>
          <w:noProof/>
        </w:rPr>
        <w:drawing>
          <wp:inline distT="0" distB="0" distL="0" distR="0" wp14:anchorId="2CCCBB33" wp14:editId="45365E88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3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Figure S3</w:t>
      </w:r>
      <w:r>
        <w:t xml:space="preserve"> </w:t>
      </w:r>
      <w:r>
        <w:rPr>
          <w:b/>
        </w:rPr>
        <w:t xml:space="preserve">– Absence of Low-molecular Weight </w:t>
      </w:r>
      <w:proofErr w:type="spellStart"/>
      <w:r>
        <w:rPr>
          <w:b/>
        </w:rPr>
        <w:t>GCase</w:t>
      </w:r>
      <w:proofErr w:type="spellEnd"/>
      <w:r>
        <w:rPr>
          <w:b/>
        </w:rPr>
        <w:t xml:space="preserve"> and Lack of </w:t>
      </w:r>
      <w:proofErr w:type="spellStart"/>
      <w:r>
        <w:rPr>
          <w:b/>
        </w:rPr>
        <w:t>GCase</w:t>
      </w:r>
      <w:proofErr w:type="spellEnd"/>
      <w:r>
        <w:rPr>
          <w:b/>
        </w:rPr>
        <w:t xml:space="preserve"> Deficits in a </w:t>
      </w:r>
      <w:r>
        <w:rPr>
          <w:b/>
          <w:i/>
        </w:rPr>
        <w:t>GRN</w:t>
      </w:r>
      <w:r>
        <w:rPr>
          <w:b/>
        </w:rPr>
        <w:t xml:space="preserve"> Carrier with </w:t>
      </w:r>
      <w:proofErr w:type="spellStart"/>
      <w:r>
        <w:rPr>
          <w:b/>
        </w:rPr>
        <w:t>Lewy</w:t>
      </w:r>
      <w:proofErr w:type="spellEnd"/>
      <w:r>
        <w:rPr>
          <w:b/>
        </w:rPr>
        <w:t xml:space="preserve"> Body Disease.</w:t>
      </w:r>
    </w:p>
    <w:p w:rsidR="005A71F5" w:rsidRPr="00B63725" w:rsidRDefault="005A71F5" w:rsidP="005A71F5">
      <w:pPr>
        <w:spacing w:line="480" w:lineRule="auto"/>
      </w:pPr>
      <w:r>
        <w:t xml:space="preserve">A </w:t>
      </w:r>
      <w:r>
        <w:rPr>
          <w:i/>
        </w:rPr>
        <w:t>GRN</w:t>
      </w:r>
      <w:r>
        <w:t xml:space="preserve"> patient with an atypical syndrome resembling DLB (case 7, Table 1) and diffuse neocortical </w:t>
      </w:r>
      <w:proofErr w:type="spellStart"/>
      <w:r>
        <w:t>Lewy</w:t>
      </w:r>
      <w:proofErr w:type="spellEnd"/>
      <w:r>
        <w:t xml:space="preserve"> body disease pathology (marked LBD) was the only </w:t>
      </w:r>
      <w:r>
        <w:rPr>
          <w:i/>
        </w:rPr>
        <w:t xml:space="preserve">GRN </w:t>
      </w:r>
      <w:r>
        <w:t xml:space="preserve">patient that failed to accumulate low-molecular weight </w:t>
      </w:r>
      <w:proofErr w:type="spellStart"/>
      <w:r>
        <w:t>GCase</w:t>
      </w:r>
      <w:proofErr w:type="spellEnd"/>
      <w:r>
        <w:t>, as shown in representative blots of from brain lysates (</w:t>
      </w:r>
      <w:r>
        <w:rPr>
          <w:b/>
          <w:bCs/>
        </w:rPr>
        <w:t>a</w:t>
      </w:r>
      <w:r>
        <w:t xml:space="preserve">) or in blots of </w:t>
      </w:r>
      <w:proofErr w:type="spellStart"/>
      <w:r>
        <w:t>sarkosyl</w:t>
      </w:r>
      <w:proofErr w:type="spellEnd"/>
      <w:r>
        <w:t xml:space="preserve"> insoluble </w:t>
      </w:r>
      <w:proofErr w:type="spellStart"/>
      <w:r>
        <w:t>GCase</w:t>
      </w:r>
      <w:proofErr w:type="spellEnd"/>
      <w:r>
        <w:t xml:space="preserve"> (</w:t>
      </w:r>
      <w:r>
        <w:rPr>
          <w:b/>
          <w:bCs/>
        </w:rPr>
        <w:t>b</w:t>
      </w:r>
      <w:r>
        <w:t xml:space="preserve">). </w:t>
      </w:r>
      <w:r>
        <w:rPr>
          <w:b/>
        </w:rPr>
        <w:t>c</w:t>
      </w:r>
      <w:r w:rsidRPr="00B7489A">
        <w:rPr>
          <w:bCs/>
        </w:rPr>
        <w:t>–</w:t>
      </w:r>
      <w:r>
        <w:rPr>
          <w:b/>
        </w:rPr>
        <w:t>e</w:t>
      </w:r>
      <w:r>
        <w:t xml:space="preserve">, </w:t>
      </w:r>
      <w:proofErr w:type="gramStart"/>
      <w:r w:rsidRPr="00365974">
        <w:t>This</w:t>
      </w:r>
      <w:proofErr w:type="gramEnd"/>
      <w:r>
        <w:t xml:space="preserve"> patient was in the normal range of both </w:t>
      </w:r>
      <w:proofErr w:type="spellStart"/>
      <w:r>
        <w:t>GCase</w:t>
      </w:r>
      <w:proofErr w:type="spellEnd"/>
      <w:r>
        <w:t xml:space="preserve"> activity and protein levels. (Case 7 is highlighted in red in </w:t>
      </w:r>
      <w:r>
        <w:rPr>
          <w:b/>
        </w:rPr>
        <w:t xml:space="preserve">c, </w:t>
      </w:r>
      <w:r w:rsidRPr="00811087">
        <w:t>data from</w:t>
      </w:r>
      <w:r>
        <w:rPr>
          <w:b/>
        </w:rPr>
        <w:t xml:space="preserve"> </w:t>
      </w:r>
      <w:r>
        <w:t xml:space="preserve">Fig. 1f, </w:t>
      </w:r>
      <w:r>
        <w:rPr>
          <w:b/>
        </w:rPr>
        <w:t>d,</w:t>
      </w:r>
      <w:r>
        <w:t xml:space="preserve"> </w:t>
      </w:r>
      <w:r w:rsidRPr="006017C5">
        <w:t>data from</w:t>
      </w:r>
      <w:r>
        <w:rPr>
          <w:b/>
        </w:rPr>
        <w:t xml:space="preserve"> </w:t>
      </w:r>
      <w:r>
        <w:t xml:space="preserve">Fig. 2b, and </w:t>
      </w:r>
      <w:r>
        <w:rPr>
          <w:b/>
        </w:rPr>
        <w:t>e,</w:t>
      </w:r>
      <w:r>
        <w:t xml:space="preserve"> </w:t>
      </w:r>
      <w:r w:rsidRPr="006017C5">
        <w:t>data from</w:t>
      </w:r>
      <w:r>
        <w:rPr>
          <w:b/>
        </w:rPr>
        <w:t xml:space="preserve"> </w:t>
      </w:r>
      <w:r>
        <w:t xml:space="preserve">Fig. 2c). </w:t>
      </w:r>
      <w:r w:rsidRPr="00B7489A">
        <w:rPr>
          <w:b/>
          <w:bCs/>
        </w:rPr>
        <w:t>f</w:t>
      </w:r>
      <w:r>
        <w:t xml:space="preserve">, </w:t>
      </w:r>
      <w:proofErr w:type="gramStart"/>
      <w:r w:rsidRPr="00B7489A">
        <w:t>This</w:t>
      </w:r>
      <w:proofErr w:type="gramEnd"/>
      <w:r>
        <w:t xml:space="preserve"> patient had the mildest FTLD-TDP pathology of the cases studied.</w:t>
      </w:r>
      <w:r>
        <w:rPr>
          <w:i/>
        </w:rPr>
        <w:t xml:space="preserve"> </w:t>
      </w:r>
      <w:r>
        <w:t xml:space="preserve">In </w:t>
      </w:r>
      <w:r>
        <w:rPr>
          <w:b/>
        </w:rPr>
        <w:t>a</w:t>
      </w:r>
      <w:r>
        <w:t xml:space="preserve">, normal-molecular weight </w:t>
      </w:r>
      <w:proofErr w:type="spellStart"/>
      <w:r>
        <w:t>GCase</w:t>
      </w:r>
      <w:proofErr w:type="spellEnd"/>
      <w:r>
        <w:t xml:space="preserve"> is indicated by the black arrow and bar, and low-molecular weight </w:t>
      </w:r>
      <w:proofErr w:type="spellStart"/>
      <w:r>
        <w:t>GCase</w:t>
      </w:r>
      <w:proofErr w:type="spellEnd"/>
      <w:r>
        <w:t xml:space="preserve"> is indicated by the red arrow. Ctrl = control, </w:t>
      </w:r>
      <w:r>
        <w:rPr>
          <w:i/>
        </w:rPr>
        <w:t>GRN</w:t>
      </w:r>
      <w:r>
        <w:t xml:space="preserve"> = FTD-</w:t>
      </w:r>
      <w:r>
        <w:rPr>
          <w:i/>
        </w:rPr>
        <w:t>GRN</w:t>
      </w:r>
      <w:bookmarkStart w:id="0" w:name="_GoBack"/>
      <w:bookmarkEnd w:id="0"/>
      <w:r>
        <w:t xml:space="preserve">, LBD = </w:t>
      </w:r>
      <w:proofErr w:type="spellStart"/>
      <w:r>
        <w:t>Lewy</w:t>
      </w:r>
      <w:proofErr w:type="spellEnd"/>
      <w:r>
        <w:t xml:space="preserve"> body disease, FTLD = frontotemporal lobar degeneration.</w:t>
      </w:r>
    </w:p>
    <w:p w:rsidR="00425A6D" w:rsidRDefault="00425A6D"/>
    <w:sectPr w:rsidR="00425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35"/>
    <w:rsid w:val="00425A6D"/>
    <w:rsid w:val="005A71F5"/>
    <w:rsid w:val="006A1D35"/>
    <w:rsid w:val="00964161"/>
    <w:rsid w:val="00EA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3F843"/>
  <w15:chartTrackingRefBased/>
  <w15:docId w15:val="{3FA91ABF-B02B-47A1-AB6A-CD657513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D35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Arrant, Andrew E (Campus)</dc:creator>
  <cp:keywords/>
  <dc:description/>
  <cp:lastModifiedBy>Arrant, Andrew E (Campus)</cp:lastModifiedBy>
  <cp:revision>3</cp:revision>
  <dcterms:created xsi:type="dcterms:W3CDTF">2019-12-12T13:14:00Z</dcterms:created>
  <dcterms:modified xsi:type="dcterms:W3CDTF">2019-12-12T13:14:00Z</dcterms:modified>
</cp:coreProperties>
</file>