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6AA91" w14:textId="77777777" w:rsidR="00BA18BB" w:rsidRPr="00BA18BB" w:rsidRDefault="00BA18BB" w:rsidP="00B71279">
      <w:pPr>
        <w:spacing w:line="240" w:lineRule="auto"/>
        <w:rPr>
          <w:b/>
          <w:bCs/>
          <w:lang w:val="en-GB"/>
        </w:rPr>
      </w:pPr>
      <w:bookmarkStart w:id="0" w:name="_Hlk29297761"/>
      <w:r w:rsidRPr="00BA18BB">
        <w:rPr>
          <w:b/>
          <w:bCs/>
          <w:lang w:val="en-GB"/>
        </w:rPr>
        <w:t xml:space="preserve">Epigenetic modulation of </w:t>
      </w:r>
      <w:r w:rsidRPr="00BA18BB">
        <w:rPr>
          <w:b/>
          <w:bCs/>
          <w:i/>
          <w:lang w:val="en-GB"/>
        </w:rPr>
        <w:t>AREL1</w:t>
      </w:r>
      <w:r w:rsidRPr="00BA18BB">
        <w:rPr>
          <w:b/>
          <w:bCs/>
          <w:lang w:val="en-GB"/>
        </w:rPr>
        <w:t xml:space="preserve"> and increased </w:t>
      </w:r>
      <w:r w:rsidRPr="00BA18BB">
        <w:rPr>
          <w:b/>
          <w:bCs/>
          <w:i/>
          <w:lang w:val="en-GB"/>
        </w:rPr>
        <w:t xml:space="preserve">HLA </w:t>
      </w:r>
      <w:r w:rsidRPr="00BA18BB">
        <w:rPr>
          <w:b/>
          <w:bCs/>
          <w:lang w:val="en-GB"/>
        </w:rPr>
        <w:t>expression in brains of Multiple system atrophy patients</w:t>
      </w:r>
    </w:p>
    <w:bookmarkEnd w:id="0"/>
    <w:p w14:paraId="7CAA2A01" w14:textId="77777777" w:rsidR="00BA18BB" w:rsidRPr="00371A6D" w:rsidRDefault="00BA18BB" w:rsidP="00B71279">
      <w:pPr>
        <w:spacing w:line="240" w:lineRule="auto"/>
        <w:rPr>
          <w:lang w:val="en-GB"/>
        </w:rPr>
      </w:pPr>
      <w:r w:rsidRPr="00371A6D">
        <w:rPr>
          <w:lang w:val="en-GB"/>
        </w:rPr>
        <w:t>Rasmus Rydbirk</w:t>
      </w:r>
      <w:r w:rsidRPr="00371A6D">
        <w:rPr>
          <w:vertAlign w:val="superscript"/>
          <w:lang w:val="en-GB"/>
        </w:rPr>
        <w:t>1,2,3</w:t>
      </w:r>
      <w:r>
        <w:rPr>
          <w:vertAlign w:val="superscript"/>
          <w:lang w:val="en-GB"/>
        </w:rPr>
        <w:t>,a</w:t>
      </w:r>
      <w:r w:rsidRPr="00371A6D">
        <w:rPr>
          <w:lang w:val="en-GB"/>
        </w:rPr>
        <w:t>, Jonas Folke</w:t>
      </w:r>
      <w:r w:rsidRPr="00371A6D">
        <w:rPr>
          <w:vertAlign w:val="superscript"/>
          <w:lang w:val="en-GB"/>
        </w:rPr>
        <w:t>1,3</w:t>
      </w:r>
      <w:r w:rsidRPr="00371A6D">
        <w:rPr>
          <w:lang w:val="en-GB"/>
        </w:rPr>
        <w:t>, Florence Busato</w:t>
      </w:r>
      <w:r w:rsidRPr="00371A6D">
        <w:rPr>
          <w:vertAlign w:val="superscript"/>
          <w:lang w:val="en-GB"/>
        </w:rPr>
        <w:t>2</w:t>
      </w:r>
      <w:r w:rsidRPr="00371A6D">
        <w:rPr>
          <w:lang w:val="en-GB"/>
        </w:rPr>
        <w:t>, Elodie Roch</w:t>
      </w:r>
      <w:r>
        <w:rPr>
          <w:lang w:val="en-GB"/>
        </w:rPr>
        <w:t>é</w:t>
      </w:r>
      <w:r>
        <w:rPr>
          <w:vertAlign w:val="superscript"/>
          <w:lang w:val="en-GB"/>
        </w:rPr>
        <w:t>2</w:t>
      </w:r>
      <w:r>
        <w:rPr>
          <w:lang w:val="en-GB"/>
        </w:rPr>
        <w:t xml:space="preserve">, Alisha </w:t>
      </w:r>
      <w:r w:rsidRPr="006345A1">
        <w:rPr>
          <w:lang w:val="en-GB"/>
        </w:rPr>
        <w:t>Shahzad Chauhan</w:t>
      </w:r>
      <w:r>
        <w:rPr>
          <w:vertAlign w:val="superscript"/>
          <w:lang w:val="en-GB"/>
        </w:rPr>
        <w:t>1,3</w:t>
      </w:r>
      <w:r>
        <w:rPr>
          <w:lang w:val="en-GB"/>
        </w:rPr>
        <w:t>,</w:t>
      </w:r>
      <w:r w:rsidRPr="006345A1">
        <w:rPr>
          <w:lang w:val="en-GB"/>
        </w:rPr>
        <w:t xml:space="preserve"> </w:t>
      </w:r>
      <w:r w:rsidRPr="00371A6D">
        <w:rPr>
          <w:lang w:val="en-GB"/>
        </w:rPr>
        <w:t>Annemette Løkkegaard</w:t>
      </w:r>
      <w:r w:rsidRPr="00371A6D">
        <w:rPr>
          <w:vertAlign w:val="superscript"/>
          <w:lang w:val="en-GB"/>
        </w:rPr>
        <w:t>4,5</w:t>
      </w:r>
      <w:r w:rsidRPr="00371A6D">
        <w:rPr>
          <w:lang w:val="en-GB"/>
        </w:rPr>
        <w:t>,</w:t>
      </w:r>
      <w:r>
        <w:rPr>
          <w:lang w:val="en-GB"/>
        </w:rPr>
        <w:t xml:space="preserve"> Anne-Mette Hejl</w:t>
      </w:r>
      <w:r>
        <w:rPr>
          <w:vertAlign w:val="superscript"/>
          <w:lang w:val="en-GB"/>
        </w:rPr>
        <w:t>4</w:t>
      </w:r>
      <w:r>
        <w:rPr>
          <w:lang w:val="en-GB"/>
        </w:rPr>
        <w:t>, Matthias Bode</w:t>
      </w:r>
      <w:r>
        <w:rPr>
          <w:vertAlign w:val="superscript"/>
          <w:lang w:val="en-GB"/>
        </w:rPr>
        <w:t>6</w:t>
      </w:r>
      <w:r>
        <w:rPr>
          <w:lang w:val="en-GB"/>
        </w:rPr>
        <w:t xml:space="preserve">, Morten </w:t>
      </w:r>
      <w:r w:rsidRPr="00F27CC6">
        <w:rPr>
          <w:lang w:val="en-GB"/>
        </w:rPr>
        <w:t>Blaabjerg</w:t>
      </w:r>
      <w:r>
        <w:rPr>
          <w:vertAlign w:val="superscript"/>
          <w:lang w:val="en-GB"/>
        </w:rPr>
        <w:t>6,</w:t>
      </w:r>
      <w:r w:rsidRPr="00F27CC6">
        <w:rPr>
          <w:vertAlign w:val="superscript"/>
          <w:lang w:val="en-GB"/>
        </w:rPr>
        <w:t>7</w:t>
      </w:r>
      <w:r>
        <w:rPr>
          <w:lang w:val="en-GB"/>
        </w:rPr>
        <w:t>, Mette Møller</w:t>
      </w:r>
      <w:r>
        <w:rPr>
          <w:vertAlign w:val="superscript"/>
          <w:lang w:val="en-GB"/>
        </w:rPr>
        <w:t>8</w:t>
      </w:r>
      <w:r>
        <w:rPr>
          <w:lang w:val="en-GB"/>
        </w:rPr>
        <w:t xml:space="preserve">, Erik </w:t>
      </w:r>
      <w:proofErr w:type="spellStart"/>
      <w:r>
        <w:rPr>
          <w:lang w:val="en-GB"/>
        </w:rPr>
        <w:t>Hvid</w:t>
      </w:r>
      <w:proofErr w:type="spellEnd"/>
      <w:r>
        <w:rPr>
          <w:lang w:val="en-GB"/>
        </w:rPr>
        <w:t xml:space="preserve"> Danielsen</w:t>
      </w:r>
      <w:r>
        <w:rPr>
          <w:vertAlign w:val="superscript"/>
          <w:lang w:val="en-GB"/>
        </w:rPr>
        <w:t>8</w:t>
      </w:r>
      <w:r>
        <w:rPr>
          <w:lang w:val="en-GB"/>
        </w:rPr>
        <w:t>,</w:t>
      </w:r>
      <w:r w:rsidRPr="00371A6D">
        <w:rPr>
          <w:lang w:val="en-GB"/>
        </w:rPr>
        <w:t xml:space="preserve"> Tomasz Brudek</w:t>
      </w:r>
      <w:r w:rsidRPr="00371A6D">
        <w:rPr>
          <w:vertAlign w:val="superscript"/>
          <w:lang w:val="en-GB"/>
        </w:rPr>
        <w:t>1,3</w:t>
      </w:r>
      <w:r w:rsidRPr="00371A6D">
        <w:rPr>
          <w:lang w:val="en-GB"/>
        </w:rPr>
        <w:t>, Bente Pakkenberg</w:t>
      </w:r>
      <w:r w:rsidRPr="00371A6D">
        <w:rPr>
          <w:vertAlign w:val="superscript"/>
          <w:lang w:val="en-GB"/>
        </w:rPr>
        <w:t>1,5</w:t>
      </w:r>
      <w:r w:rsidRPr="003E0FA8">
        <w:rPr>
          <w:lang w:val="en-GB"/>
        </w:rPr>
        <w:t>, Jorg Tost</w:t>
      </w:r>
      <w:r w:rsidRPr="003E0FA8">
        <w:rPr>
          <w:vertAlign w:val="superscript"/>
          <w:lang w:val="en-GB"/>
        </w:rPr>
        <w:t>2</w:t>
      </w:r>
      <w:r>
        <w:rPr>
          <w:vertAlign w:val="superscript"/>
          <w:lang w:val="en-GB"/>
        </w:rPr>
        <w:t>,b</w:t>
      </w:r>
      <w:r w:rsidRPr="003E0FA8">
        <w:rPr>
          <w:lang w:val="en-GB"/>
        </w:rPr>
        <w:t>, Susana Aznar</w:t>
      </w:r>
      <w:r w:rsidRPr="006E04BE">
        <w:rPr>
          <w:vertAlign w:val="superscript"/>
          <w:lang w:val="en-GB"/>
        </w:rPr>
        <w:t>1</w:t>
      </w:r>
      <w:r w:rsidRPr="00371A6D">
        <w:rPr>
          <w:vertAlign w:val="superscript"/>
          <w:lang w:val="en-GB"/>
        </w:rPr>
        <w:t>,3</w:t>
      </w:r>
      <w:r>
        <w:rPr>
          <w:vertAlign w:val="superscript"/>
          <w:lang w:val="en-GB"/>
        </w:rPr>
        <w:t>,b,</w:t>
      </w:r>
      <w:r w:rsidRPr="00371A6D">
        <w:rPr>
          <w:lang w:val="en-GB"/>
        </w:rPr>
        <w:t>*</w:t>
      </w:r>
    </w:p>
    <w:p w14:paraId="271A6472" w14:textId="77777777" w:rsidR="00BA18BB" w:rsidRPr="009F56B3" w:rsidRDefault="00BA18BB" w:rsidP="00B71279">
      <w:pPr>
        <w:spacing w:line="240" w:lineRule="auto"/>
        <w:rPr>
          <w:lang w:val="en-GB"/>
        </w:rPr>
      </w:pPr>
      <w:r w:rsidRPr="009F56B3">
        <w:rPr>
          <w:vertAlign w:val="superscript"/>
          <w:lang w:val="en-GB"/>
        </w:rPr>
        <w:t>1</w:t>
      </w:r>
      <w:r>
        <w:rPr>
          <w:vertAlign w:val="superscript"/>
          <w:lang w:val="en-GB"/>
        </w:rPr>
        <w:t xml:space="preserve"> </w:t>
      </w:r>
      <w:r w:rsidRPr="009F56B3">
        <w:rPr>
          <w:lang w:val="en-GB"/>
        </w:rPr>
        <w:t xml:space="preserve">Research Laboratory for Stereology and Neuroscience, Bispebjerg-Frederiksberg Hospital, University Hospital of Copenhagen, </w:t>
      </w:r>
      <w:proofErr w:type="spellStart"/>
      <w:r>
        <w:rPr>
          <w:lang w:val="en-GB"/>
        </w:rPr>
        <w:t>Nielsine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Nielsens</w:t>
      </w:r>
      <w:proofErr w:type="spellEnd"/>
      <w:r>
        <w:rPr>
          <w:lang w:val="en-GB"/>
        </w:rPr>
        <w:t xml:space="preserve"> </w:t>
      </w:r>
      <w:proofErr w:type="spellStart"/>
      <w:r w:rsidRPr="00121FA4">
        <w:rPr>
          <w:lang w:val="en-GB"/>
        </w:rPr>
        <w:t>Vej</w:t>
      </w:r>
      <w:proofErr w:type="spellEnd"/>
      <w:r>
        <w:rPr>
          <w:lang w:val="en-GB"/>
        </w:rPr>
        <w:t xml:space="preserve"> 6B</w:t>
      </w:r>
      <w:r w:rsidRPr="009F56B3">
        <w:rPr>
          <w:lang w:val="en-GB"/>
        </w:rPr>
        <w:t>,</w:t>
      </w:r>
      <w:r>
        <w:rPr>
          <w:lang w:val="en-GB"/>
        </w:rPr>
        <w:t xml:space="preserve"> </w:t>
      </w:r>
      <w:r w:rsidRPr="009F56B3">
        <w:rPr>
          <w:lang w:val="en-GB"/>
        </w:rPr>
        <w:t>DK-2400, Copenhagen, Denmark</w:t>
      </w:r>
    </w:p>
    <w:p w14:paraId="3A8C3B76" w14:textId="77777777" w:rsidR="00BA18BB" w:rsidRPr="00FF435E" w:rsidRDefault="00BA18BB" w:rsidP="00B71279">
      <w:pPr>
        <w:spacing w:line="240" w:lineRule="auto"/>
        <w:rPr>
          <w:lang w:val="fr-FR"/>
        </w:rPr>
      </w:pPr>
      <w:r w:rsidRPr="00FF435E">
        <w:rPr>
          <w:vertAlign w:val="superscript"/>
          <w:lang w:val="fr-FR"/>
        </w:rPr>
        <w:t>2</w:t>
      </w:r>
      <w:r>
        <w:rPr>
          <w:vertAlign w:val="superscript"/>
          <w:lang w:val="fr-FR"/>
        </w:rPr>
        <w:t xml:space="preserve"> </w:t>
      </w:r>
      <w:proofErr w:type="spellStart"/>
      <w:r w:rsidRPr="00FF435E">
        <w:rPr>
          <w:lang w:val="fr-FR"/>
        </w:rPr>
        <w:t>Laboratory</w:t>
      </w:r>
      <w:proofErr w:type="spellEnd"/>
      <w:r w:rsidRPr="00FF435E">
        <w:rPr>
          <w:lang w:val="fr-FR"/>
        </w:rPr>
        <w:t xml:space="preserve"> for </w:t>
      </w:r>
      <w:proofErr w:type="spellStart"/>
      <w:r w:rsidRPr="00FF435E">
        <w:rPr>
          <w:lang w:val="fr-FR"/>
        </w:rPr>
        <w:t>Epigenetics</w:t>
      </w:r>
      <w:proofErr w:type="spellEnd"/>
      <w:r w:rsidRPr="00FF435E">
        <w:rPr>
          <w:lang w:val="fr-FR"/>
        </w:rPr>
        <w:t xml:space="preserve"> and </w:t>
      </w:r>
      <w:proofErr w:type="spellStart"/>
      <w:r w:rsidRPr="00FF435E">
        <w:rPr>
          <w:lang w:val="fr-FR"/>
        </w:rPr>
        <w:t>Environment</w:t>
      </w:r>
      <w:proofErr w:type="spellEnd"/>
      <w:r w:rsidRPr="00FF435E">
        <w:rPr>
          <w:lang w:val="fr-FR"/>
        </w:rPr>
        <w:t>, Centre National de Recherche en Génomique Humaine, CEA-I</w:t>
      </w:r>
      <w:r>
        <w:rPr>
          <w:lang w:val="fr-FR"/>
        </w:rPr>
        <w:t xml:space="preserve">nstitut de Biologie </w:t>
      </w:r>
      <w:proofErr w:type="spellStart"/>
      <w:r>
        <w:rPr>
          <w:lang w:val="fr-FR"/>
        </w:rPr>
        <w:t>Francois</w:t>
      </w:r>
      <w:proofErr w:type="spellEnd"/>
      <w:r>
        <w:rPr>
          <w:lang w:val="fr-FR"/>
        </w:rPr>
        <w:t xml:space="preserve"> Jacob</w:t>
      </w:r>
      <w:r w:rsidRPr="00FF435E">
        <w:rPr>
          <w:lang w:val="fr-FR"/>
        </w:rPr>
        <w:t>, 2 rue Gaston Crémieux, FR-91000 Evry, France</w:t>
      </w:r>
    </w:p>
    <w:p w14:paraId="30D1F3BC" w14:textId="77777777" w:rsidR="00BA18BB" w:rsidRPr="00F7310B" w:rsidRDefault="00BA18BB" w:rsidP="00B71279">
      <w:pPr>
        <w:spacing w:line="240" w:lineRule="auto"/>
        <w:rPr>
          <w:lang w:val="en-US"/>
        </w:rPr>
      </w:pPr>
      <w:r w:rsidRPr="00F7310B">
        <w:rPr>
          <w:vertAlign w:val="superscript"/>
          <w:lang w:val="en-US"/>
        </w:rPr>
        <w:t xml:space="preserve">3 </w:t>
      </w:r>
      <w:proofErr w:type="spellStart"/>
      <w:r w:rsidRPr="00F7310B">
        <w:rPr>
          <w:lang w:val="en-US"/>
        </w:rPr>
        <w:t>Copenhagen</w:t>
      </w:r>
      <w:proofErr w:type="spellEnd"/>
      <w:r w:rsidRPr="00F7310B">
        <w:rPr>
          <w:lang w:val="en-US"/>
        </w:rPr>
        <w:t xml:space="preserve"> Centre for </w:t>
      </w:r>
      <w:proofErr w:type="spellStart"/>
      <w:r w:rsidRPr="00F7310B">
        <w:rPr>
          <w:lang w:val="en-US"/>
        </w:rPr>
        <w:t>Translational</w:t>
      </w:r>
      <w:proofErr w:type="spellEnd"/>
      <w:r w:rsidRPr="00F7310B">
        <w:rPr>
          <w:lang w:val="en-US"/>
        </w:rPr>
        <w:t xml:space="preserve"> </w:t>
      </w:r>
      <w:proofErr w:type="spellStart"/>
      <w:r w:rsidRPr="00F7310B">
        <w:rPr>
          <w:lang w:val="en-US"/>
        </w:rPr>
        <w:t>Research</w:t>
      </w:r>
      <w:proofErr w:type="spellEnd"/>
      <w:r w:rsidRPr="00F7310B">
        <w:rPr>
          <w:lang w:val="en-US"/>
        </w:rPr>
        <w:t xml:space="preserve">, Bispebjerg-Frederiksberg Hospital, </w:t>
      </w:r>
      <w:proofErr w:type="spellStart"/>
      <w:r w:rsidRPr="00F7310B">
        <w:rPr>
          <w:lang w:val="en-US"/>
        </w:rPr>
        <w:t>University</w:t>
      </w:r>
      <w:proofErr w:type="spellEnd"/>
      <w:r w:rsidRPr="00F7310B">
        <w:rPr>
          <w:lang w:val="en-US"/>
        </w:rPr>
        <w:t xml:space="preserve"> Hospital of </w:t>
      </w:r>
      <w:proofErr w:type="spellStart"/>
      <w:r w:rsidRPr="00F7310B">
        <w:rPr>
          <w:lang w:val="en-US"/>
        </w:rPr>
        <w:t>Copenhagen</w:t>
      </w:r>
      <w:proofErr w:type="spellEnd"/>
      <w:r w:rsidRPr="00F7310B">
        <w:rPr>
          <w:lang w:val="en-US"/>
        </w:rPr>
        <w:t xml:space="preserve">, </w:t>
      </w:r>
      <w:proofErr w:type="spellStart"/>
      <w:r w:rsidRPr="00F7310B">
        <w:rPr>
          <w:lang w:val="en-US"/>
        </w:rPr>
        <w:t>Nielsine</w:t>
      </w:r>
      <w:proofErr w:type="spellEnd"/>
      <w:r w:rsidRPr="00F7310B">
        <w:rPr>
          <w:lang w:val="en-US"/>
        </w:rPr>
        <w:t xml:space="preserve"> </w:t>
      </w:r>
      <w:proofErr w:type="spellStart"/>
      <w:r w:rsidRPr="00F7310B">
        <w:rPr>
          <w:lang w:val="en-US"/>
        </w:rPr>
        <w:t>Nielsens</w:t>
      </w:r>
      <w:proofErr w:type="spellEnd"/>
      <w:r w:rsidRPr="00F7310B">
        <w:rPr>
          <w:lang w:val="en-US"/>
        </w:rPr>
        <w:t xml:space="preserve"> </w:t>
      </w:r>
      <w:proofErr w:type="spellStart"/>
      <w:r w:rsidRPr="00F7310B">
        <w:rPr>
          <w:lang w:val="en-US"/>
        </w:rPr>
        <w:t>Vej</w:t>
      </w:r>
      <w:proofErr w:type="spellEnd"/>
      <w:r w:rsidRPr="00F7310B">
        <w:rPr>
          <w:lang w:val="en-US"/>
        </w:rPr>
        <w:t xml:space="preserve"> 4B, </w:t>
      </w:r>
      <w:proofErr w:type="spellStart"/>
      <w:r w:rsidRPr="00F7310B">
        <w:rPr>
          <w:lang w:val="en-US"/>
        </w:rPr>
        <w:t>Copenhagen</w:t>
      </w:r>
      <w:proofErr w:type="spellEnd"/>
      <w:r w:rsidRPr="00F7310B">
        <w:rPr>
          <w:lang w:val="en-US"/>
        </w:rPr>
        <w:t xml:space="preserve">, </w:t>
      </w:r>
      <w:proofErr w:type="spellStart"/>
      <w:r w:rsidRPr="00F7310B">
        <w:rPr>
          <w:lang w:val="en-US"/>
        </w:rPr>
        <w:t>Denmark</w:t>
      </w:r>
      <w:proofErr w:type="spellEnd"/>
    </w:p>
    <w:p w14:paraId="01805349" w14:textId="77777777" w:rsidR="00BA18BB" w:rsidRPr="00F7310B" w:rsidRDefault="00BA18BB" w:rsidP="00B71279">
      <w:pPr>
        <w:spacing w:line="240" w:lineRule="auto"/>
        <w:rPr>
          <w:lang w:val="en-US"/>
        </w:rPr>
      </w:pPr>
      <w:r w:rsidRPr="00F7310B">
        <w:rPr>
          <w:vertAlign w:val="superscript"/>
          <w:lang w:val="en-US"/>
        </w:rPr>
        <w:t xml:space="preserve">4 </w:t>
      </w:r>
      <w:proofErr w:type="spellStart"/>
      <w:r w:rsidRPr="00F7310B">
        <w:rPr>
          <w:lang w:val="en-US"/>
        </w:rPr>
        <w:t>Department</w:t>
      </w:r>
      <w:proofErr w:type="spellEnd"/>
      <w:r w:rsidRPr="00F7310B">
        <w:rPr>
          <w:lang w:val="en-US"/>
        </w:rPr>
        <w:t xml:space="preserve"> of </w:t>
      </w:r>
      <w:proofErr w:type="spellStart"/>
      <w:r w:rsidRPr="00F7310B">
        <w:rPr>
          <w:lang w:val="en-US"/>
        </w:rPr>
        <w:t>Neurology</w:t>
      </w:r>
      <w:proofErr w:type="spellEnd"/>
      <w:r w:rsidRPr="00F7310B">
        <w:rPr>
          <w:lang w:val="en-US"/>
        </w:rPr>
        <w:t xml:space="preserve">, Bispebjerg-Frederiksberg Hospital, </w:t>
      </w:r>
      <w:proofErr w:type="spellStart"/>
      <w:r w:rsidRPr="00F7310B">
        <w:rPr>
          <w:lang w:val="en-US"/>
        </w:rPr>
        <w:t>University</w:t>
      </w:r>
      <w:proofErr w:type="spellEnd"/>
      <w:r w:rsidRPr="00F7310B">
        <w:rPr>
          <w:lang w:val="en-US"/>
        </w:rPr>
        <w:t xml:space="preserve"> Hospital of </w:t>
      </w:r>
      <w:proofErr w:type="spellStart"/>
      <w:r w:rsidRPr="00F7310B">
        <w:rPr>
          <w:lang w:val="en-US"/>
        </w:rPr>
        <w:t>Copenhagen</w:t>
      </w:r>
      <w:proofErr w:type="spellEnd"/>
      <w:r w:rsidRPr="00F7310B">
        <w:rPr>
          <w:lang w:val="en-US"/>
        </w:rPr>
        <w:t xml:space="preserve">, </w:t>
      </w:r>
      <w:proofErr w:type="spellStart"/>
      <w:r w:rsidRPr="00F7310B">
        <w:rPr>
          <w:lang w:val="en-US"/>
        </w:rPr>
        <w:t>Ebba</w:t>
      </w:r>
      <w:proofErr w:type="spellEnd"/>
      <w:r w:rsidRPr="00F7310B">
        <w:rPr>
          <w:lang w:val="en-US"/>
        </w:rPr>
        <w:t xml:space="preserve"> </w:t>
      </w:r>
      <w:proofErr w:type="spellStart"/>
      <w:r w:rsidRPr="00F7310B">
        <w:rPr>
          <w:lang w:val="en-US"/>
        </w:rPr>
        <w:t>Lunds</w:t>
      </w:r>
      <w:proofErr w:type="spellEnd"/>
      <w:r w:rsidRPr="00F7310B">
        <w:rPr>
          <w:lang w:val="en-US"/>
        </w:rPr>
        <w:t xml:space="preserve"> </w:t>
      </w:r>
      <w:proofErr w:type="spellStart"/>
      <w:r w:rsidRPr="00F7310B">
        <w:rPr>
          <w:lang w:val="en-US"/>
        </w:rPr>
        <w:t>Vej</w:t>
      </w:r>
      <w:proofErr w:type="spellEnd"/>
      <w:r w:rsidRPr="00F7310B">
        <w:rPr>
          <w:lang w:val="en-US"/>
        </w:rPr>
        <w:t xml:space="preserve"> 44, DK-2400, </w:t>
      </w:r>
      <w:proofErr w:type="spellStart"/>
      <w:r w:rsidRPr="00F7310B">
        <w:rPr>
          <w:lang w:val="en-US"/>
        </w:rPr>
        <w:t>Copenhagen</w:t>
      </w:r>
      <w:proofErr w:type="spellEnd"/>
      <w:r w:rsidRPr="00F7310B">
        <w:rPr>
          <w:lang w:val="en-US"/>
        </w:rPr>
        <w:t xml:space="preserve">, </w:t>
      </w:r>
      <w:proofErr w:type="spellStart"/>
      <w:r w:rsidRPr="00F7310B">
        <w:rPr>
          <w:lang w:val="en-US"/>
        </w:rPr>
        <w:t>Denmark</w:t>
      </w:r>
      <w:proofErr w:type="spellEnd"/>
      <w:r w:rsidRPr="00F7310B">
        <w:rPr>
          <w:lang w:val="en-US"/>
        </w:rPr>
        <w:t>.</w:t>
      </w:r>
    </w:p>
    <w:p w14:paraId="3307BEC8" w14:textId="77777777" w:rsidR="00BA18BB" w:rsidRDefault="00BA18BB" w:rsidP="00B71279">
      <w:pPr>
        <w:spacing w:line="240" w:lineRule="auto"/>
        <w:rPr>
          <w:lang w:val="en-GB"/>
        </w:rPr>
      </w:pPr>
      <w:r>
        <w:rPr>
          <w:vertAlign w:val="superscript"/>
          <w:lang w:val="en-GB"/>
        </w:rPr>
        <w:t xml:space="preserve">5 </w:t>
      </w:r>
      <w:r w:rsidRPr="009F56B3">
        <w:rPr>
          <w:lang w:val="en-GB"/>
        </w:rPr>
        <w:t xml:space="preserve">Institute of Clinical Medicine, Faculty of Health, University of Copenhagen, </w:t>
      </w:r>
      <w:proofErr w:type="spellStart"/>
      <w:r w:rsidRPr="009F56B3">
        <w:rPr>
          <w:lang w:val="en-GB"/>
        </w:rPr>
        <w:t>Blegdamsvej</w:t>
      </w:r>
      <w:proofErr w:type="spellEnd"/>
      <w:r w:rsidRPr="009F56B3">
        <w:rPr>
          <w:lang w:val="en-GB"/>
        </w:rPr>
        <w:t xml:space="preserve"> 3B, DK-2200 Copenhagen, Denmark</w:t>
      </w:r>
    </w:p>
    <w:p w14:paraId="4B2EDF64" w14:textId="77777777" w:rsidR="00BA18BB" w:rsidRPr="00F27CC6" w:rsidRDefault="00BA18BB" w:rsidP="00B71279">
      <w:pPr>
        <w:spacing w:line="240" w:lineRule="auto"/>
        <w:rPr>
          <w:lang w:val="en-GB"/>
        </w:rPr>
      </w:pPr>
      <w:r w:rsidRPr="00F27CC6">
        <w:rPr>
          <w:vertAlign w:val="superscript"/>
          <w:lang w:val="en-GB"/>
        </w:rPr>
        <w:t>6</w:t>
      </w:r>
      <w:r>
        <w:rPr>
          <w:vertAlign w:val="superscript"/>
          <w:lang w:val="en-GB"/>
        </w:rPr>
        <w:t xml:space="preserve"> </w:t>
      </w:r>
      <w:r w:rsidRPr="00F27CC6">
        <w:rPr>
          <w:lang w:val="en-GB"/>
        </w:rPr>
        <w:t xml:space="preserve">Department of Neurology, Odense University Hospital, J.B. </w:t>
      </w:r>
      <w:proofErr w:type="spellStart"/>
      <w:r w:rsidRPr="00F27CC6">
        <w:rPr>
          <w:lang w:val="en-GB"/>
        </w:rPr>
        <w:t>Winsløws</w:t>
      </w:r>
      <w:proofErr w:type="spellEnd"/>
      <w:r w:rsidRPr="00F27CC6">
        <w:rPr>
          <w:lang w:val="en-GB"/>
        </w:rPr>
        <w:t xml:space="preserve"> </w:t>
      </w:r>
      <w:proofErr w:type="spellStart"/>
      <w:r w:rsidRPr="00F27CC6">
        <w:rPr>
          <w:lang w:val="en-GB"/>
        </w:rPr>
        <w:t>Vej</w:t>
      </w:r>
      <w:proofErr w:type="spellEnd"/>
      <w:r w:rsidRPr="00F27CC6">
        <w:rPr>
          <w:lang w:val="en-GB"/>
        </w:rPr>
        <w:t xml:space="preserve"> 4, DK-5000 Odense, Denmark. </w:t>
      </w:r>
    </w:p>
    <w:p w14:paraId="603CD169" w14:textId="77777777" w:rsidR="00BA18BB" w:rsidRPr="00F27CC6" w:rsidRDefault="00BA18BB" w:rsidP="00B71279">
      <w:pPr>
        <w:spacing w:line="240" w:lineRule="auto"/>
        <w:rPr>
          <w:lang w:val="en-GB"/>
        </w:rPr>
      </w:pPr>
      <w:r>
        <w:rPr>
          <w:vertAlign w:val="superscript"/>
          <w:lang w:val="en-GB"/>
        </w:rPr>
        <w:t xml:space="preserve">7 </w:t>
      </w:r>
      <w:r w:rsidRPr="00F27CC6">
        <w:rPr>
          <w:lang w:val="en-GB"/>
        </w:rPr>
        <w:t xml:space="preserve">Department of Clinical Research, University of Southern Denmark, Odense, Denmark. </w:t>
      </w:r>
    </w:p>
    <w:p w14:paraId="183A95A5" w14:textId="77777777" w:rsidR="00BA18BB" w:rsidRDefault="00BA18BB" w:rsidP="00B71279">
      <w:pPr>
        <w:spacing w:line="240" w:lineRule="auto"/>
        <w:rPr>
          <w:lang w:val="en-GB"/>
        </w:rPr>
      </w:pPr>
      <w:r>
        <w:rPr>
          <w:vertAlign w:val="superscript"/>
          <w:lang w:val="en-GB"/>
        </w:rPr>
        <w:t xml:space="preserve">8 </w:t>
      </w:r>
      <w:r w:rsidRPr="00F27CC6">
        <w:rPr>
          <w:lang w:val="en-GB"/>
        </w:rPr>
        <w:t>Department of Neurology, Aarhus University Hospital, Aarhus, Denmark.</w:t>
      </w:r>
    </w:p>
    <w:p w14:paraId="1A8B8F05" w14:textId="77777777" w:rsidR="00BA18BB" w:rsidRPr="00285FFA" w:rsidRDefault="00BA18BB" w:rsidP="00B71279">
      <w:pPr>
        <w:spacing w:line="240" w:lineRule="auto"/>
        <w:rPr>
          <w:lang w:val="en-GB"/>
        </w:rPr>
      </w:pPr>
      <w:r>
        <w:rPr>
          <w:vertAlign w:val="superscript"/>
          <w:lang w:val="en-GB"/>
        </w:rPr>
        <w:t xml:space="preserve">a </w:t>
      </w:r>
      <w:r>
        <w:rPr>
          <w:lang w:val="en-GB"/>
        </w:rPr>
        <w:t xml:space="preserve">Present address: </w:t>
      </w:r>
      <w:r w:rsidRPr="00285FFA">
        <w:rPr>
          <w:rFonts w:ascii="Calibri" w:hAnsi="Calibri" w:cs="Calibri"/>
          <w:lang w:val="en-GB"/>
        </w:rPr>
        <w:t>Biotech Research and Innovation Centre</w:t>
      </w:r>
      <w:r>
        <w:rPr>
          <w:rFonts w:ascii="Calibri" w:hAnsi="Calibri" w:cs="Calibri"/>
          <w:lang w:val="en-GB"/>
        </w:rPr>
        <w:t>, Faculty of Health, University of Copenhagen, Denmark</w:t>
      </w:r>
    </w:p>
    <w:p w14:paraId="76FA6F81" w14:textId="77777777" w:rsidR="00BA18BB" w:rsidRPr="009F56B3" w:rsidRDefault="00BA18BB" w:rsidP="00B71279">
      <w:pPr>
        <w:spacing w:line="240" w:lineRule="auto"/>
        <w:rPr>
          <w:lang w:val="en-GB"/>
        </w:rPr>
      </w:pPr>
      <w:r w:rsidRPr="00285FFA">
        <w:rPr>
          <w:vertAlign w:val="superscript"/>
          <w:lang w:val="en-GB"/>
        </w:rPr>
        <w:t>b</w:t>
      </w:r>
      <w:r>
        <w:rPr>
          <w:lang w:val="en-GB"/>
        </w:rPr>
        <w:t xml:space="preserve"> Joint senior authorship</w:t>
      </w:r>
    </w:p>
    <w:p w14:paraId="0094AD04" w14:textId="77777777" w:rsidR="00BA18BB" w:rsidRDefault="00BA18BB" w:rsidP="00B71279">
      <w:pPr>
        <w:spacing w:line="240" w:lineRule="auto"/>
        <w:rPr>
          <w:lang w:val="en-GB"/>
        </w:rPr>
      </w:pPr>
      <w:r>
        <w:rPr>
          <w:lang w:val="en-GB"/>
        </w:rPr>
        <w:t xml:space="preserve">* Corresponding author: </w:t>
      </w:r>
    </w:p>
    <w:p w14:paraId="62BE1D63" w14:textId="77777777" w:rsidR="00BA18BB" w:rsidRDefault="00BA18BB" w:rsidP="00B71279">
      <w:pPr>
        <w:spacing w:after="0" w:line="240" w:lineRule="auto"/>
        <w:rPr>
          <w:lang w:val="en-GB"/>
        </w:rPr>
      </w:pPr>
      <w:r>
        <w:rPr>
          <w:lang w:val="en-GB"/>
        </w:rPr>
        <w:t>Susana Aznar, PhD</w:t>
      </w:r>
    </w:p>
    <w:p w14:paraId="327A3BE1" w14:textId="77777777" w:rsidR="00BA18BB" w:rsidRDefault="00BA18BB" w:rsidP="00B71279">
      <w:pPr>
        <w:spacing w:after="0" w:line="240" w:lineRule="auto"/>
        <w:rPr>
          <w:lang w:val="en-GB"/>
        </w:rPr>
      </w:pPr>
      <w:r w:rsidRPr="009F56B3">
        <w:rPr>
          <w:lang w:val="en-GB"/>
        </w:rPr>
        <w:t>Research Laboratory for Stereology and Neuroscience</w:t>
      </w:r>
    </w:p>
    <w:p w14:paraId="1657EEAC" w14:textId="77777777" w:rsidR="00BA18BB" w:rsidRPr="00EC62D0" w:rsidRDefault="00BA18BB" w:rsidP="00B71279">
      <w:pPr>
        <w:spacing w:after="0" w:line="240" w:lineRule="auto"/>
        <w:rPr>
          <w:lang w:val="en-GB"/>
        </w:rPr>
      </w:pPr>
      <w:r w:rsidRPr="00EC62D0">
        <w:rPr>
          <w:lang w:val="en-GB"/>
        </w:rPr>
        <w:t xml:space="preserve">Bispebjerg-Frederiksberg Hospital, University Hospital of Copenhagen </w:t>
      </w:r>
    </w:p>
    <w:p w14:paraId="466BFE59" w14:textId="77777777" w:rsidR="00BA18BB" w:rsidRPr="00EC62D0" w:rsidRDefault="00BA18BB" w:rsidP="00B71279">
      <w:pPr>
        <w:spacing w:after="0" w:line="240" w:lineRule="auto"/>
        <w:rPr>
          <w:lang w:val="en-GB"/>
        </w:rPr>
      </w:pPr>
      <w:proofErr w:type="spellStart"/>
      <w:r w:rsidRPr="00EC62D0">
        <w:rPr>
          <w:lang w:val="en-GB"/>
        </w:rPr>
        <w:t>Nielsine</w:t>
      </w:r>
      <w:proofErr w:type="spellEnd"/>
      <w:r w:rsidRPr="00EC62D0">
        <w:rPr>
          <w:lang w:val="en-GB"/>
        </w:rPr>
        <w:t xml:space="preserve"> </w:t>
      </w:r>
      <w:proofErr w:type="spellStart"/>
      <w:r w:rsidRPr="00EC62D0">
        <w:rPr>
          <w:lang w:val="en-GB"/>
        </w:rPr>
        <w:t>Nielsens</w:t>
      </w:r>
      <w:proofErr w:type="spellEnd"/>
      <w:r w:rsidRPr="00EC62D0">
        <w:rPr>
          <w:lang w:val="en-GB"/>
        </w:rPr>
        <w:t xml:space="preserve"> </w:t>
      </w:r>
      <w:proofErr w:type="spellStart"/>
      <w:r w:rsidRPr="00EC62D0">
        <w:rPr>
          <w:lang w:val="en-GB"/>
        </w:rPr>
        <w:t>Vej</w:t>
      </w:r>
      <w:proofErr w:type="spellEnd"/>
      <w:r w:rsidRPr="00EC62D0">
        <w:rPr>
          <w:lang w:val="en-GB"/>
        </w:rPr>
        <w:t xml:space="preserve"> 6B, stair 11B, 2nd floor</w:t>
      </w:r>
    </w:p>
    <w:p w14:paraId="38096936" w14:textId="77777777" w:rsidR="00BA18BB" w:rsidRPr="00EC62D0" w:rsidRDefault="00BA18BB" w:rsidP="00B71279">
      <w:pPr>
        <w:spacing w:after="0" w:line="240" w:lineRule="auto"/>
        <w:rPr>
          <w:lang w:val="en-GB"/>
        </w:rPr>
      </w:pPr>
      <w:r w:rsidRPr="00EC62D0">
        <w:rPr>
          <w:lang w:val="en-GB"/>
        </w:rPr>
        <w:t>DK-2400, Copenhagen, Denmark</w:t>
      </w:r>
    </w:p>
    <w:p w14:paraId="5C15FE07" w14:textId="77777777" w:rsidR="00BA18BB" w:rsidRPr="00BA18BB" w:rsidRDefault="00BA18BB" w:rsidP="00B71279">
      <w:pPr>
        <w:spacing w:line="240" w:lineRule="auto"/>
        <w:rPr>
          <w:lang w:val="en-US"/>
        </w:rPr>
      </w:pPr>
      <w:r w:rsidRPr="00DC70CB">
        <w:rPr>
          <w:lang w:val="en-US"/>
        </w:rPr>
        <w:t xml:space="preserve">E-mail: </w:t>
      </w:r>
      <w:hyperlink r:id="rId7" w:history="1">
        <w:r w:rsidRPr="00DC70CB">
          <w:rPr>
            <w:rStyle w:val="Hyperlink"/>
            <w:lang w:val="en-GB"/>
          </w:rPr>
          <w:t>s</w:t>
        </w:r>
        <w:r w:rsidRPr="00DC70CB">
          <w:rPr>
            <w:rStyle w:val="Hyperlink"/>
            <w:lang w:val="en-US"/>
          </w:rPr>
          <w:t>usana.aznar.kleijn@regionh.dk</w:t>
        </w:r>
      </w:hyperlink>
    </w:p>
    <w:p w14:paraId="52BF4256" w14:textId="77777777" w:rsidR="00B71279" w:rsidRDefault="00B7127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GB"/>
        </w:rPr>
      </w:pPr>
      <w:r>
        <w:rPr>
          <w:lang w:val="en-GB"/>
        </w:rPr>
        <w:br w:type="page"/>
      </w:r>
    </w:p>
    <w:p w14:paraId="0E60B762" w14:textId="77777777" w:rsidR="006A3809" w:rsidRPr="00BA18BB" w:rsidRDefault="00BA18BB" w:rsidP="00B71279">
      <w:pPr>
        <w:pStyle w:val="Overskrift1"/>
        <w:numPr>
          <w:ilvl w:val="0"/>
          <w:numId w:val="0"/>
        </w:numPr>
        <w:spacing w:line="240" w:lineRule="auto"/>
        <w:ind w:left="432" w:hanging="432"/>
        <w:rPr>
          <w:lang w:val="en-GB"/>
        </w:rPr>
      </w:pPr>
      <w:r>
        <w:rPr>
          <w:lang w:val="en-GB"/>
        </w:rPr>
        <w:lastRenderedPageBreak/>
        <w:t>Materials and methods</w:t>
      </w:r>
    </w:p>
    <w:p w14:paraId="2F67F1C9" w14:textId="77777777" w:rsidR="006A3809" w:rsidRPr="00FF435E" w:rsidRDefault="006A3809" w:rsidP="00B71279">
      <w:pPr>
        <w:pStyle w:val="Overskrift2"/>
        <w:numPr>
          <w:ilvl w:val="0"/>
          <w:numId w:val="0"/>
        </w:numPr>
        <w:spacing w:line="240" w:lineRule="auto"/>
        <w:ind w:left="576" w:hanging="576"/>
        <w:rPr>
          <w:lang w:val="en-GB"/>
        </w:rPr>
      </w:pPr>
      <w:r>
        <w:rPr>
          <w:lang w:val="en-GB"/>
        </w:rPr>
        <w:t>DNA extraction</w:t>
      </w:r>
    </w:p>
    <w:p w14:paraId="41B374ED" w14:textId="77777777" w:rsidR="006A3809" w:rsidRDefault="006A3809" w:rsidP="00B71279">
      <w:pPr>
        <w:spacing w:line="240" w:lineRule="auto"/>
        <w:jc w:val="both"/>
        <w:rPr>
          <w:lang w:val="en-GB"/>
        </w:rPr>
      </w:pPr>
      <w:r>
        <w:rPr>
          <w:lang w:val="en-GB"/>
        </w:rPr>
        <w:t xml:space="preserve">Genomic DNA (gDNA) was extracted from 50 mg tissue incubated overnight at 50 </w:t>
      </w:r>
      <w:r>
        <w:rPr>
          <w:rFonts w:cstheme="minorHAnsi"/>
          <w:lang w:val="en-GB"/>
        </w:rPr>
        <w:t>°</w:t>
      </w:r>
      <w:r>
        <w:rPr>
          <w:lang w:val="en-GB"/>
        </w:rPr>
        <w:t>C in 500 µl digestion buffer (100 mM NaCl (J.T. Baker; #0277), 1:50 (v/v) Tris-HCl (RegionH Apoteket; #851426), 25 mM EDTA (Sigma-Aldrich; #9884), 0.75% SDS (Sigma-Aldrich; #L3771) in nuclease-free H</w:t>
      </w:r>
      <w:r w:rsidRPr="00852D3E">
        <w:rPr>
          <w:vertAlign w:val="subscript"/>
          <w:lang w:val="en-GB"/>
        </w:rPr>
        <w:t>2</w:t>
      </w:r>
      <w:r>
        <w:rPr>
          <w:lang w:val="en-GB"/>
        </w:rPr>
        <w:t>O (Sigma-Aldrich, W4502)) containing 400 µg proteinase K (Roche; #</w:t>
      </w:r>
      <w:r w:rsidRPr="00994A43">
        <w:rPr>
          <w:lang w:val="en-GB"/>
        </w:rPr>
        <w:t>3115836001</w:t>
      </w:r>
      <w:r>
        <w:rPr>
          <w:lang w:val="en-GB"/>
        </w:rPr>
        <w:t>). Phase separation was performed using 400 µl phenol:chloroform:isoamyl-OH (25:24:1; Invitrogen; #</w:t>
      </w:r>
      <w:r w:rsidRPr="00852D3E">
        <w:rPr>
          <w:lang w:val="en-GB"/>
        </w:rPr>
        <w:t>15593031</w:t>
      </w:r>
      <w:r>
        <w:rPr>
          <w:lang w:val="en-GB"/>
        </w:rPr>
        <w:t>) and 50 µl nuclease-free H</w:t>
      </w:r>
      <w:r w:rsidRPr="00852D3E">
        <w:rPr>
          <w:vertAlign w:val="subscript"/>
          <w:lang w:val="en-GB"/>
        </w:rPr>
        <w:t>2</w:t>
      </w:r>
      <w:r>
        <w:rPr>
          <w:lang w:val="en-GB"/>
        </w:rPr>
        <w:t xml:space="preserve">O with gentle mixing before centrifugation at 4 </w:t>
      </w:r>
      <w:r>
        <w:rPr>
          <w:rFonts w:cstheme="minorHAnsi"/>
          <w:lang w:val="en-GB"/>
        </w:rPr>
        <w:t>°</w:t>
      </w:r>
      <w:r>
        <w:rPr>
          <w:lang w:val="en-GB"/>
        </w:rPr>
        <w:t xml:space="preserve">C for 5 min at 15,000 x </w:t>
      </w:r>
      <w:r w:rsidRPr="006C189F">
        <w:rPr>
          <w:i/>
          <w:lang w:val="en-GB"/>
        </w:rPr>
        <w:t>g</w:t>
      </w:r>
      <w:r>
        <w:rPr>
          <w:lang w:val="en-GB"/>
        </w:rPr>
        <w:t xml:space="preserve">. gDNA was pelleted with 0.1 volume of 3M </w:t>
      </w:r>
      <w:proofErr w:type="spellStart"/>
      <w:r>
        <w:rPr>
          <w:lang w:val="en-GB"/>
        </w:rPr>
        <w:t>NaOAc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Fluka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Chemie</w:t>
      </w:r>
      <w:proofErr w:type="spellEnd"/>
      <w:r>
        <w:rPr>
          <w:lang w:val="en-GB"/>
        </w:rPr>
        <w:t xml:space="preserve"> GmbH; #71183) and 2 volumes of ice cold absolute EtOH (Sigma-Aldrich; #51976) by incubation at -18 </w:t>
      </w:r>
      <w:r>
        <w:rPr>
          <w:rFonts w:cstheme="minorHAnsi"/>
          <w:lang w:val="en-GB"/>
        </w:rPr>
        <w:t>°</w:t>
      </w:r>
      <w:r>
        <w:rPr>
          <w:lang w:val="en-GB"/>
        </w:rPr>
        <w:t xml:space="preserve">C for 1 h followed by centrifugation at 4 </w:t>
      </w:r>
      <w:r>
        <w:rPr>
          <w:rFonts w:cstheme="minorHAnsi"/>
          <w:lang w:val="en-GB"/>
        </w:rPr>
        <w:t>°</w:t>
      </w:r>
      <w:r>
        <w:rPr>
          <w:lang w:val="en-GB"/>
        </w:rPr>
        <w:t xml:space="preserve">C for 10 min at 12,000 x </w:t>
      </w:r>
      <w:r w:rsidRPr="00584EEE">
        <w:rPr>
          <w:i/>
          <w:lang w:val="en-GB"/>
        </w:rPr>
        <w:t>g</w:t>
      </w:r>
      <w:r>
        <w:rPr>
          <w:lang w:val="en-GB"/>
        </w:rPr>
        <w:t xml:space="preserve">, before washing </w:t>
      </w:r>
      <w:proofErr w:type="spellStart"/>
      <w:r>
        <w:rPr>
          <w:lang w:val="en-GB"/>
        </w:rPr>
        <w:t>inice</w:t>
      </w:r>
      <w:proofErr w:type="spellEnd"/>
      <w:r>
        <w:rPr>
          <w:lang w:val="en-GB"/>
        </w:rPr>
        <w:t xml:space="preserve"> cold 70% EtOH in nuclease-free H</w:t>
      </w:r>
      <w:r w:rsidRPr="00994A43">
        <w:rPr>
          <w:vertAlign w:val="subscript"/>
          <w:lang w:val="en-GB"/>
        </w:rPr>
        <w:t>2</w:t>
      </w:r>
      <w:r>
        <w:rPr>
          <w:lang w:val="en-GB"/>
        </w:rPr>
        <w:t>O (v/v). Concentrations were measured using the Quant-</w:t>
      </w:r>
      <w:proofErr w:type="spellStart"/>
      <w:r>
        <w:rPr>
          <w:lang w:val="en-GB"/>
        </w:rPr>
        <w:t>iT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PicoGreen</w:t>
      </w:r>
      <w:proofErr w:type="spellEnd"/>
      <w:r>
        <w:rPr>
          <w:lang w:val="en-GB"/>
        </w:rPr>
        <w:t xml:space="preserve"> dsDNA Assay Kit (Invitrogen; #</w:t>
      </w:r>
      <w:r w:rsidRPr="005F4AF8">
        <w:rPr>
          <w:lang w:val="en-GB"/>
        </w:rPr>
        <w:t>P11496</w:t>
      </w:r>
      <w:r>
        <w:rPr>
          <w:lang w:val="en-GB"/>
        </w:rPr>
        <w:t>) following the manufacturer’s instructions.</w:t>
      </w:r>
    </w:p>
    <w:p w14:paraId="1C9977D3" w14:textId="77777777" w:rsidR="003D484B" w:rsidRDefault="003D484B" w:rsidP="00B71279">
      <w:pPr>
        <w:pStyle w:val="Overskrift2"/>
        <w:numPr>
          <w:ilvl w:val="0"/>
          <w:numId w:val="0"/>
        </w:numPr>
        <w:spacing w:line="240" w:lineRule="auto"/>
        <w:ind w:left="576" w:hanging="576"/>
        <w:rPr>
          <w:lang w:val="en-GB"/>
        </w:rPr>
      </w:pPr>
      <w:r w:rsidRPr="007C5A75">
        <w:rPr>
          <w:lang w:val="en-GB"/>
        </w:rPr>
        <w:t>Validation of DNA methylation and hydroxymethylation levels using amplicon sequencing</w:t>
      </w:r>
    </w:p>
    <w:p w14:paraId="46969751" w14:textId="68578FEE" w:rsidR="003D484B" w:rsidRDefault="003D484B" w:rsidP="00B71279">
      <w:pPr>
        <w:spacing w:line="240" w:lineRule="auto"/>
        <w:jc w:val="both"/>
        <w:rPr>
          <w:lang w:val="en-GB"/>
        </w:rPr>
      </w:pPr>
      <w:r w:rsidRPr="0099590F">
        <w:rPr>
          <w:lang w:val="en-GB"/>
        </w:rPr>
        <w:t xml:space="preserve">PCR primers </w:t>
      </w:r>
      <w:r>
        <w:rPr>
          <w:lang w:val="en-GB"/>
        </w:rPr>
        <w:t xml:space="preserve">were designed </w:t>
      </w:r>
      <w:r w:rsidRPr="0099590F">
        <w:rPr>
          <w:lang w:val="en-GB"/>
        </w:rPr>
        <w:t xml:space="preserve">with </w:t>
      </w:r>
      <w:proofErr w:type="spellStart"/>
      <w:r w:rsidRPr="0099590F">
        <w:rPr>
          <w:lang w:val="en-GB"/>
        </w:rPr>
        <w:t>MethPrimer</w:t>
      </w:r>
      <w:proofErr w:type="spellEnd"/>
      <w:r>
        <w:rPr>
          <w:lang w:val="en-GB"/>
        </w:rPr>
        <w:fldChar w:fldCharType="begin">
          <w:fldData xml:space="preserve">PEVuZE5vdGU+PENpdGU+PEF1dGhvcj5MaTwvQXV0aG9yPjxZZWFyPjIwMDI8L1llYXI+PFJlY051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==
</w:fldData>
        </w:fldChar>
      </w:r>
      <w:r w:rsidR="00F7310B">
        <w:rPr>
          <w:lang w:val="en-GB"/>
        </w:rPr>
        <w:instrText xml:space="preserve"> ADDIN EN.CITE </w:instrText>
      </w:r>
      <w:r w:rsidR="00F7310B">
        <w:rPr>
          <w:lang w:val="en-GB"/>
        </w:rPr>
        <w:fldChar w:fldCharType="begin">
          <w:fldData xml:space="preserve">PEVuZE5vdGU+PENpdGU+PEF1dGhvcj5MaTwvQXV0aG9yPjxZZWFyPjIwMDI8L1llYXI+PFJlY051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==
</w:fldData>
        </w:fldChar>
      </w:r>
      <w:r w:rsidR="00F7310B">
        <w:rPr>
          <w:lang w:val="en-GB"/>
        </w:rPr>
        <w:instrText xml:space="preserve"> ADDIN EN.CITE.DATA </w:instrText>
      </w:r>
      <w:r w:rsidR="00F7310B">
        <w:rPr>
          <w:lang w:val="en-GB"/>
        </w:rPr>
      </w:r>
      <w:r w:rsidR="00F7310B">
        <w:rPr>
          <w:lang w:val="en-GB"/>
        </w:rPr>
        <w:fldChar w:fldCharType="end"/>
      </w:r>
      <w:r>
        <w:rPr>
          <w:lang w:val="en-GB"/>
        </w:rPr>
        <w:fldChar w:fldCharType="separate"/>
      </w:r>
      <w:r w:rsidR="00F7310B">
        <w:rPr>
          <w:noProof/>
          <w:lang w:val="en-GB"/>
        </w:rPr>
        <w:t>[1]</w:t>
      </w:r>
      <w:r>
        <w:rPr>
          <w:lang w:val="en-GB"/>
        </w:rPr>
        <w:fldChar w:fldCharType="end"/>
      </w:r>
      <w:r>
        <w:rPr>
          <w:lang w:val="en-GB"/>
        </w:rPr>
        <w:t>.</w:t>
      </w:r>
      <w:r w:rsidRPr="0099590F">
        <w:rPr>
          <w:lang w:val="en-GB"/>
        </w:rPr>
        <w:t xml:space="preserve"> Primers are </w:t>
      </w:r>
      <w:r>
        <w:rPr>
          <w:lang w:val="en-GB"/>
        </w:rPr>
        <w:t>provided</w:t>
      </w:r>
      <w:r w:rsidRPr="0099590F">
        <w:rPr>
          <w:lang w:val="en-GB"/>
        </w:rPr>
        <w:t xml:space="preserve"> in Suppl</w:t>
      </w:r>
      <w:r>
        <w:rPr>
          <w:lang w:val="en-GB"/>
        </w:rPr>
        <w:t>.</w:t>
      </w:r>
      <w:r w:rsidRPr="0099590F">
        <w:rPr>
          <w:lang w:val="en-GB"/>
        </w:rPr>
        <w:t xml:space="preserve"> Table </w:t>
      </w:r>
      <w:r>
        <w:rPr>
          <w:lang w:val="en-GB"/>
        </w:rPr>
        <w:t>2, Online Resource 1</w:t>
      </w:r>
      <w:r w:rsidRPr="0099590F">
        <w:rPr>
          <w:lang w:val="en-GB"/>
        </w:rPr>
        <w:t xml:space="preserve">. Amplicon primers did not overlap </w:t>
      </w:r>
      <w:r>
        <w:rPr>
          <w:lang w:val="en-GB"/>
        </w:rPr>
        <w:t xml:space="preserve">with </w:t>
      </w:r>
      <w:r w:rsidRPr="0099590F">
        <w:rPr>
          <w:lang w:val="en-GB"/>
        </w:rPr>
        <w:t>any CpG</w:t>
      </w:r>
      <w:r>
        <w:rPr>
          <w:lang w:val="en-GB"/>
        </w:rPr>
        <w:t>s</w:t>
      </w:r>
      <w:r w:rsidRPr="0099590F">
        <w:rPr>
          <w:lang w:val="en-GB"/>
        </w:rPr>
        <w:t xml:space="preserve"> or </w:t>
      </w:r>
      <w:r>
        <w:rPr>
          <w:lang w:val="en-GB"/>
        </w:rPr>
        <w:t>single nucleotide positions</w:t>
      </w:r>
      <w:r w:rsidRPr="0099590F">
        <w:rPr>
          <w:lang w:val="en-GB"/>
        </w:rPr>
        <w:t>. 1</w:t>
      </w:r>
      <w:r>
        <w:rPr>
          <w:lang w:val="en-GB"/>
        </w:rPr>
        <w:t xml:space="preserve"> </w:t>
      </w:r>
      <w:r w:rsidRPr="0099590F">
        <w:rPr>
          <w:lang w:val="en-GB"/>
        </w:rPr>
        <w:t xml:space="preserve">µg of genomic DNA was treated with </w:t>
      </w:r>
      <w:proofErr w:type="spellStart"/>
      <w:r w:rsidRPr="0099590F">
        <w:rPr>
          <w:lang w:val="en-GB"/>
        </w:rPr>
        <w:t>TrueMethyl</w:t>
      </w:r>
      <w:proofErr w:type="spellEnd"/>
      <w:r w:rsidRPr="0099590F">
        <w:rPr>
          <w:lang w:val="en-GB"/>
        </w:rPr>
        <w:t>® oxBS Module (</w:t>
      </w:r>
      <w:proofErr w:type="spellStart"/>
      <w:r w:rsidRPr="0099590F">
        <w:rPr>
          <w:lang w:val="en-GB"/>
        </w:rPr>
        <w:t>NuGen</w:t>
      </w:r>
      <w:proofErr w:type="spellEnd"/>
      <w:r w:rsidRPr="0099590F">
        <w:rPr>
          <w:lang w:val="en-GB"/>
        </w:rPr>
        <w:t xml:space="preserve">, </w:t>
      </w:r>
      <w:r>
        <w:rPr>
          <w:lang w:val="en-GB"/>
        </w:rPr>
        <w:t>#</w:t>
      </w:r>
      <w:r w:rsidRPr="0099590F">
        <w:rPr>
          <w:lang w:val="en-GB"/>
        </w:rPr>
        <w:t>0414-32) following the manufacture</w:t>
      </w:r>
      <w:r>
        <w:rPr>
          <w:lang w:val="en-GB"/>
        </w:rPr>
        <w:t>r</w:t>
      </w:r>
      <w:r w:rsidRPr="0099590F">
        <w:rPr>
          <w:lang w:val="en-GB"/>
        </w:rPr>
        <w:t>’s instructions</w:t>
      </w:r>
      <w:r w:rsidR="00864E31">
        <w:rPr>
          <w:lang w:val="en-GB"/>
        </w:rPr>
        <w:t>, which replaced the corresponding CEGX kits</w:t>
      </w:r>
      <w:r>
        <w:rPr>
          <w:lang w:val="en-GB"/>
        </w:rPr>
        <w:t>.</w:t>
      </w:r>
      <w:r w:rsidRPr="0099590F">
        <w:rPr>
          <w:lang w:val="en-GB"/>
        </w:rPr>
        <w:t xml:space="preserve"> </w:t>
      </w:r>
      <w:r>
        <w:rPr>
          <w:lang w:val="en-GB"/>
        </w:rPr>
        <w:t xml:space="preserve">Sample were divided into two fractions, a BS and an oxBS fraction. </w:t>
      </w:r>
      <w:r w:rsidRPr="0099590F">
        <w:rPr>
          <w:lang w:val="en-GB"/>
        </w:rPr>
        <w:t>PCR</w:t>
      </w:r>
      <w:r>
        <w:rPr>
          <w:lang w:val="en-GB"/>
        </w:rPr>
        <w:t>s</w:t>
      </w:r>
      <w:r w:rsidRPr="0099590F">
        <w:rPr>
          <w:lang w:val="en-GB"/>
        </w:rPr>
        <w:t xml:space="preserve"> were performed on</w:t>
      </w:r>
      <w:r>
        <w:rPr>
          <w:lang w:val="en-GB"/>
        </w:rPr>
        <w:t xml:space="preserve"> BS</w:t>
      </w:r>
      <w:r w:rsidRPr="0099590F">
        <w:rPr>
          <w:lang w:val="en-GB"/>
        </w:rPr>
        <w:t xml:space="preserve"> and </w:t>
      </w:r>
      <w:r>
        <w:rPr>
          <w:lang w:val="en-GB"/>
        </w:rPr>
        <w:t xml:space="preserve">oxBS </w:t>
      </w:r>
      <w:r w:rsidRPr="0099590F">
        <w:rPr>
          <w:lang w:val="en-GB"/>
        </w:rPr>
        <w:t xml:space="preserve">treated samples using Phusion U Hot Start PCR Master Mix (Thermo Fisher Scientific, </w:t>
      </w:r>
      <w:r>
        <w:rPr>
          <w:lang w:val="en-GB"/>
        </w:rPr>
        <w:t>#</w:t>
      </w:r>
      <w:r w:rsidRPr="0099590F">
        <w:rPr>
          <w:lang w:val="en-GB"/>
        </w:rPr>
        <w:t xml:space="preserve">F533L) with 2X of Phusion Master Mix and 0.2 µM of each primer. Cycling consisted </w:t>
      </w:r>
      <w:r>
        <w:rPr>
          <w:lang w:val="en-GB"/>
        </w:rPr>
        <w:t>of</w:t>
      </w:r>
      <w:r w:rsidRPr="0099590F">
        <w:rPr>
          <w:lang w:val="en-GB"/>
        </w:rPr>
        <w:t xml:space="preserve"> a pre-heating at 98</w:t>
      </w:r>
      <w:r>
        <w:rPr>
          <w:lang w:val="en-GB"/>
        </w:rPr>
        <w:t xml:space="preserve"> </w:t>
      </w:r>
      <w:r w:rsidRPr="0099590F">
        <w:rPr>
          <w:lang w:val="en-GB"/>
        </w:rPr>
        <w:t>°C for 15 min</w:t>
      </w:r>
      <w:r>
        <w:rPr>
          <w:lang w:val="en-GB"/>
        </w:rPr>
        <w:t>,</w:t>
      </w:r>
      <w:r w:rsidRPr="0099590F">
        <w:rPr>
          <w:lang w:val="en-GB"/>
        </w:rPr>
        <w:t xml:space="preserve"> then 35 cycles of 30</w:t>
      </w:r>
      <w:r>
        <w:rPr>
          <w:lang w:val="en-GB"/>
        </w:rPr>
        <w:t xml:space="preserve"> </w:t>
      </w:r>
      <w:r w:rsidRPr="0099590F">
        <w:rPr>
          <w:lang w:val="en-GB"/>
        </w:rPr>
        <w:t>s at 98</w:t>
      </w:r>
      <w:r>
        <w:rPr>
          <w:lang w:val="en-GB"/>
        </w:rPr>
        <w:t xml:space="preserve"> </w:t>
      </w:r>
      <w:r w:rsidRPr="0099590F">
        <w:rPr>
          <w:lang w:val="en-GB"/>
        </w:rPr>
        <w:t>°C, 30</w:t>
      </w:r>
      <w:r>
        <w:rPr>
          <w:lang w:val="en-GB"/>
        </w:rPr>
        <w:t xml:space="preserve"> </w:t>
      </w:r>
      <w:r w:rsidRPr="0099590F">
        <w:rPr>
          <w:lang w:val="en-GB"/>
        </w:rPr>
        <w:t>s at the optimal annealing temperature, 30</w:t>
      </w:r>
      <w:r>
        <w:rPr>
          <w:lang w:val="en-GB"/>
        </w:rPr>
        <w:t xml:space="preserve"> </w:t>
      </w:r>
      <w:r w:rsidRPr="0099590F">
        <w:rPr>
          <w:lang w:val="en-GB"/>
        </w:rPr>
        <w:t>s at 72</w:t>
      </w:r>
      <w:r>
        <w:rPr>
          <w:lang w:val="en-GB"/>
        </w:rPr>
        <w:t xml:space="preserve"> </w:t>
      </w:r>
      <w:r w:rsidRPr="0099590F">
        <w:rPr>
          <w:lang w:val="en-GB"/>
        </w:rPr>
        <w:t>°C and a final extension step at 72</w:t>
      </w:r>
      <w:r>
        <w:rPr>
          <w:lang w:val="en-GB"/>
        </w:rPr>
        <w:t xml:space="preserve"> </w:t>
      </w:r>
      <w:r w:rsidRPr="0099590F">
        <w:rPr>
          <w:lang w:val="en-GB"/>
        </w:rPr>
        <w:t>°C for 7 min. A</w:t>
      </w:r>
      <w:r>
        <w:rPr>
          <w:lang w:val="en-GB"/>
        </w:rPr>
        <w:t xml:space="preserve">fter bead-based purification, </w:t>
      </w:r>
      <w:r w:rsidRPr="0099590F">
        <w:rPr>
          <w:lang w:val="en-GB"/>
        </w:rPr>
        <w:t>PCR</w:t>
      </w:r>
      <w:r>
        <w:rPr>
          <w:lang w:val="en-GB"/>
        </w:rPr>
        <w:t>s</w:t>
      </w:r>
      <w:r w:rsidRPr="0099590F">
        <w:rPr>
          <w:lang w:val="en-GB"/>
        </w:rPr>
        <w:t xml:space="preserve"> were quantified using a </w:t>
      </w:r>
      <w:proofErr w:type="spellStart"/>
      <w:r w:rsidRPr="0099590F">
        <w:rPr>
          <w:lang w:val="en-GB"/>
        </w:rPr>
        <w:t>LabChip</w:t>
      </w:r>
      <w:proofErr w:type="spellEnd"/>
      <w:r w:rsidRPr="0099590F">
        <w:rPr>
          <w:lang w:val="en-GB"/>
        </w:rPr>
        <w:t xml:space="preserve"> GX Analyser (Perkin-Elmer)</w:t>
      </w:r>
      <w:r>
        <w:rPr>
          <w:lang w:val="en-GB"/>
        </w:rPr>
        <w:t xml:space="preserve"> and</w:t>
      </w:r>
      <w:r w:rsidRPr="0099590F">
        <w:rPr>
          <w:lang w:val="en-GB"/>
        </w:rPr>
        <w:t xml:space="preserve"> then pooled by individual (one BS pool and one oxBS pool per individual) at an equimolar ratio. 5 µL of each pool w</w:t>
      </w:r>
      <w:r>
        <w:rPr>
          <w:lang w:val="en-GB"/>
        </w:rPr>
        <w:t>as</w:t>
      </w:r>
      <w:r w:rsidRPr="0099590F">
        <w:rPr>
          <w:lang w:val="en-GB"/>
        </w:rPr>
        <w:t xml:space="preserve"> tagmentated and amplified using the </w:t>
      </w:r>
      <w:proofErr w:type="spellStart"/>
      <w:r w:rsidRPr="0099590F">
        <w:rPr>
          <w:lang w:val="en-GB"/>
        </w:rPr>
        <w:t>Nextera</w:t>
      </w:r>
      <w:proofErr w:type="spellEnd"/>
      <w:r w:rsidRPr="0099590F">
        <w:rPr>
          <w:lang w:val="en-GB"/>
        </w:rPr>
        <w:t xml:space="preserve"> XT DNA Sample Preparation Kit (Illumina, </w:t>
      </w:r>
      <w:r>
        <w:rPr>
          <w:lang w:val="en-GB"/>
        </w:rPr>
        <w:t>#</w:t>
      </w:r>
      <w:r w:rsidRPr="0099590F">
        <w:rPr>
          <w:lang w:val="en-GB"/>
        </w:rPr>
        <w:t xml:space="preserve">FC-131-1096) and </w:t>
      </w:r>
      <w:proofErr w:type="spellStart"/>
      <w:r w:rsidRPr="0099590F">
        <w:rPr>
          <w:lang w:val="en-GB"/>
        </w:rPr>
        <w:t>Nextera</w:t>
      </w:r>
      <w:proofErr w:type="spellEnd"/>
      <w:r w:rsidRPr="0099590F">
        <w:rPr>
          <w:lang w:val="en-GB"/>
        </w:rPr>
        <w:t xml:space="preserve"> XT Index Kit (Illumina, </w:t>
      </w:r>
      <w:r>
        <w:rPr>
          <w:lang w:val="en-GB"/>
        </w:rPr>
        <w:t>#</w:t>
      </w:r>
      <w:r w:rsidRPr="0099590F">
        <w:rPr>
          <w:lang w:val="en-GB"/>
        </w:rPr>
        <w:t xml:space="preserve">FC-131-1002) according to </w:t>
      </w:r>
      <w:r>
        <w:rPr>
          <w:lang w:val="en-GB"/>
        </w:rPr>
        <w:t xml:space="preserve">the </w:t>
      </w:r>
      <w:r w:rsidRPr="0099590F">
        <w:rPr>
          <w:lang w:val="en-GB"/>
        </w:rPr>
        <w:t>manufacturer’s instructions. A</w:t>
      </w:r>
      <w:r>
        <w:rPr>
          <w:lang w:val="en-GB"/>
        </w:rPr>
        <w:t>fter bead-based purification, l</w:t>
      </w:r>
      <w:r w:rsidRPr="0099590F">
        <w:rPr>
          <w:lang w:val="en-GB"/>
        </w:rPr>
        <w:t xml:space="preserve">ibraries were again analysed on a </w:t>
      </w:r>
      <w:proofErr w:type="spellStart"/>
      <w:r w:rsidRPr="0099590F">
        <w:rPr>
          <w:lang w:val="en-GB"/>
        </w:rPr>
        <w:t>LabChip</w:t>
      </w:r>
      <w:proofErr w:type="spellEnd"/>
      <w:r w:rsidRPr="0099590F">
        <w:rPr>
          <w:lang w:val="en-GB"/>
        </w:rPr>
        <w:t xml:space="preserve"> GX Analyser (Perkin-Elmer) to determine the average size of the fragments. Concentrations were measured by qPCR using the KAPA Library Quantification Kit (Roche, </w:t>
      </w:r>
      <w:r>
        <w:rPr>
          <w:lang w:val="en-GB"/>
        </w:rPr>
        <w:t>#</w:t>
      </w:r>
      <w:r w:rsidRPr="0099590F">
        <w:rPr>
          <w:lang w:val="en-GB"/>
        </w:rPr>
        <w:t xml:space="preserve">07960140001). The final concentration was calculated as raw qPCR concentration x 452/size average. Libraries with different sample indexes (96) were combined at equimolar ratios resulting in one BS pool containing all PCRs of all </w:t>
      </w:r>
      <w:r>
        <w:rPr>
          <w:lang w:val="en-GB"/>
        </w:rPr>
        <w:t xml:space="preserve">BS </w:t>
      </w:r>
      <w:r w:rsidRPr="0099590F">
        <w:rPr>
          <w:lang w:val="en-GB"/>
        </w:rPr>
        <w:t>treated samples and one pool containing all PCRs of all indexed ox</w:t>
      </w:r>
      <w:r>
        <w:rPr>
          <w:lang w:val="en-GB"/>
        </w:rPr>
        <w:t>BS</w:t>
      </w:r>
      <w:r w:rsidRPr="0099590F">
        <w:rPr>
          <w:lang w:val="en-GB"/>
        </w:rPr>
        <w:t xml:space="preserve"> samples</w:t>
      </w:r>
      <w:r>
        <w:rPr>
          <w:lang w:val="en-GB"/>
        </w:rPr>
        <w:t xml:space="preserve"> and sequenced</w:t>
      </w:r>
      <w:r w:rsidRPr="0099590F">
        <w:rPr>
          <w:lang w:val="en-GB"/>
        </w:rPr>
        <w:t xml:space="preserve"> on a </w:t>
      </w:r>
      <w:proofErr w:type="spellStart"/>
      <w:r w:rsidRPr="0099590F">
        <w:rPr>
          <w:lang w:val="en-GB"/>
        </w:rPr>
        <w:t>MiSeq</w:t>
      </w:r>
      <w:proofErr w:type="spellEnd"/>
      <w:r w:rsidRPr="0099590F">
        <w:rPr>
          <w:lang w:val="en-GB"/>
        </w:rPr>
        <w:t xml:space="preserve"> </w:t>
      </w:r>
      <w:r>
        <w:rPr>
          <w:lang w:val="en-GB"/>
        </w:rPr>
        <w:t xml:space="preserve">instrument (Illumina) </w:t>
      </w:r>
      <w:r w:rsidRPr="0099590F">
        <w:rPr>
          <w:lang w:val="en-GB"/>
        </w:rPr>
        <w:t>in paired</w:t>
      </w:r>
      <w:r>
        <w:rPr>
          <w:lang w:val="en-GB"/>
        </w:rPr>
        <w:t>-</w:t>
      </w:r>
      <w:r w:rsidRPr="0099590F">
        <w:rPr>
          <w:lang w:val="en-GB"/>
        </w:rPr>
        <w:t xml:space="preserve">end modus with </w:t>
      </w:r>
      <w:r>
        <w:rPr>
          <w:lang w:val="en-GB"/>
        </w:rPr>
        <w:t xml:space="preserve">a </w:t>
      </w:r>
      <w:r w:rsidRPr="0099590F">
        <w:rPr>
          <w:lang w:val="en-GB"/>
        </w:rPr>
        <w:t>2 x 75 bp read length.</w:t>
      </w:r>
    </w:p>
    <w:p w14:paraId="1A37EB13" w14:textId="77777777" w:rsidR="003D484B" w:rsidRPr="0099590F" w:rsidRDefault="003D484B" w:rsidP="00B71279">
      <w:pPr>
        <w:pStyle w:val="Overskrift3"/>
        <w:numPr>
          <w:ilvl w:val="0"/>
          <w:numId w:val="0"/>
        </w:numPr>
        <w:spacing w:line="240" w:lineRule="auto"/>
        <w:ind w:left="720" w:hanging="720"/>
        <w:rPr>
          <w:lang w:val="en-GB"/>
        </w:rPr>
      </w:pPr>
      <w:r>
        <w:rPr>
          <w:lang w:val="en-GB"/>
        </w:rPr>
        <w:t>Data analysis</w:t>
      </w:r>
      <w:r w:rsidR="00F8376E">
        <w:rPr>
          <w:lang w:val="en-GB"/>
        </w:rPr>
        <w:t xml:space="preserve"> for amplicon sequencing </w:t>
      </w:r>
    </w:p>
    <w:p w14:paraId="6E41F9E9" w14:textId="5404E4DF" w:rsidR="003D484B" w:rsidRDefault="003D484B" w:rsidP="00B71279">
      <w:pPr>
        <w:spacing w:line="240" w:lineRule="auto"/>
        <w:jc w:val="both"/>
        <w:rPr>
          <w:lang w:val="en-GB"/>
        </w:rPr>
      </w:pPr>
      <w:r w:rsidRPr="0099590F">
        <w:rPr>
          <w:lang w:val="en-GB"/>
        </w:rPr>
        <w:t>Adapters were trimmed from raw sequences using trimmomatic1 v</w:t>
      </w:r>
      <w:r>
        <w:rPr>
          <w:lang w:val="en-GB"/>
        </w:rPr>
        <w:t>.</w:t>
      </w:r>
      <w:r w:rsidRPr="0099590F">
        <w:rPr>
          <w:lang w:val="en-GB"/>
        </w:rPr>
        <w:t xml:space="preserve"> 0.32</w:t>
      </w:r>
      <w:r>
        <w:rPr>
          <w:lang w:val="en-GB"/>
        </w:rPr>
        <w:t xml:space="preserve"> trimming b</w:t>
      </w:r>
      <w:r w:rsidRPr="0099590F">
        <w:rPr>
          <w:lang w:val="en-GB"/>
        </w:rPr>
        <w:t xml:space="preserve">ases with quality under 30 and sequences with less than 50 bases between adapters. Trimmed sequences were mapped to the </w:t>
      </w:r>
      <w:r>
        <w:rPr>
          <w:lang w:val="en-GB"/>
        </w:rPr>
        <w:t>GRCh37</w:t>
      </w:r>
      <w:r w:rsidRPr="0099590F">
        <w:rPr>
          <w:lang w:val="en-GB"/>
        </w:rPr>
        <w:t xml:space="preserve"> using </w:t>
      </w:r>
      <w:proofErr w:type="spellStart"/>
      <w:r>
        <w:rPr>
          <w:lang w:val="en-GB"/>
        </w:rPr>
        <w:t>b</w:t>
      </w:r>
      <w:r w:rsidRPr="0099590F">
        <w:rPr>
          <w:lang w:val="en-GB"/>
        </w:rPr>
        <w:t>ismark</w:t>
      </w:r>
      <w:proofErr w:type="spellEnd"/>
      <w:r w:rsidRPr="0099590F">
        <w:rPr>
          <w:lang w:val="en-GB"/>
        </w:rPr>
        <w:t xml:space="preserve"> </w:t>
      </w:r>
      <w:r>
        <w:rPr>
          <w:lang w:val="en-GB"/>
        </w:rPr>
        <w:t xml:space="preserve">v. </w:t>
      </w:r>
      <w:r w:rsidRPr="0099590F">
        <w:rPr>
          <w:lang w:val="en-GB"/>
        </w:rPr>
        <w:t xml:space="preserve">0.19.0. Methylation levels at CpG sites mapping to the regions of interest were obtained using in-house R scripts. CpGs were included in the analysis if more than 30 read counts for the respective CpG were available. </w:t>
      </w:r>
      <w:r>
        <w:rPr>
          <w:lang w:val="en-GB"/>
        </w:rPr>
        <w:t>5</w:t>
      </w:r>
      <w:r w:rsidRPr="0099590F">
        <w:rPr>
          <w:lang w:val="en-GB"/>
        </w:rPr>
        <w:t xml:space="preserve">hmC levels were calculated by subtracting </w:t>
      </w:r>
      <w:r>
        <w:rPr>
          <w:lang w:val="en-GB"/>
        </w:rPr>
        <w:t>5</w:t>
      </w:r>
      <w:r w:rsidRPr="0099590F">
        <w:rPr>
          <w:lang w:val="en-GB"/>
        </w:rPr>
        <w:t xml:space="preserve">mC levels (oxBS) from </w:t>
      </w:r>
      <w:r>
        <w:rPr>
          <w:lang w:val="en-GB"/>
        </w:rPr>
        <w:t>total</w:t>
      </w:r>
      <w:r w:rsidRPr="0099590F">
        <w:rPr>
          <w:lang w:val="en-GB"/>
        </w:rPr>
        <w:t xml:space="preserve"> methylation levels (BS). </w:t>
      </w:r>
      <w:r>
        <w:rPr>
          <w:lang w:val="en-GB"/>
        </w:rPr>
        <w:t>5</w:t>
      </w:r>
      <w:r w:rsidRPr="0099590F">
        <w:rPr>
          <w:lang w:val="en-GB"/>
        </w:rPr>
        <w:t xml:space="preserve">hmC values </w:t>
      </w:r>
      <w:r>
        <w:rPr>
          <w:lang w:val="en-GB"/>
        </w:rPr>
        <w:t xml:space="preserve">below </w:t>
      </w:r>
      <w:r w:rsidRPr="0099590F">
        <w:rPr>
          <w:lang w:val="en-GB"/>
        </w:rPr>
        <w:t xml:space="preserve">0 were </w:t>
      </w:r>
      <w:r>
        <w:rPr>
          <w:lang w:val="en-GB"/>
        </w:rPr>
        <w:t>treated</w:t>
      </w:r>
      <w:r w:rsidRPr="0099590F">
        <w:rPr>
          <w:lang w:val="en-GB"/>
        </w:rPr>
        <w:t xml:space="preserve"> as 0. </w:t>
      </w:r>
      <w:r>
        <w:rPr>
          <w:lang w:val="en-GB"/>
        </w:rPr>
        <w:t>Total</w:t>
      </w:r>
      <w:r w:rsidRPr="0099590F">
        <w:rPr>
          <w:lang w:val="en-GB"/>
        </w:rPr>
        <w:t xml:space="preserve"> </w:t>
      </w:r>
      <w:r>
        <w:rPr>
          <w:lang w:val="en-GB"/>
        </w:rPr>
        <w:t>m</w:t>
      </w:r>
      <w:r w:rsidRPr="0099590F">
        <w:rPr>
          <w:lang w:val="en-GB"/>
        </w:rPr>
        <w:t xml:space="preserve">ethylation, mean </w:t>
      </w:r>
      <w:r>
        <w:rPr>
          <w:lang w:val="en-GB"/>
        </w:rPr>
        <w:t>5mC</w:t>
      </w:r>
      <w:r w:rsidRPr="0099590F">
        <w:rPr>
          <w:lang w:val="en-GB"/>
        </w:rPr>
        <w:t xml:space="preserve"> and </w:t>
      </w:r>
      <w:r>
        <w:rPr>
          <w:lang w:val="en-GB"/>
        </w:rPr>
        <w:t xml:space="preserve">5hmC </w:t>
      </w:r>
      <w:r w:rsidRPr="0099590F">
        <w:rPr>
          <w:lang w:val="en-GB"/>
        </w:rPr>
        <w:t>levels were calculated for patient and control group</w:t>
      </w:r>
      <w:r>
        <w:rPr>
          <w:lang w:val="en-GB"/>
        </w:rPr>
        <w:t>s</w:t>
      </w:r>
      <w:r w:rsidRPr="0099590F">
        <w:rPr>
          <w:lang w:val="en-GB"/>
        </w:rPr>
        <w:t>, as well as the</w:t>
      </w:r>
      <w:r>
        <w:rPr>
          <w:lang w:val="en-GB"/>
        </w:rPr>
        <w:t xml:space="preserve"> methylation differences</w:t>
      </w:r>
      <w:r w:rsidRPr="0099590F">
        <w:rPr>
          <w:lang w:val="en-GB"/>
        </w:rPr>
        <w:t xml:space="preserve"> between the two groups. DNA methylation differences were assessed using a Wilcoxon test with </w:t>
      </w:r>
      <w:r w:rsidRPr="00906F3C">
        <w:rPr>
          <w:i/>
          <w:lang w:val="en-GB"/>
        </w:rPr>
        <w:t>P</w:t>
      </w:r>
      <w:r w:rsidRPr="0099590F">
        <w:rPr>
          <w:lang w:val="en-GB"/>
        </w:rPr>
        <w:t>&lt;0.05 considered as significant.</w:t>
      </w:r>
    </w:p>
    <w:p w14:paraId="741D60D1" w14:textId="77777777" w:rsidR="003D484B" w:rsidRDefault="00864E31" w:rsidP="00B71279">
      <w:pPr>
        <w:pStyle w:val="Overskrift2"/>
        <w:numPr>
          <w:ilvl w:val="0"/>
          <w:numId w:val="0"/>
        </w:numPr>
        <w:spacing w:line="240" w:lineRule="auto"/>
        <w:ind w:left="576" w:hanging="576"/>
        <w:rPr>
          <w:lang w:val="en-GB"/>
        </w:rPr>
      </w:pPr>
      <w:r>
        <w:rPr>
          <w:lang w:val="en-GB"/>
        </w:rPr>
        <w:t>RNA Extraction</w:t>
      </w:r>
    </w:p>
    <w:p w14:paraId="261837D3" w14:textId="35E5EB3D" w:rsidR="00864E31" w:rsidRDefault="004D1ADC" w:rsidP="00B71279">
      <w:pPr>
        <w:spacing w:line="240" w:lineRule="auto"/>
        <w:jc w:val="both"/>
        <w:rPr>
          <w:lang w:val="en-GB"/>
        </w:rPr>
      </w:pPr>
      <w:r>
        <w:rPr>
          <w:lang w:val="en-GB"/>
        </w:rPr>
        <w:t xml:space="preserve">RNA was extracted using the </w:t>
      </w:r>
      <w:proofErr w:type="spellStart"/>
      <w:r>
        <w:rPr>
          <w:lang w:val="en-GB"/>
        </w:rPr>
        <w:t>miRNeasy</w:t>
      </w:r>
      <w:proofErr w:type="spellEnd"/>
      <w:r>
        <w:rPr>
          <w:lang w:val="en-GB"/>
        </w:rPr>
        <w:t xml:space="preserve"> Mini Kit (Qiagen; #217004) following the manufacturer’s instructions</w:t>
      </w:r>
      <w:r>
        <w:rPr>
          <w:lang w:val="en-GB"/>
        </w:rPr>
        <w:fldChar w:fldCharType="begin"/>
      </w:r>
      <w:r w:rsidR="00F7310B">
        <w:rPr>
          <w:lang w:val="en-GB"/>
        </w:rPr>
        <w:instrText xml:space="preserve"> ADDIN EN.CITE &lt;EndNote&gt;&lt;Cite&gt;&lt;Author&gt;Rydbirk&lt;/Author&gt;&lt;Year&gt;2017&lt;/Year&gt;&lt;RecNum&gt;296&lt;/RecNum&gt;&lt;DisplayText&gt;[2]&lt;/DisplayText&gt;&lt;record&gt;&lt;rec-number&gt;296&lt;/rec-number&gt;&lt;foreign-keys&gt;&lt;key app="EN" db-id="eexvtdaeqf9096e9dsa5wrxb2tv22wvxpdzw" timestamp="1500970172"&gt;296&lt;/key&gt;&lt;/foreign-keys&gt;&lt;ref-type name="Journal Article"&gt;17&lt;/ref-type&gt;&lt;contributors&gt;&lt;authors&gt;&lt;author&gt;Rydbirk, Rasmus&lt;/author&gt;&lt;author&gt;Elfving, Betina&lt;/author&gt;&lt;author&gt;Andersen, Mille Dahl&lt;/author&gt;&lt;author&gt;Langbøl, Mia Aggergaard&lt;/author&gt;&lt;author&gt;Folke, Jonas&lt;/author&gt;&lt;author&gt;Winge, Kristian&lt;/author&gt;&lt;author&gt;Pakkenberg, Bente&lt;/author&gt;&lt;author&gt;Brudek, Tomasz&lt;/author&gt;&lt;author&gt;Aznar, Susana&lt;/author&gt;&lt;/authors&gt;&lt;/contributors&gt;&lt;titles&gt;&lt;title&gt;Cytokine profiling in the prefrontal cortex of Parkinson&amp;apos;s Disease and Multiple System Atrophy patients&lt;/title&gt;&lt;secondary-title&gt;Neurobiol Dis&lt;/secondary-title&gt;&lt;/titles&gt;&lt;periodical&gt;&lt;full-title&gt;Neurobiol Dis&lt;/full-title&gt;&lt;/periodical&gt;&lt;pages&gt;269-278&lt;/pages&gt;&lt;volume&gt;106&lt;/volume&gt;&lt;keywords&gt;&lt;keyword&gt;Parkinson&amp;apos;s Disease&lt;/keyword&gt;&lt;keyword&gt;Multiple System Atrophy&lt;/keyword&gt;&lt;keyword&gt;Neuroinflammation&lt;/keyword&gt;&lt;keyword&gt;Interleukin-2&lt;/keyword&gt;&lt;keyword&gt;Interleukin-13&lt;/keyword&gt;&lt;keyword&gt;Granulocyte colony-stimulating factor&lt;/keyword&gt;&lt;keyword&gt;Major histocompatibility complex class II&lt;/keyword&gt;&lt;keyword&gt;CD45 reactivity&lt;/keyword&gt;&lt;keyword&gt;S100 calcium binding protein B&lt;/keyword&gt;&lt;keyword&gt;Glycogen synthase kinase 3 beta&lt;/keyword&gt;&lt;/keywords&gt;&lt;dates&gt;&lt;year&gt;2017&lt;/year&gt;&lt;/dates&gt;&lt;isbn&gt;0969-9961&lt;/isbn&gt;&lt;urls&gt;&lt;related-urls&gt;&lt;url&gt;http://www.sciencedirect.com/science/article/pii/S0969996117301651&lt;/url&gt;&lt;/related-urls&gt;&lt;/urls&gt;&lt;electronic-resource-num&gt;10.1016/j.nbd.2017.07.014&lt;/electronic-resource-num&gt;&lt;/record&gt;&lt;/Cite&gt;&lt;/EndNote&gt;</w:instrText>
      </w:r>
      <w:r>
        <w:rPr>
          <w:lang w:val="en-GB"/>
        </w:rPr>
        <w:fldChar w:fldCharType="separate"/>
      </w:r>
      <w:r w:rsidR="00F7310B">
        <w:rPr>
          <w:noProof/>
          <w:lang w:val="en-GB"/>
        </w:rPr>
        <w:t>[2]</w:t>
      </w:r>
      <w:r>
        <w:rPr>
          <w:lang w:val="en-GB"/>
        </w:rPr>
        <w:fldChar w:fldCharType="end"/>
      </w:r>
      <w:r>
        <w:rPr>
          <w:lang w:val="en-GB"/>
        </w:rPr>
        <w:t xml:space="preserve">. </w:t>
      </w:r>
      <w:bookmarkStart w:id="1" w:name="_Hlk33603825"/>
      <w:r>
        <w:rPr>
          <w:lang w:val="en-GB"/>
        </w:rPr>
        <w:t>All reagents were included in the kit unless otherwise noted.</w:t>
      </w:r>
      <w:bookmarkEnd w:id="1"/>
      <w:r>
        <w:rPr>
          <w:lang w:val="en-GB"/>
        </w:rPr>
        <w:t xml:space="preserve"> All reagents were included in the kit unless otherwise noted. </w:t>
      </w:r>
      <w:r w:rsidR="00864E31">
        <w:rPr>
          <w:lang w:val="en-GB"/>
        </w:rPr>
        <w:t>In short, a</w:t>
      </w:r>
      <w:r w:rsidR="00864E31" w:rsidRPr="00AE06CD">
        <w:rPr>
          <w:lang w:val="en-GB"/>
        </w:rPr>
        <w:t xml:space="preserve">pp. 50 mg </w:t>
      </w:r>
      <w:r w:rsidR="00864E31">
        <w:rPr>
          <w:lang w:val="en-GB"/>
        </w:rPr>
        <w:t xml:space="preserve">brain tissue was </w:t>
      </w:r>
      <w:r w:rsidR="00864E31" w:rsidRPr="00AE06CD">
        <w:rPr>
          <w:lang w:val="en-GB"/>
        </w:rPr>
        <w:t>extra</w:t>
      </w:r>
      <w:r w:rsidR="00864E31">
        <w:rPr>
          <w:lang w:val="en-GB"/>
        </w:rPr>
        <w:t xml:space="preserve">cted from frozen human brains stored at -80 </w:t>
      </w:r>
      <w:r w:rsidR="00864E31">
        <w:rPr>
          <w:rFonts w:cstheme="minorHAnsi"/>
          <w:lang w:val="en-GB"/>
        </w:rPr>
        <w:t>°</w:t>
      </w:r>
      <w:r w:rsidR="00864E31">
        <w:rPr>
          <w:lang w:val="en-GB"/>
        </w:rPr>
        <w:t>C and homogenized by pipetting in lysis reagent. Samples were phase separated using chloroform (JT Baker, #</w:t>
      </w:r>
      <w:r w:rsidR="00864E31" w:rsidRPr="003B0981">
        <w:rPr>
          <w:lang w:val="en-GB"/>
        </w:rPr>
        <w:t xml:space="preserve"> 01878410109)</w:t>
      </w:r>
      <w:r w:rsidR="00864E31">
        <w:rPr>
          <w:lang w:val="en-GB"/>
        </w:rPr>
        <w:t xml:space="preserve"> before on-column DNase treatment. RNA was eluted in nuclease-free </w:t>
      </w:r>
      <w:r w:rsidR="00864E31">
        <w:rPr>
          <w:lang w:val="en-GB"/>
        </w:rPr>
        <w:lastRenderedPageBreak/>
        <w:t xml:space="preserve">water. Samples were aliquoted and immediately stored at -80 </w:t>
      </w:r>
      <w:r w:rsidR="00864E31">
        <w:rPr>
          <w:rFonts w:cstheme="minorHAnsi"/>
          <w:lang w:val="en-GB"/>
        </w:rPr>
        <w:t>°</w:t>
      </w:r>
      <w:r w:rsidR="00864E31">
        <w:rPr>
          <w:lang w:val="en-GB"/>
        </w:rPr>
        <w:t xml:space="preserve">C. RNA integrity was assessed using the </w:t>
      </w:r>
      <w:r w:rsidR="00864E31" w:rsidRPr="00954CDC">
        <w:rPr>
          <w:lang w:val="en-GB"/>
        </w:rPr>
        <w:t xml:space="preserve">RNA 6000 Nano Kit </w:t>
      </w:r>
      <w:r w:rsidR="00864E31">
        <w:rPr>
          <w:lang w:val="en-GB"/>
        </w:rPr>
        <w:t>(Agilent Technologies; #5067-1511) following the manufacturer’s instructions on an Agilent 2100 Bioanalyzer system (Agilent Technologies). All samples had RIN &gt; 3.95 following previous established standards for RNA analysis in human brain tissue</w:t>
      </w:r>
      <w:r w:rsidR="00864E31">
        <w:rPr>
          <w:lang w:val="en-GB"/>
        </w:rPr>
        <w:fldChar w:fldCharType="begin"/>
      </w:r>
      <w:r w:rsidR="00F7310B">
        <w:rPr>
          <w:lang w:val="en-GB"/>
        </w:rPr>
        <w:instrText xml:space="preserve"> ADDIN EN.CITE &lt;EndNote&gt;&lt;Cite&gt;&lt;Author&gt;Rydbirk&lt;/Author&gt;&lt;Year&gt;2016&lt;/Year&gt;&lt;RecNum&gt;210&lt;/RecNum&gt;&lt;DisplayText&gt;[3]&lt;/DisplayText&gt;&lt;record&gt;&lt;rec-number&gt;210&lt;/rec-number&gt;&lt;foreign-keys&gt;&lt;key app="EN" db-id="eexvtdaeqf9096e9dsa5wrxb2tv22wvxpdzw" timestamp="1500286231"&gt;210&lt;/key&gt;&lt;/foreign-keys&gt;&lt;ref-type name="Journal Article"&gt;17&lt;/ref-type&gt;&lt;contributors&gt;&lt;authors&gt;&lt;author&gt;Rydbirk, Rasmus&lt;/author&gt;&lt;author&gt;Folke, Jonas&lt;/author&gt;&lt;author&gt;Winge, Kristian&lt;/author&gt;&lt;author&gt;Aznar, Susana&lt;/author&gt;&lt;author&gt;Pakkenberg, Bente&lt;/author&gt;&lt;author&gt;Brudek, Tomasz&lt;/author&gt;&lt;/authors&gt;&lt;/contributors&gt;&lt;titles&gt;&lt;title&gt;Assessment of brain reference genes for RT-qPCR studies in neurodegenerative diseases&lt;/title&gt;&lt;secondary-title&gt;Sci Rep&lt;/secondary-title&gt;&lt;/titles&gt;&lt;periodical&gt;&lt;full-title&gt;Sci Rep&lt;/full-title&gt;&lt;/periodical&gt;&lt;pages&gt;37116&lt;/pages&gt;&lt;volume&gt;6&lt;/volume&gt;&lt;dates&gt;&lt;year&gt;2016&lt;/year&gt;&lt;pub-dates&gt;&lt;date&gt;11/17/online&lt;/date&gt;&lt;/pub-dates&gt;&lt;/dates&gt;&lt;work-type&gt;Article&lt;/work-type&gt;&lt;urls&gt;&lt;related-urls&gt;&lt;url&gt;http://dx.doi.org/10.1038/srep37116&lt;/url&gt;&lt;/related-urls&gt;&lt;/urls&gt;&lt;electronic-resource-num&gt;10.1038/srep37116&lt;/electronic-resource-num&gt;&lt;/record&gt;&lt;/Cite&gt;&lt;/EndNote&gt;</w:instrText>
      </w:r>
      <w:r w:rsidR="00864E31">
        <w:rPr>
          <w:lang w:val="en-GB"/>
        </w:rPr>
        <w:fldChar w:fldCharType="separate"/>
      </w:r>
      <w:r w:rsidR="00F7310B">
        <w:rPr>
          <w:noProof/>
          <w:lang w:val="en-GB"/>
        </w:rPr>
        <w:t>[3]</w:t>
      </w:r>
      <w:r w:rsidR="00864E31">
        <w:rPr>
          <w:lang w:val="en-GB"/>
        </w:rPr>
        <w:fldChar w:fldCharType="end"/>
      </w:r>
      <w:r w:rsidR="00864E31">
        <w:rPr>
          <w:lang w:val="en-GB"/>
        </w:rPr>
        <w:t xml:space="preserve">. DNA contamination was assessed using primers covering an intronic region of </w:t>
      </w:r>
      <w:r w:rsidR="00864E31">
        <w:rPr>
          <w:i/>
          <w:lang w:val="en-GB"/>
        </w:rPr>
        <w:t>GAPDH</w:t>
      </w:r>
      <w:r w:rsidR="00864E31">
        <w:rPr>
          <w:lang w:val="en-GB"/>
        </w:rPr>
        <w:t xml:space="preserve">. If products were detected based on melting curve analysis, samples were DNase treated using the TURBO DNA-free Kit (Life Technologies; #AM1907) following the manufacturer’s instructions. Samples were converted to cDNA using </w:t>
      </w:r>
      <w:proofErr w:type="spellStart"/>
      <w:r w:rsidR="00864E31">
        <w:rPr>
          <w:lang w:val="en-GB"/>
        </w:rPr>
        <w:t>qScript</w:t>
      </w:r>
      <w:proofErr w:type="spellEnd"/>
      <w:r w:rsidR="00864E31">
        <w:rPr>
          <w:lang w:val="en-GB"/>
        </w:rPr>
        <w:t xml:space="preserve"> cDNA </w:t>
      </w:r>
      <w:proofErr w:type="spellStart"/>
      <w:r w:rsidR="00864E31">
        <w:rPr>
          <w:lang w:val="en-GB"/>
        </w:rPr>
        <w:t>SuperMix</w:t>
      </w:r>
      <w:proofErr w:type="spellEnd"/>
      <w:r w:rsidR="00864E31">
        <w:rPr>
          <w:lang w:val="en-GB"/>
        </w:rPr>
        <w:t xml:space="preserve"> (Quanta </w:t>
      </w:r>
      <w:proofErr w:type="spellStart"/>
      <w:r w:rsidR="00864E31">
        <w:rPr>
          <w:lang w:val="en-GB"/>
        </w:rPr>
        <w:t>BioSciences</w:t>
      </w:r>
      <w:proofErr w:type="spellEnd"/>
      <w:r w:rsidR="00864E31">
        <w:rPr>
          <w:lang w:val="en-GB"/>
        </w:rPr>
        <w:t>; #95048) following the manufacturer’s instructions. Samples were diluted in nuclease-free H</w:t>
      </w:r>
      <w:r w:rsidR="00864E31" w:rsidRPr="008F1B3D">
        <w:rPr>
          <w:vertAlign w:val="subscript"/>
          <w:lang w:val="en-GB"/>
        </w:rPr>
        <w:t>2</w:t>
      </w:r>
      <w:r w:rsidR="00864E31">
        <w:rPr>
          <w:lang w:val="en-GB"/>
        </w:rPr>
        <w:t xml:space="preserve">O to a concentration of 150 ng/µl measured on a </w:t>
      </w:r>
      <w:proofErr w:type="spellStart"/>
      <w:r w:rsidR="00864E31">
        <w:rPr>
          <w:lang w:val="en-GB"/>
        </w:rPr>
        <w:t>NanoDrop</w:t>
      </w:r>
      <w:proofErr w:type="spellEnd"/>
      <w:r w:rsidR="00864E31">
        <w:rPr>
          <w:lang w:val="en-GB"/>
        </w:rPr>
        <w:t xml:space="preserve"> 2000C (Thermo Scientific) before </w:t>
      </w:r>
      <w:proofErr w:type="spellStart"/>
      <w:r w:rsidR="00864E31">
        <w:rPr>
          <w:lang w:val="en-GB"/>
        </w:rPr>
        <w:t>aliquotation</w:t>
      </w:r>
      <w:proofErr w:type="spellEnd"/>
      <w:r w:rsidR="00864E31">
        <w:rPr>
          <w:lang w:val="en-GB"/>
        </w:rPr>
        <w:t xml:space="preserve"> and long-term storage at -80 </w:t>
      </w:r>
      <w:r w:rsidR="00864E31">
        <w:rPr>
          <w:rFonts w:cstheme="minorHAnsi"/>
          <w:lang w:val="en-GB"/>
        </w:rPr>
        <w:t>°</w:t>
      </w:r>
      <w:r w:rsidR="00864E31">
        <w:rPr>
          <w:lang w:val="en-GB"/>
        </w:rPr>
        <w:t xml:space="preserve">C, or short-term storage at -20 </w:t>
      </w:r>
      <w:r w:rsidR="00864E31">
        <w:rPr>
          <w:rFonts w:cstheme="minorHAnsi"/>
          <w:lang w:val="en-GB"/>
        </w:rPr>
        <w:t>°</w:t>
      </w:r>
      <w:r w:rsidR="00864E31">
        <w:rPr>
          <w:lang w:val="en-GB"/>
        </w:rPr>
        <w:t>C.</w:t>
      </w:r>
    </w:p>
    <w:p w14:paraId="0A2263E9" w14:textId="77777777" w:rsidR="00417492" w:rsidRDefault="00417492" w:rsidP="00B71279">
      <w:pPr>
        <w:pStyle w:val="Overskrift2"/>
        <w:numPr>
          <w:ilvl w:val="0"/>
          <w:numId w:val="0"/>
        </w:numPr>
        <w:spacing w:line="240" w:lineRule="auto"/>
        <w:ind w:left="576" w:hanging="576"/>
        <w:rPr>
          <w:lang w:val="en-GB"/>
        </w:rPr>
      </w:pPr>
      <w:r>
        <w:rPr>
          <w:lang w:val="en-GB"/>
        </w:rPr>
        <w:t>RT-qPCR</w:t>
      </w:r>
    </w:p>
    <w:p w14:paraId="645F9558" w14:textId="5383909A" w:rsidR="00417492" w:rsidRDefault="00417492" w:rsidP="00B71279">
      <w:pPr>
        <w:spacing w:line="240" w:lineRule="auto"/>
        <w:jc w:val="both"/>
        <w:rPr>
          <w:lang w:val="en-GB"/>
        </w:rPr>
      </w:pPr>
      <w:r>
        <w:rPr>
          <w:lang w:val="en-GB"/>
        </w:rPr>
        <w:t xml:space="preserve">On each plate, cDNA for </w:t>
      </w:r>
      <w:r w:rsidRPr="009566B5">
        <w:rPr>
          <w:lang w:val="en-GB"/>
        </w:rPr>
        <w:t>Human Reference</w:t>
      </w:r>
      <w:r>
        <w:rPr>
          <w:lang w:val="en-GB"/>
        </w:rPr>
        <w:t xml:space="preserve"> </w:t>
      </w:r>
      <w:r w:rsidRPr="009566B5">
        <w:rPr>
          <w:lang w:val="en-GB"/>
        </w:rPr>
        <w:t>Total RNA (</w:t>
      </w:r>
      <w:proofErr w:type="spellStart"/>
      <w:r w:rsidRPr="009566B5">
        <w:rPr>
          <w:lang w:val="en-GB"/>
        </w:rPr>
        <w:t>Clontech</w:t>
      </w:r>
      <w:proofErr w:type="spellEnd"/>
      <w:r w:rsidRPr="009566B5">
        <w:rPr>
          <w:lang w:val="en-GB"/>
        </w:rPr>
        <w:t>; #636538)</w:t>
      </w:r>
      <w:r>
        <w:rPr>
          <w:lang w:val="en-GB"/>
        </w:rPr>
        <w:t xml:space="preserve"> was included for calibration</w:t>
      </w:r>
      <w:r>
        <w:rPr>
          <w:lang w:val="en-GB"/>
        </w:rPr>
        <w:fldChar w:fldCharType="begin"/>
      </w:r>
      <w:r w:rsidR="00F7310B">
        <w:rPr>
          <w:lang w:val="en-GB"/>
        </w:rPr>
        <w:instrText xml:space="preserve"> ADDIN EN.CITE &lt;EndNote&gt;&lt;Cite&gt;&lt;Author&gt;Pfaffl&lt;/Author&gt;&lt;Year&gt;2001&lt;/Year&gt;&lt;RecNum&gt;70&lt;/RecNum&gt;&lt;DisplayText&gt;[4]&lt;/DisplayText&gt;&lt;record&gt;&lt;rec-number&gt;70&lt;/rec-number&gt;&lt;foreign-keys&gt;&lt;key app="EN" db-id="eexvtdaeqf9096e9dsa5wrxb2tv22wvxpdzw" timestamp="0"&gt;70&lt;/key&gt;&lt;/foreign-keys&gt;&lt;ref-type name="Journal Article"&gt;17&lt;/ref-type&gt;&lt;contributors&gt;&lt;authors&gt;&lt;author&gt;Pfaffl, Michael W.&lt;/author&gt;&lt;/authors&gt;&lt;/contributors&gt;&lt;titles&gt;&lt;title&gt;A new mathematical model for relative quantification in real-time RT–PCR&lt;/title&gt;&lt;secondary-title&gt;Nucleic Acids Res&lt;/secondary-title&gt;&lt;/titles&gt;&lt;periodical&gt;&lt;full-title&gt;Nucleic Acids Res&lt;/full-title&gt;&lt;/periodical&gt;&lt;pages&gt;e45&lt;/pages&gt;&lt;volume&gt;29&lt;/volume&gt;&lt;number&gt;9&lt;/number&gt;&lt;dates&gt;&lt;year&gt;2001&lt;/year&gt;&lt;pub-dates&gt;&lt;date&gt;12/18/received&amp;#xD;02/21/revised&amp;#xD;03/14/accepted&lt;/date&gt;&lt;/pub-dates&gt;&lt;/dates&gt;&lt;pub-location&gt;Oxford, UK&lt;/pub-location&gt;&lt;publisher&gt;Oxford University Press&lt;/publisher&gt;&lt;isbn&gt;0305-1048&amp;#xD;1362-4962&lt;/isbn&gt;&lt;accession-num&gt;PMC55695&lt;/accession-num&gt;&lt;urls&gt;&lt;related-urls&gt;&lt;url&gt;http://www.ncbi.nlm.nih.gov/pmc/articles/PMC55695/&lt;/url&gt;&lt;/related-urls&gt;&lt;/urls&gt;&lt;electronic-resource-num&gt;10.1093/nar/29.9.e45&lt;/electronic-resource-num&gt;&lt;remote-database-name&gt;PMC&lt;/remote-database-name&gt;&lt;/record&gt;&lt;/Cite&gt;&lt;/EndNote&gt;</w:instrText>
      </w:r>
      <w:r>
        <w:rPr>
          <w:lang w:val="en-GB"/>
        </w:rPr>
        <w:fldChar w:fldCharType="separate"/>
      </w:r>
      <w:r w:rsidR="00F7310B">
        <w:rPr>
          <w:noProof/>
          <w:lang w:val="en-GB"/>
        </w:rPr>
        <w:t>[4]</w:t>
      </w:r>
      <w:r>
        <w:rPr>
          <w:lang w:val="en-GB"/>
        </w:rPr>
        <w:fldChar w:fldCharType="end"/>
      </w:r>
      <w:r>
        <w:rPr>
          <w:lang w:val="en-GB"/>
        </w:rPr>
        <w:t>. Briefly, 1 µl of samples or calibrator were added in duplicate at a concentration of 150 ng/µl to SYBR Green Master Mix (</w:t>
      </w:r>
      <w:r w:rsidRPr="00CB6C9E">
        <w:rPr>
          <w:lang w:val="en-GB"/>
        </w:rPr>
        <w:t>Applied Biosystems</w:t>
      </w:r>
      <w:r>
        <w:rPr>
          <w:lang w:val="en-GB"/>
        </w:rPr>
        <w:t>;</w:t>
      </w:r>
      <w:r w:rsidRPr="00CB6C9E">
        <w:rPr>
          <w:lang w:val="en-GB"/>
        </w:rPr>
        <w:t xml:space="preserve"> </w:t>
      </w:r>
      <w:r>
        <w:rPr>
          <w:lang w:val="en-GB"/>
        </w:rPr>
        <w:t>#</w:t>
      </w:r>
      <w:r w:rsidRPr="00CB6C9E">
        <w:rPr>
          <w:lang w:val="en-GB"/>
        </w:rPr>
        <w:t>4309155</w:t>
      </w:r>
      <w:r>
        <w:rPr>
          <w:lang w:val="en-GB"/>
        </w:rPr>
        <w:t>) and primers (TAG Copenhagen), with 10 µl total volume per well. Each plate contained a standard curve made from a 7 point 1:3 dilution series of the calibrator. All primers had an efficiency of 94-101% and an R</w:t>
      </w:r>
      <w:r>
        <w:rPr>
          <w:vertAlign w:val="superscript"/>
          <w:lang w:val="en-GB"/>
        </w:rPr>
        <w:t>2</w:t>
      </w:r>
      <w:r>
        <w:rPr>
          <w:lang w:val="en-GB"/>
        </w:rPr>
        <w:t xml:space="preserve">&gt;0.96. Primer concentrations were 300 or 400 nM with an annealing temperature at 56-62 </w:t>
      </w:r>
      <w:r>
        <w:rPr>
          <w:rFonts w:cstheme="minorHAnsi"/>
          <w:lang w:val="en-GB"/>
        </w:rPr>
        <w:t>°</w:t>
      </w:r>
      <w:r>
        <w:rPr>
          <w:lang w:val="en-GB"/>
        </w:rPr>
        <w:t xml:space="preserve">C. Samples were quantified on a QuantStudio 3 Real-Time PCR System (Thermo Fischer Scientific) with the following thermal profile: 1 cycle at 95 </w:t>
      </w:r>
      <w:r>
        <w:rPr>
          <w:rFonts w:cstheme="minorHAnsi"/>
          <w:lang w:val="en-GB"/>
        </w:rPr>
        <w:t>°</w:t>
      </w:r>
      <w:r>
        <w:rPr>
          <w:lang w:val="en-GB"/>
        </w:rPr>
        <w:t xml:space="preserve">C for 20 s; 45 cycles at 95 </w:t>
      </w:r>
      <w:r>
        <w:rPr>
          <w:rFonts w:cstheme="minorHAnsi"/>
          <w:lang w:val="en-GB"/>
        </w:rPr>
        <w:t>°</w:t>
      </w:r>
      <w:r>
        <w:rPr>
          <w:lang w:val="en-GB"/>
        </w:rPr>
        <w:t xml:space="preserve">C for 1 s followed by an annealing step with primer pair-dependent temperature for 20 s and an optional recording step with primer pair-dependent temperature for 10 s; a melting curve ranging from the primer pair-dependent annealing temperature to 95 </w:t>
      </w:r>
      <w:r>
        <w:rPr>
          <w:rFonts w:cstheme="minorHAnsi"/>
          <w:lang w:val="en-GB"/>
        </w:rPr>
        <w:t>°</w:t>
      </w:r>
      <w:r>
        <w:rPr>
          <w:lang w:val="en-GB"/>
        </w:rPr>
        <w:t xml:space="preserve">C. The optional recording step was included if primer dimers were observed on the melting curve in order to eliminate this signal. </w:t>
      </w:r>
    </w:p>
    <w:p w14:paraId="41F1378C" w14:textId="77777777" w:rsidR="00864E31" w:rsidRDefault="00864E31" w:rsidP="00B71279">
      <w:pPr>
        <w:pStyle w:val="Overskrift2"/>
        <w:numPr>
          <w:ilvl w:val="0"/>
          <w:numId w:val="0"/>
        </w:numPr>
        <w:spacing w:line="240" w:lineRule="auto"/>
        <w:ind w:left="576" w:hanging="576"/>
        <w:rPr>
          <w:lang w:val="en-GB"/>
        </w:rPr>
      </w:pPr>
      <w:r>
        <w:rPr>
          <w:lang w:val="en-GB"/>
        </w:rPr>
        <w:t>Flow Cytometry</w:t>
      </w:r>
    </w:p>
    <w:p w14:paraId="5DECC2E2" w14:textId="4A8E89F5" w:rsidR="00864E31" w:rsidRDefault="00864E31" w:rsidP="00B71279">
      <w:pPr>
        <w:spacing w:line="240" w:lineRule="auto"/>
        <w:jc w:val="both"/>
        <w:rPr>
          <w:lang w:val="en-GB"/>
        </w:rPr>
      </w:pPr>
      <w:r>
        <w:rPr>
          <w:lang w:val="en-GB"/>
        </w:rPr>
        <w:t>In short, a total of 56 ml blood was collected in EDTA tubes (</w:t>
      </w:r>
      <w:r w:rsidRPr="00C43EC4">
        <w:rPr>
          <w:lang w:val="en-GB"/>
        </w:rPr>
        <w:t>Greiner Bio-One; #455036</w:t>
      </w:r>
      <w:r>
        <w:rPr>
          <w:lang w:val="en-GB"/>
        </w:rPr>
        <w:t xml:space="preserve">) before phase separation using </w:t>
      </w:r>
      <w:proofErr w:type="spellStart"/>
      <w:r>
        <w:rPr>
          <w:lang w:val="en-GB"/>
        </w:rPr>
        <w:t>Ficoll-Paque</w:t>
      </w:r>
      <w:proofErr w:type="spellEnd"/>
      <w:r>
        <w:rPr>
          <w:lang w:val="en-GB"/>
        </w:rPr>
        <w:t xml:space="preserve"> PLUS (</w:t>
      </w:r>
      <w:r w:rsidRPr="00C43EC4">
        <w:rPr>
          <w:lang w:val="en-GB"/>
        </w:rPr>
        <w:t>GE Healthcare Life Science; #17144003</w:t>
      </w:r>
      <w:r>
        <w:rPr>
          <w:lang w:val="en-GB"/>
        </w:rPr>
        <w:t>). Cells were frozen in RPMI-1640 (</w:t>
      </w:r>
      <w:r w:rsidRPr="00C43EC4">
        <w:rPr>
          <w:lang w:val="en-GB"/>
        </w:rPr>
        <w:t>Sigma-Aldrich; #R5885</w:t>
      </w:r>
      <w:r>
        <w:rPr>
          <w:lang w:val="en-GB"/>
        </w:rPr>
        <w:t>) containing 40% FCS (</w:t>
      </w:r>
      <w:r w:rsidRPr="00C43EC4">
        <w:rPr>
          <w:lang w:val="en-GB"/>
        </w:rPr>
        <w:t>Gibco; #26010-074</w:t>
      </w:r>
      <w:r>
        <w:rPr>
          <w:lang w:val="en-GB"/>
        </w:rPr>
        <w:t xml:space="preserve">) and 10% </w:t>
      </w:r>
      <w:r w:rsidRPr="00C43EC4">
        <w:rPr>
          <w:lang w:val="en-GB"/>
        </w:rPr>
        <w:t>dimethyl sulfoxide (Sigma-Aldrich; #D4540</w:t>
      </w:r>
      <w:r>
        <w:rPr>
          <w:lang w:val="en-GB"/>
        </w:rPr>
        <w:t xml:space="preserve">) and stored at -130 </w:t>
      </w:r>
      <w:r>
        <w:rPr>
          <w:rFonts w:cstheme="minorHAnsi"/>
          <w:lang w:val="en-GB"/>
        </w:rPr>
        <w:t>°</w:t>
      </w:r>
      <w:r>
        <w:rPr>
          <w:lang w:val="en-GB"/>
        </w:rPr>
        <w:t xml:space="preserve">C. Before analysis, PBMCs were thawed, washed and centrifuged in 10% FCS RPMI-1640 for 10 min at 183 x </w:t>
      </w:r>
      <w:r w:rsidRPr="00584EEE">
        <w:rPr>
          <w:i/>
          <w:lang w:val="en-GB"/>
        </w:rPr>
        <w:t>g</w:t>
      </w:r>
      <w:r>
        <w:rPr>
          <w:lang w:val="en-GB"/>
        </w:rPr>
        <w:t xml:space="preserve"> before addition of 200,000 cells per sample to a round bottom plate. Plates were spun and washed before incubation for 30 min in the dark at 4 </w:t>
      </w:r>
      <w:r>
        <w:rPr>
          <w:rFonts w:cstheme="minorHAnsi"/>
          <w:lang w:val="en-GB"/>
        </w:rPr>
        <w:t>°</w:t>
      </w:r>
      <w:r>
        <w:rPr>
          <w:lang w:val="en-GB"/>
        </w:rPr>
        <w:t xml:space="preserve">C with 45 µl antibody staining solution, which contained </w:t>
      </w:r>
      <w:r w:rsidRPr="00C43EC4">
        <w:rPr>
          <w:lang w:val="en-GB"/>
        </w:rPr>
        <w:t>antibodies against TCR-α/β (1:8; BD</w:t>
      </w:r>
      <w:r>
        <w:rPr>
          <w:lang w:val="en-GB"/>
        </w:rPr>
        <w:t xml:space="preserve"> </w:t>
      </w:r>
      <w:r w:rsidRPr="00C43EC4">
        <w:rPr>
          <w:lang w:val="en-GB"/>
        </w:rPr>
        <w:t>Biosciences; #555548), CD3ε (1:50; BioLegend; #300431), CD4 (1:50; BD Biosciences; #564976), CD8 (1:50; BD</w:t>
      </w:r>
      <w:r>
        <w:rPr>
          <w:lang w:val="en-GB"/>
        </w:rPr>
        <w:t xml:space="preserve"> </w:t>
      </w:r>
      <w:r w:rsidRPr="00C43EC4">
        <w:rPr>
          <w:lang w:val="en-GB"/>
        </w:rPr>
        <w:t>Biosciences; #565310), CD14 (1:25; BioLegend; #325618), CD16 (1:25; BioLegend; #302012), CD45R0 (1:50; BD</w:t>
      </w:r>
      <w:r>
        <w:rPr>
          <w:lang w:val="en-GB"/>
        </w:rPr>
        <w:t xml:space="preserve"> </w:t>
      </w:r>
      <w:r w:rsidRPr="00C43EC4">
        <w:rPr>
          <w:lang w:val="en-GB"/>
        </w:rPr>
        <w:t>Biosciences; #562327), CD45RA (1:50; BD Biosciences; #563963), CD56 (1:25; BioLegend; #318334), and CD57</w:t>
      </w:r>
      <w:r>
        <w:rPr>
          <w:lang w:val="en-GB"/>
        </w:rPr>
        <w:t xml:space="preserve"> </w:t>
      </w:r>
      <w:r w:rsidRPr="00C43EC4">
        <w:rPr>
          <w:lang w:val="en-GB"/>
        </w:rPr>
        <w:t xml:space="preserve">(1:25; BD Biosciences; #561906) in Brilliant Stain Buffer (BD Biosciences; #563794). </w:t>
      </w:r>
      <w:r>
        <w:rPr>
          <w:lang w:val="en-GB"/>
        </w:rPr>
        <w:t xml:space="preserve">Cells were washed and centrifuged before incubation for 15 min at room temperature with </w:t>
      </w:r>
      <w:r w:rsidRPr="00C43EC4">
        <w:rPr>
          <w:lang w:val="en-GB"/>
        </w:rPr>
        <w:t>Fixation and Permeabilization</w:t>
      </w:r>
      <w:r>
        <w:rPr>
          <w:lang w:val="en-GB"/>
        </w:rPr>
        <w:t xml:space="preserve"> </w:t>
      </w:r>
      <w:r w:rsidRPr="00C43EC4">
        <w:rPr>
          <w:lang w:val="en-GB"/>
        </w:rPr>
        <w:t>Solution (Buffer A: Invitrogen; #A24217; Buffer B: Invitrogen; #A24218)</w:t>
      </w:r>
      <w:r>
        <w:rPr>
          <w:lang w:val="en-GB"/>
        </w:rPr>
        <w:t xml:space="preserve">. Cells were </w:t>
      </w:r>
      <w:proofErr w:type="spellStart"/>
      <w:r>
        <w:rPr>
          <w:lang w:val="en-GB"/>
        </w:rPr>
        <w:t>resuspensed</w:t>
      </w:r>
      <w:proofErr w:type="spellEnd"/>
      <w:r>
        <w:rPr>
          <w:lang w:val="en-GB"/>
        </w:rPr>
        <w:t xml:space="preserve"> in 1% BSA </w:t>
      </w:r>
      <w:r w:rsidRPr="00927950">
        <w:rPr>
          <w:lang w:val="en-GB"/>
        </w:rPr>
        <w:t>(Sigma-Aldrich; #05482)</w:t>
      </w:r>
      <w:r>
        <w:rPr>
          <w:lang w:val="en-GB"/>
        </w:rPr>
        <w:t xml:space="preserve"> in PBS for analysis on </w:t>
      </w:r>
      <w:r w:rsidRPr="00C43EC4">
        <w:rPr>
          <w:lang w:val="en-GB"/>
        </w:rPr>
        <w:t xml:space="preserve">a BD LSR II flow cytometer (BD Biosciences). </w:t>
      </w:r>
      <w:bookmarkStart w:id="2" w:name="_Hlk10039306"/>
      <w:r w:rsidRPr="00C43EC4">
        <w:rPr>
          <w:lang w:val="en-GB"/>
        </w:rPr>
        <w:t>A minimum of 20,000 events were</w:t>
      </w:r>
      <w:r>
        <w:rPr>
          <w:lang w:val="en-GB"/>
        </w:rPr>
        <w:t xml:space="preserve"> recorded</w:t>
      </w:r>
      <w:r w:rsidRPr="00C43EC4">
        <w:rPr>
          <w:lang w:val="en-GB"/>
        </w:rPr>
        <w:t xml:space="preserve"> per sample. Data were analysed using Flow</w:t>
      </w:r>
      <w:r>
        <w:rPr>
          <w:lang w:val="en-GB"/>
        </w:rPr>
        <w:t>Jo</w:t>
      </w:r>
      <w:r w:rsidRPr="00C43EC4">
        <w:rPr>
          <w:lang w:val="en-GB"/>
        </w:rPr>
        <w:t xml:space="preserve"> v. </w:t>
      </w:r>
      <w:r>
        <w:rPr>
          <w:lang w:val="en-GB"/>
        </w:rPr>
        <w:t>10</w:t>
      </w:r>
      <w:r w:rsidRPr="00C43EC4">
        <w:rPr>
          <w:lang w:val="en-GB"/>
        </w:rPr>
        <w:t>.</w:t>
      </w:r>
      <w:r>
        <w:rPr>
          <w:lang w:val="en-GB"/>
        </w:rPr>
        <w:t>5</w:t>
      </w:r>
      <w:r w:rsidRPr="00C43EC4">
        <w:rPr>
          <w:lang w:val="en-GB"/>
        </w:rPr>
        <w:t>.</w:t>
      </w:r>
      <w:r>
        <w:rPr>
          <w:lang w:val="en-GB"/>
        </w:rPr>
        <w:t>0</w:t>
      </w:r>
      <w:r w:rsidRPr="00C43EC4">
        <w:rPr>
          <w:lang w:val="en-GB"/>
        </w:rPr>
        <w:t xml:space="preserve"> (</w:t>
      </w:r>
      <w:r>
        <w:rPr>
          <w:lang w:val="en-GB"/>
        </w:rPr>
        <w:t>BD Biosciences</w:t>
      </w:r>
      <w:r w:rsidRPr="00C43EC4">
        <w:rPr>
          <w:lang w:val="en-GB"/>
        </w:rPr>
        <w:t xml:space="preserve">). </w:t>
      </w:r>
      <w:bookmarkEnd w:id="2"/>
      <w:r>
        <w:rPr>
          <w:lang w:val="en-GB"/>
        </w:rPr>
        <w:t>G</w:t>
      </w:r>
      <w:r w:rsidRPr="00C43EC4">
        <w:rPr>
          <w:lang w:val="en-GB"/>
        </w:rPr>
        <w:t xml:space="preserve">ating strategies </w:t>
      </w:r>
      <w:r>
        <w:rPr>
          <w:lang w:val="en-GB"/>
        </w:rPr>
        <w:t>based on F</w:t>
      </w:r>
      <w:r w:rsidRPr="00003932">
        <w:rPr>
          <w:lang w:val="en-GB"/>
        </w:rPr>
        <w:t xml:space="preserve">luorescence </w:t>
      </w:r>
      <w:r>
        <w:rPr>
          <w:lang w:val="en-GB"/>
        </w:rPr>
        <w:t>M</w:t>
      </w:r>
      <w:r w:rsidRPr="00003932">
        <w:rPr>
          <w:lang w:val="en-GB"/>
        </w:rPr>
        <w:t xml:space="preserve">inus </w:t>
      </w:r>
      <w:r>
        <w:rPr>
          <w:lang w:val="en-GB"/>
        </w:rPr>
        <w:t>O</w:t>
      </w:r>
      <w:r w:rsidRPr="00003932">
        <w:rPr>
          <w:lang w:val="en-GB"/>
        </w:rPr>
        <w:t>ne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analyses</w:t>
      </w:r>
      <w:proofErr w:type="gramEnd"/>
      <w:r>
        <w:rPr>
          <w:lang w:val="en-GB"/>
        </w:rPr>
        <w:t xml:space="preserve"> are shown</w:t>
      </w:r>
      <w:r w:rsidRPr="00C43EC4">
        <w:rPr>
          <w:lang w:val="en-GB"/>
        </w:rPr>
        <w:t xml:space="preserve"> </w:t>
      </w:r>
      <w:r w:rsidRPr="00E31F21">
        <w:rPr>
          <w:lang w:val="en-GB"/>
        </w:rPr>
        <w:t xml:space="preserve">in Suppl. </w:t>
      </w:r>
      <w:r>
        <w:rPr>
          <w:lang w:val="en-GB"/>
        </w:rPr>
        <w:t>Fig.</w:t>
      </w:r>
      <w:r w:rsidRPr="00E31F21">
        <w:rPr>
          <w:lang w:val="en-GB"/>
        </w:rPr>
        <w:t xml:space="preserve"> 1</w:t>
      </w:r>
      <w:r>
        <w:rPr>
          <w:lang w:val="en-GB"/>
        </w:rPr>
        <w:t>, Online Resource 3</w:t>
      </w:r>
      <w:r w:rsidRPr="00C43EC4">
        <w:rPr>
          <w:lang w:val="en-GB"/>
        </w:rPr>
        <w:t>.</w:t>
      </w:r>
      <w:r>
        <w:rPr>
          <w:lang w:val="en-GB"/>
        </w:rPr>
        <w:t xml:space="preserve"> Since an age difference was apparent between groups (Table 1), data were analysed using a linear regression model that included group and age. Hoehn &amp; Yahr</w:t>
      </w:r>
      <w:r>
        <w:rPr>
          <w:lang w:val="en-GB"/>
        </w:rPr>
        <w:fldChar w:fldCharType="begin"/>
      </w:r>
      <w:r w:rsidR="00F7310B">
        <w:rPr>
          <w:lang w:val="en-GB"/>
        </w:rPr>
        <w:instrText xml:space="preserve"> ADDIN EN.CITE &lt;EndNote&gt;&lt;Cite&gt;&lt;Author&gt;Goetz&lt;/Author&gt;&lt;Year&gt;2004&lt;/Year&gt;&lt;RecNum&gt;302&lt;/RecNum&gt;&lt;DisplayText&gt;[5]&lt;/DisplayText&gt;&lt;record&gt;&lt;rec-number&gt;302&lt;/rec-number&gt;&lt;foreign-keys&gt;&lt;key app="EN" db-id="eexvtdaeqf9096e9dsa5wrxb2tv22wvxpdzw" timestamp="1502980343"&gt;302&lt;/key&gt;&lt;/foreign-keys&gt;&lt;ref-type name="Journal Article"&gt;17&lt;/ref-type&gt;&lt;contributors&gt;&lt;authors&gt;&lt;author&gt;Goetz, C. G.&lt;/author&gt;&lt;author&gt;Poewe, W.&lt;/author&gt;&lt;author&gt;Rascol, O.&lt;/author&gt;&lt;author&gt;Sampaio, C.&lt;/author&gt;&lt;author&gt;Stebbins, G. T.&lt;/author&gt;&lt;author&gt;Counsell, C.&lt;/author&gt;&lt;author&gt;Giladi, N.&lt;/author&gt;&lt;author&gt;Holloway, R. G.&lt;/author&gt;&lt;author&gt;Moore, C. G.&lt;/author&gt;&lt;author&gt;Wenning, G. K.&lt;/author&gt;&lt;author&gt;Yahr, M. D.&lt;/author&gt;&lt;author&gt;Seidl, L.&lt;/author&gt;&lt;/authors&gt;&lt;/contributors&gt;&lt;auth-address&gt;Rush University Medical Center, 1725 W. Harrison Street, Chicago, IL 60612, USA. cgoetz@rush.edu&lt;/auth-address&gt;&lt;titles&gt;&lt;title&gt;Movement Disorder Society Task Force report on the Hoehn and Yahr staging scale: status and recommendations&lt;/title&gt;&lt;secondary-title&gt;Mov Disord&lt;/secondary-title&gt;&lt;alt-title&gt;Movement disorders : official journal of the Movement Disorder Society&lt;/alt-title&gt;&lt;/titles&gt;&lt;periodical&gt;&lt;full-title&gt;Mov Disord&lt;/full-title&gt;&lt;/periodical&gt;&lt;pages&gt;1020-8&lt;/pages&gt;&lt;volume&gt;19&lt;/volume&gt;&lt;number&gt;9&lt;/number&gt;&lt;edition&gt;2004/09/17&lt;/edition&gt;&lt;keywords&gt;&lt;keyword&gt;Feasibility Studies&lt;/keyword&gt;&lt;keyword&gt;Health Status&lt;/keyword&gt;&lt;keyword&gt;History, 20th Century&lt;/keyword&gt;&lt;keyword&gt;Movement Disorders/diagnosis&lt;/keyword&gt;&lt;keyword&gt;Parkinson Disease/*diagnosis&lt;/keyword&gt;&lt;keyword&gt;Reproducibility of Results&lt;/keyword&gt;&lt;keyword&gt;*Surveys and Questionnaires&lt;/keyword&gt;&lt;/keywords&gt;&lt;dates&gt;&lt;year&gt;2004&lt;/year&gt;&lt;pub-dates&gt;&lt;date&gt;Sep&lt;/date&gt;&lt;/pub-dates&gt;&lt;/dates&gt;&lt;isbn&gt;0885-3185 (Print)&amp;#xD;0885-3185&lt;/isbn&gt;&lt;accession-num&gt;15372591&lt;/accession-num&gt;&lt;urls&gt;&lt;/urls&gt;&lt;electronic-resource-num&gt;10.1002/mds.20213&lt;/electronic-resource-num&gt;&lt;remote-database-provider&gt;NLM&lt;/remote-database-provider&gt;&lt;language&gt;eng&lt;/language&gt;&lt;/record&gt;&lt;/Cite&gt;&lt;/EndNote&gt;</w:instrText>
      </w:r>
      <w:r>
        <w:rPr>
          <w:lang w:val="en-GB"/>
        </w:rPr>
        <w:fldChar w:fldCharType="separate"/>
      </w:r>
      <w:r w:rsidR="00F7310B">
        <w:rPr>
          <w:noProof/>
          <w:lang w:val="en-GB"/>
        </w:rPr>
        <w:t>[5]</w:t>
      </w:r>
      <w:r>
        <w:rPr>
          <w:lang w:val="en-GB"/>
        </w:rPr>
        <w:fldChar w:fldCharType="end"/>
      </w:r>
      <w:r>
        <w:rPr>
          <w:lang w:val="en-GB"/>
        </w:rPr>
        <w:t xml:space="preserve"> scores were collected for the patients.</w:t>
      </w:r>
    </w:p>
    <w:p w14:paraId="5117F69B" w14:textId="11C4A4B9" w:rsidR="00F7310B" w:rsidRDefault="00F7310B" w:rsidP="00B71279">
      <w:pPr>
        <w:spacing w:line="240" w:lineRule="auto"/>
        <w:rPr>
          <w:lang w:val="en-GB"/>
        </w:rPr>
      </w:pPr>
    </w:p>
    <w:p w14:paraId="7C56B2CF" w14:textId="77777777" w:rsidR="00F7310B" w:rsidRDefault="00F7310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GB"/>
        </w:rPr>
      </w:pPr>
      <w:r>
        <w:rPr>
          <w:lang w:val="en-GB"/>
        </w:rPr>
        <w:br w:type="page"/>
      </w:r>
    </w:p>
    <w:p w14:paraId="3FEFF6F1" w14:textId="0D43C7DA" w:rsidR="00F7310B" w:rsidRDefault="00F7310B" w:rsidP="00F7310B">
      <w:pPr>
        <w:pStyle w:val="Overskrift1"/>
        <w:numPr>
          <w:ilvl w:val="0"/>
          <w:numId w:val="0"/>
        </w:numPr>
        <w:ind w:left="432" w:hanging="432"/>
        <w:rPr>
          <w:lang w:val="en-GB"/>
        </w:rPr>
      </w:pPr>
      <w:bookmarkStart w:id="3" w:name="_GoBack"/>
      <w:bookmarkEnd w:id="3"/>
      <w:r>
        <w:rPr>
          <w:lang w:val="en-GB"/>
        </w:rPr>
        <w:lastRenderedPageBreak/>
        <w:t>References</w:t>
      </w:r>
    </w:p>
    <w:p w14:paraId="548D27C2" w14:textId="77777777" w:rsidR="00F7310B" w:rsidRPr="00F7310B" w:rsidRDefault="00F7310B" w:rsidP="00F7310B">
      <w:pPr>
        <w:pStyle w:val="EndNoteBibliography"/>
        <w:spacing w:after="0"/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F7310B">
        <w:t>[1] L.C. Li, R. Dahiya, MethPrimer: designing primers for methylation PCRs, Bioinformatics 18(11) (2002) 1427-31.</w:t>
      </w:r>
    </w:p>
    <w:p w14:paraId="3D8B0C74" w14:textId="77777777" w:rsidR="00F7310B" w:rsidRPr="00F7310B" w:rsidRDefault="00F7310B" w:rsidP="00F7310B">
      <w:pPr>
        <w:pStyle w:val="EndNoteBibliography"/>
        <w:spacing w:after="0"/>
      </w:pPr>
      <w:r w:rsidRPr="00F7310B">
        <w:t>[2] R. Rydbirk, B. Elfving, M.D. Andersen, M.A. Langbøl, J. Folke, K. Winge, B. Pakkenberg, T. Brudek, S. Aznar, Cytokine profiling in the prefrontal cortex of Parkinson's Disease and Multiple System Atrophy patients, Neurobiol Dis 106 (2017) 269-278.</w:t>
      </w:r>
    </w:p>
    <w:p w14:paraId="3371AEC0" w14:textId="77777777" w:rsidR="00F7310B" w:rsidRPr="00F7310B" w:rsidRDefault="00F7310B" w:rsidP="00F7310B">
      <w:pPr>
        <w:pStyle w:val="EndNoteBibliography"/>
        <w:spacing w:after="0"/>
      </w:pPr>
      <w:r w:rsidRPr="00F7310B">
        <w:t>[3] R. Rydbirk, J. Folke, K. Winge, S. Aznar, B. Pakkenberg, T. Brudek, Assessment of brain reference genes for RT-qPCR studies in neurodegenerative diseases, Sci Rep 6 (2016) 37116.</w:t>
      </w:r>
    </w:p>
    <w:p w14:paraId="4AE44FE8" w14:textId="77777777" w:rsidR="00F7310B" w:rsidRPr="00F7310B" w:rsidRDefault="00F7310B" w:rsidP="00F7310B">
      <w:pPr>
        <w:pStyle w:val="EndNoteBibliography"/>
        <w:spacing w:after="0"/>
      </w:pPr>
      <w:r w:rsidRPr="00F7310B">
        <w:t>[4] M.W. Pfaffl, A new mathematical model for relative quantification in real-time RT–PCR, Nucleic Acids Res 29(9) (2001) e45.</w:t>
      </w:r>
    </w:p>
    <w:p w14:paraId="0C82FE4F" w14:textId="77777777" w:rsidR="00F7310B" w:rsidRPr="00F7310B" w:rsidRDefault="00F7310B" w:rsidP="00F7310B">
      <w:pPr>
        <w:pStyle w:val="EndNoteBibliography"/>
      </w:pPr>
      <w:r w:rsidRPr="00F7310B">
        <w:t>[5] C.G. Goetz, W. Poewe, O. Rascol, C. Sampaio, G.T. Stebbins, C. Counsell, N. Giladi, R.G. Holloway, C.G. Moore, G.K. Wenning, M.D. Yahr, L. Seidl, Movement Disorder Society Task Force report on the Hoehn and Yahr staging scale: status and recommendations, Mov Disord 19(9) (2004) 1020-8.</w:t>
      </w:r>
    </w:p>
    <w:p w14:paraId="369F0C1D" w14:textId="594A253A" w:rsidR="009752B7" w:rsidRPr="006A3809" w:rsidRDefault="00F7310B" w:rsidP="00B71279">
      <w:pPr>
        <w:spacing w:line="240" w:lineRule="auto"/>
        <w:rPr>
          <w:lang w:val="en-GB"/>
        </w:rPr>
      </w:pPr>
      <w:r>
        <w:rPr>
          <w:lang w:val="en-GB"/>
        </w:rPr>
        <w:fldChar w:fldCharType="end"/>
      </w:r>
    </w:p>
    <w:sectPr w:rsidR="009752B7" w:rsidRPr="006A3809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83216" w14:textId="77777777" w:rsidR="00EB6F2C" w:rsidRDefault="00EB6F2C" w:rsidP="00BA18BB">
      <w:pPr>
        <w:spacing w:after="0" w:line="240" w:lineRule="auto"/>
      </w:pPr>
      <w:r>
        <w:separator/>
      </w:r>
    </w:p>
  </w:endnote>
  <w:endnote w:type="continuationSeparator" w:id="0">
    <w:p w14:paraId="230B0E93" w14:textId="77777777" w:rsidR="00EB6F2C" w:rsidRDefault="00EB6F2C" w:rsidP="00BA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1253447"/>
      <w:docPartObj>
        <w:docPartGallery w:val="Page Numbers (Bottom of Page)"/>
        <w:docPartUnique/>
      </w:docPartObj>
    </w:sdtPr>
    <w:sdtEndPr/>
    <w:sdtContent>
      <w:p w14:paraId="6DF8AAE1" w14:textId="77777777" w:rsidR="00BA18BB" w:rsidRDefault="00BA18BB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C07837" w14:textId="77777777" w:rsidR="00BA18BB" w:rsidRDefault="00BA18B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0045D" w14:textId="77777777" w:rsidR="00EB6F2C" w:rsidRDefault="00EB6F2C" w:rsidP="00BA18BB">
      <w:pPr>
        <w:spacing w:after="0" w:line="240" w:lineRule="auto"/>
      </w:pPr>
      <w:r>
        <w:separator/>
      </w:r>
    </w:p>
  </w:footnote>
  <w:footnote w:type="continuationSeparator" w:id="0">
    <w:p w14:paraId="1E831C1D" w14:textId="77777777" w:rsidR="00EB6F2C" w:rsidRDefault="00EB6F2C" w:rsidP="00BA1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B69F4"/>
    <w:multiLevelType w:val="multilevel"/>
    <w:tmpl w:val="0406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7DC231A"/>
    <w:multiLevelType w:val="hybridMultilevel"/>
    <w:tmpl w:val="A5FA019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cta Biomateriali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xvtdaeqf9096e9dsa5wrxb2tv22wvxpdzw&quot;&gt;References&lt;record-ids&gt;&lt;item&gt;70&lt;/item&gt;&lt;item&gt;210&lt;/item&gt;&lt;item&gt;296&lt;/item&gt;&lt;item&gt;302&lt;/item&gt;&lt;item&gt;505&lt;/item&gt;&lt;/record-ids&gt;&lt;/item&gt;&lt;/Libraries&gt;"/>
  </w:docVars>
  <w:rsids>
    <w:rsidRoot w:val="006A3809"/>
    <w:rsid w:val="003D484B"/>
    <w:rsid w:val="00417492"/>
    <w:rsid w:val="004C20A3"/>
    <w:rsid w:val="004D1ADC"/>
    <w:rsid w:val="00606597"/>
    <w:rsid w:val="006A3809"/>
    <w:rsid w:val="007C24B9"/>
    <w:rsid w:val="00864E31"/>
    <w:rsid w:val="009752B7"/>
    <w:rsid w:val="00B71279"/>
    <w:rsid w:val="00BA18BB"/>
    <w:rsid w:val="00EB6F2C"/>
    <w:rsid w:val="00F7310B"/>
    <w:rsid w:val="00F8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E3DA"/>
  <w15:chartTrackingRefBased/>
  <w15:docId w15:val="{7B8B0D4D-FBFA-4A8D-914F-9E6D51A1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A3809"/>
  </w:style>
  <w:style w:type="paragraph" w:styleId="Overskrift1">
    <w:name w:val="heading 1"/>
    <w:basedOn w:val="Normal"/>
    <w:next w:val="Normal"/>
    <w:link w:val="Overskrift1Tegn"/>
    <w:uiPriority w:val="9"/>
    <w:qFormat/>
    <w:rsid w:val="006A3809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809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A380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A380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A380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A380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A380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A380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A380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A3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A3809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A38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A38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A38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A380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A380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A380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A380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A38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A38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dehoved">
    <w:name w:val="header"/>
    <w:basedOn w:val="Normal"/>
    <w:link w:val="SidehovedTegn"/>
    <w:uiPriority w:val="99"/>
    <w:unhideWhenUsed/>
    <w:rsid w:val="00BA18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A18BB"/>
  </w:style>
  <w:style w:type="paragraph" w:styleId="Sidefod">
    <w:name w:val="footer"/>
    <w:basedOn w:val="Normal"/>
    <w:link w:val="SidefodTegn"/>
    <w:uiPriority w:val="99"/>
    <w:unhideWhenUsed/>
    <w:rsid w:val="00BA18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A18BB"/>
  </w:style>
  <w:style w:type="character" w:styleId="Hyperlink">
    <w:name w:val="Hyperlink"/>
    <w:basedOn w:val="Standardskrifttypeiafsnit"/>
    <w:uiPriority w:val="99"/>
    <w:unhideWhenUsed/>
    <w:rsid w:val="00BA18BB"/>
    <w:rPr>
      <w:color w:val="0563C1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8376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8376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8376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8376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8376E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F7310B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Tegn"/>
    <w:rsid w:val="00F7310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F7310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F7310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F7310B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usana.aznar.kleijn@regionh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2421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Rydbirk</dc:creator>
  <cp:keywords/>
  <dc:description/>
  <cp:lastModifiedBy>Rasmus Rydbirk</cp:lastModifiedBy>
  <cp:revision>3</cp:revision>
  <dcterms:created xsi:type="dcterms:W3CDTF">2020-02-26T14:23:00Z</dcterms:created>
  <dcterms:modified xsi:type="dcterms:W3CDTF">2020-02-26T14:32:00Z</dcterms:modified>
</cp:coreProperties>
</file>