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CBBBA" w14:textId="0DEAFE14" w:rsidR="008A0BDF" w:rsidRDefault="008C639D">
      <w:r w:rsidRPr="008C639D">
        <w:rPr>
          <w:noProof/>
          <w:lang w:eastAsia="en-US"/>
        </w:rPr>
        <w:drawing>
          <wp:inline distT="0" distB="0" distL="0" distR="0" wp14:anchorId="15708D38" wp14:editId="7DA50CA7">
            <wp:extent cx="5400040" cy="1195705"/>
            <wp:effectExtent l="0" t="0" r="0" b="444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62705" w14:textId="23D110F9" w:rsidR="008C639D" w:rsidRPr="008C639D" w:rsidRDefault="008C639D" w:rsidP="008C639D">
      <w:pPr>
        <w:widowControl/>
        <w:spacing w:line="480" w:lineRule="auto"/>
        <w:rPr>
          <w:rFonts w:ascii="Times New Roman" w:eastAsia="游ゴシック" w:hAnsi="Times New Roman" w:cs="Times New Roman"/>
          <w:color w:val="000000"/>
          <w:kern w:val="0"/>
          <w:sz w:val="22"/>
        </w:rPr>
      </w:pPr>
      <w:r w:rsidRPr="008C639D">
        <w:rPr>
          <w:rFonts w:ascii="Times New Roman" w:eastAsia="游ゴシック" w:hAnsi="Times New Roman" w:cs="Times New Roman"/>
          <w:b/>
          <w:bCs/>
          <w:color w:val="000000"/>
          <w:kern w:val="0"/>
          <w:sz w:val="22"/>
        </w:rPr>
        <w:t xml:space="preserve">Table </w:t>
      </w:r>
      <w:r w:rsidR="000D6947">
        <w:rPr>
          <w:rFonts w:ascii="Times New Roman" w:eastAsia="游ゴシック" w:hAnsi="Times New Roman" w:cs="Times New Roman"/>
          <w:b/>
          <w:bCs/>
          <w:color w:val="000000"/>
          <w:kern w:val="0"/>
          <w:sz w:val="22"/>
        </w:rPr>
        <w:t>S</w:t>
      </w:r>
      <w:r w:rsidRPr="008C639D">
        <w:rPr>
          <w:rFonts w:ascii="Times New Roman" w:eastAsia="游ゴシック" w:hAnsi="Times New Roman" w:cs="Times New Roman"/>
          <w:b/>
          <w:bCs/>
          <w:color w:val="000000"/>
          <w:kern w:val="0"/>
          <w:sz w:val="22"/>
        </w:rPr>
        <w:t>1</w:t>
      </w:r>
      <w:r w:rsidRPr="008C639D">
        <w:rPr>
          <w:rFonts w:ascii="Times New Roman" w:eastAsia="游ゴシック" w:hAnsi="Times New Roman" w:cs="Times New Roman"/>
          <w:color w:val="000000"/>
          <w:kern w:val="0"/>
          <w:sz w:val="22"/>
        </w:rPr>
        <w:t xml:space="preserve"> Primer sequences and expected PCR product sizes (in base pair) used to analyze the expression of APP and tau in pinniped brains.</w:t>
      </w:r>
    </w:p>
    <w:p w14:paraId="0B21F214" w14:textId="77777777" w:rsidR="008C639D" w:rsidRPr="008C639D" w:rsidRDefault="008C639D"/>
    <w:p w14:paraId="19DE16A9" w14:textId="419A9E38" w:rsidR="008A0BDF" w:rsidRDefault="008A0BDF">
      <w:r>
        <w:rPr>
          <w:noProof/>
          <w:lang w:eastAsia="en-US"/>
        </w:rPr>
        <w:lastRenderedPageBreak/>
        <w:drawing>
          <wp:inline distT="0" distB="0" distL="0" distR="0" wp14:anchorId="5B064AA0" wp14:editId="5F49D532">
            <wp:extent cx="5091483" cy="6127750"/>
            <wp:effectExtent l="0" t="0" r="0" b="635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944" cy="613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FA7B9" w14:textId="42678DE5" w:rsidR="008A0BDF" w:rsidRDefault="008A0BDF" w:rsidP="008A0BDF">
      <w:pPr>
        <w:pStyle w:val="a8"/>
        <w:spacing w:line="480" w:lineRule="auto"/>
        <w:ind w:leftChars="0" w:left="0"/>
        <w:jc w:val="left"/>
        <w:rPr>
          <w:rFonts w:ascii="Times New Roman" w:hAnsi="Times New Roman" w:cs="Times New Roman"/>
          <w:bCs/>
        </w:rPr>
      </w:pPr>
      <w:r w:rsidRPr="0074321A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74321A">
        <w:rPr>
          <w:rFonts w:ascii="Times New Roman" w:hAnsi="Times New Roman" w:cs="Times New Roman"/>
          <w:b/>
        </w:rPr>
        <w:t xml:space="preserve"> </w:t>
      </w:r>
      <w:r w:rsidR="004A6C9D">
        <w:rPr>
          <w:rFonts w:ascii="Times New Roman" w:hAnsi="Times New Roman" w:cs="Times New Roman"/>
          <w:b/>
        </w:rPr>
        <w:t>S</w:t>
      </w:r>
      <w:r w:rsidRPr="0074321A">
        <w:rPr>
          <w:rFonts w:ascii="Times New Roman" w:hAnsi="Times New Roman" w:cs="Times New Roman"/>
          <w:b/>
        </w:rPr>
        <w:t xml:space="preserve">1. </w:t>
      </w:r>
      <w:r w:rsidRPr="0074321A">
        <w:rPr>
          <w:rFonts w:ascii="Times New Roman" w:hAnsi="Times New Roman" w:cs="Times New Roman"/>
          <w:bCs/>
        </w:rPr>
        <w:t>Immunohistochemistry for Aβ42 and AT8 in pinniped brains. In severely affected cases, more than ten Aβ42-positiven plaques (</w:t>
      </w:r>
      <w:r w:rsidRPr="0074321A">
        <w:rPr>
          <w:rFonts w:ascii="Times New Roman" w:hAnsi="Times New Roman" w:cs="Times New Roman"/>
          <w:b/>
        </w:rPr>
        <w:t>a</w:t>
      </w:r>
      <w:r w:rsidRPr="0074321A">
        <w:rPr>
          <w:rFonts w:ascii="Times New Roman" w:hAnsi="Times New Roman" w:cs="Times New Roman"/>
          <w:bCs/>
        </w:rPr>
        <w:t xml:space="preserve">) or twenty </w:t>
      </w:r>
      <w:bookmarkStart w:id="0" w:name="_Hlk50976512"/>
      <w:r w:rsidRPr="0074321A">
        <w:rPr>
          <w:rFonts w:ascii="Times New Roman" w:hAnsi="Times New Roman" w:cs="Times New Roman"/>
          <w:bCs/>
        </w:rPr>
        <w:t>Aβ42-positive</w:t>
      </w:r>
      <w:bookmarkEnd w:id="0"/>
      <w:r w:rsidRPr="0074321A">
        <w:rPr>
          <w:rFonts w:ascii="Times New Roman" w:hAnsi="Times New Roman" w:cs="Times New Roman"/>
          <w:bCs/>
        </w:rPr>
        <w:t xml:space="preserve"> blood vessels (</w:t>
      </w:r>
      <w:r w:rsidRPr="0074321A">
        <w:rPr>
          <w:rFonts w:ascii="Times New Roman" w:hAnsi="Times New Roman" w:cs="Times New Roman"/>
          <w:b/>
        </w:rPr>
        <w:t>c</w:t>
      </w:r>
      <w:r w:rsidRPr="0074321A">
        <w:rPr>
          <w:rFonts w:ascii="Times New Roman" w:hAnsi="Times New Roman" w:cs="Times New Roman"/>
          <w:bCs/>
        </w:rPr>
        <w:t>) were detected in an area of 3.4 mm</w:t>
      </w:r>
      <w:r w:rsidRPr="0074321A">
        <w:rPr>
          <w:rFonts w:ascii="Times New Roman" w:hAnsi="Times New Roman" w:cs="Times New Roman"/>
          <w:bCs/>
          <w:vertAlign w:val="superscript"/>
        </w:rPr>
        <w:t>2</w:t>
      </w:r>
      <w:r w:rsidRPr="0074321A">
        <w:rPr>
          <w:rFonts w:ascii="Times New Roman" w:hAnsi="Times New Roman" w:cs="Times New Roman"/>
          <w:bCs/>
        </w:rPr>
        <w:t xml:space="preserve"> or more than thirty AT8-positive cells in an area of 0.55 mm</w:t>
      </w:r>
      <w:r w:rsidRPr="0074321A">
        <w:rPr>
          <w:rFonts w:ascii="Times New Roman" w:hAnsi="Times New Roman" w:cs="Times New Roman"/>
          <w:bCs/>
          <w:vertAlign w:val="superscript"/>
        </w:rPr>
        <w:t>2</w:t>
      </w:r>
      <w:r w:rsidRPr="0074321A">
        <w:rPr>
          <w:rFonts w:ascii="Times New Roman" w:hAnsi="Times New Roman" w:cs="Times New Roman"/>
          <w:bCs/>
        </w:rPr>
        <w:t xml:space="preserve"> (</w:t>
      </w:r>
      <w:r w:rsidRPr="0074321A">
        <w:rPr>
          <w:rFonts w:ascii="Times New Roman" w:hAnsi="Times New Roman" w:cs="Times New Roman"/>
          <w:b/>
        </w:rPr>
        <w:t>e</w:t>
      </w:r>
      <w:r w:rsidRPr="0074321A">
        <w:rPr>
          <w:rFonts w:ascii="Times New Roman" w:hAnsi="Times New Roman" w:cs="Times New Roman"/>
          <w:bCs/>
        </w:rPr>
        <w:t>). In mildly affected cases, lesions were less apparent (</w:t>
      </w:r>
      <w:r w:rsidRPr="0074321A">
        <w:rPr>
          <w:rFonts w:ascii="Times New Roman" w:hAnsi="Times New Roman" w:cs="Times New Roman"/>
          <w:b/>
        </w:rPr>
        <w:t>b</w:t>
      </w:r>
      <w:r w:rsidRPr="0074321A">
        <w:rPr>
          <w:rFonts w:ascii="Times New Roman" w:hAnsi="Times New Roman" w:cs="Times New Roman"/>
          <w:bCs/>
        </w:rPr>
        <w:t xml:space="preserve">, </w:t>
      </w:r>
      <w:r w:rsidRPr="0074321A">
        <w:rPr>
          <w:rFonts w:ascii="Times New Roman" w:hAnsi="Times New Roman" w:cs="Times New Roman"/>
          <w:b/>
        </w:rPr>
        <w:t>d</w:t>
      </w:r>
      <w:r w:rsidRPr="0074321A">
        <w:rPr>
          <w:rFonts w:ascii="Times New Roman" w:hAnsi="Times New Roman" w:cs="Times New Roman"/>
          <w:bCs/>
        </w:rPr>
        <w:t xml:space="preserve">, </w:t>
      </w:r>
      <w:r w:rsidRPr="0074321A">
        <w:rPr>
          <w:rFonts w:ascii="Times New Roman" w:hAnsi="Times New Roman" w:cs="Times New Roman"/>
          <w:b/>
        </w:rPr>
        <w:t>f</w:t>
      </w:r>
      <w:r w:rsidRPr="0074321A">
        <w:rPr>
          <w:rFonts w:ascii="Times New Roman" w:hAnsi="Times New Roman" w:cs="Times New Roman"/>
          <w:bCs/>
        </w:rPr>
        <w:t>). Scale bars: 200 μm (</w:t>
      </w:r>
      <w:r w:rsidRPr="0074321A">
        <w:rPr>
          <w:rFonts w:ascii="Times New Roman" w:hAnsi="Times New Roman" w:cs="Times New Roman"/>
          <w:b/>
        </w:rPr>
        <w:t>a</w:t>
      </w:r>
      <w:r w:rsidRPr="0074321A">
        <w:rPr>
          <w:rFonts w:ascii="Times New Roman" w:hAnsi="Times New Roman" w:cs="Times New Roman"/>
          <w:bCs/>
        </w:rPr>
        <w:t>-</w:t>
      </w:r>
      <w:r w:rsidRPr="0074321A">
        <w:rPr>
          <w:rFonts w:ascii="Times New Roman" w:hAnsi="Times New Roman" w:cs="Times New Roman"/>
          <w:b/>
        </w:rPr>
        <w:t>d</w:t>
      </w:r>
      <w:r w:rsidRPr="0074321A">
        <w:rPr>
          <w:rFonts w:ascii="Times New Roman" w:hAnsi="Times New Roman" w:cs="Times New Roman"/>
          <w:bCs/>
        </w:rPr>
        <w:t>); 100 μm (</w:t>
      </w:r>
      <w:r w:rsidRPr="0074321A">
        <w:rPr>
          <w:rFonts w:ascii="Times New Roman" w:hAnsi="Times New Roman" w:cs="Times New Roman"/>
          <w:b/>
        </w:rPr>
        <w:t>e</w:t>
      </w:r>
      <w:r w:rsidRPr="0074321A">
        <w:rPr>
          <w:rFonts w:ascii="Times New Roman" w:hAnsi="Times New Roman" w:cs="Times New Roman"/>
          <w:bCs/>
        </w:rPr>
        <w:t xml:space="preserve">, </w:t>
      </w:r>
      <w:r w:rsidRPr="0074321A">
        <w:rPr>
          <w:rFonts w:ascii="Times New Roman" w:hAnsi="Times New Roman" w:cs="Times New Roman"/>
          <w:b/>
        </w:rPr>
        <w:t>f</w:t>
      </w:r>
      <w:r w:rsidRPr="0074321A">
        <w:rPr>
          <w:rFonts w:ascii="Times New Roman" w:hAnsi="Times New Roman" w:cs="Times New Roman"/>
          <w:bCs/>
        </w:rPr>
        <w:t>).</w:t>
      </w:r>
    </w:p>
    <w:p w14:paraId="37FBC788" w14:textId="4AC8F329" w:rsidR="008A0BDF" w:rsidRPr="0074321A" w:rsidRDefault="008A0BDF" w:rsidP="008A0BDF">
      <w:pPr>
        <w:pStyle w:val="a8"/>
        <w:spacing w:line="480" w:lineRule="auto"/>
        <w:ind w:leftChars="0" w:left="0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en-US"/>
        </w:rPr>
        <w:lastRenderedPageBreak/>
        <w:drawing>
          <wp:inline distT="0" distB="0" distL="0" distR="0" wp14:anchorId="699DC1CC" wp14:editId="02853182">
            <wp:extent cx="5397500" cy="212090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6B5D4" w14:textId="28B41422" w:rsidR="008A0BDF" w:rsidRPr="0074321A" w:rsidRDefault="008A0BDF" w:rsidP="008A0BDF">
      <w:pPr>
        <w:pStyle w:val="a8"/>
        <w:spacing w:line="480" w:lineRule="auto"/>
        <w:ind w:leftChars="0" w:left="0"/>
        <w:jc w:val="left"/>
        <w:rPr>
          <w:rFonts w:ascii="Times New Roman" w:hAnsi="Times New Roman" w:cs="Times New Roman"/>
          <w:b/>
        </w:rPr>
      </w:pPr>
      <w:r w:rsidRPr="0074321A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74321A">
        <w:rPr>
          <w:rFonts w:ascii="Times New Roman" w:hAnsi="Times New Roman" w:cs="Times New Roman"/>
          <w:b/>
        </w:rPr>
        <w:t xml:space="preserve"> </w:t>
      </w:r>
      <w:r w:rsidR="004A6C9D">
        <w:rPr>
          <w:rFonts w:ascii="Times New Roman" w:hAnsi="Times New Roman" w:cs="Times New Roman"/>
          <w:b/>
        </w:rPr>
        <w:t>S</w:t>
      </w:r>
      <w:r w:rsidRPr="0074321A">
        <w:rPr>
          <w:rFonts w:ascii="Times New Roman" w:hAnsi="Times New Roman" w:cs="Times New Roman"/>
          <w:b/>
        </w:rPr>
        <w:t>2.</w:t>
      </w:r>
      <w:r w:rsidRPr="0074321A">
        <w:rPr>
          <w:rFonts w:ascii="Times New Roman" w:hAnsi="Times New Roman" w:cs="Times New Roman"/>
          <w:bCs/>
        </w:rPr>
        <w:t xml:space="preserve"> Nucleic acid and amino acid sequence analyses of the </w:t>
      </w:r>
      <w:r w:rsidRPr="0074321A">
        <w:rPr>
          <w:rFonts w:ascii="Times New Roman" w:hAnsi="Times New Roman" w:cs="Times New Roman"/>
          <w:bCs/>
          <w:i/>
          <w:iCs/>
        </w:rPr>
        <w:t>APP</w:t>
      </w:r>
      <w:r w:rsidRPr="0074321A">
        <w:rPr>
          <w:rFonts w:ascii="Times New Roman" w:hAnsi="Times New Roman" w:cs="Times New Roman"/>
          <w:bCs/>
        </w:rPr>
        <w:t xml:space="preserve"> gene containing the Aβ region. Nuclei acid sequences of the pinniped Aβ region (</w:t>
      </w:r>
      <w:r w:rsidRPr="0074321A">
        <w:rPr>
          <w:rFonts w:ascii="Times New Roman" w:hAnsi="Times New Roman" w:cs="Times New Roman"/>
          <w:b/>
        </w:rPr>
        <w:t>a</w:t>
      </w:r>
      <w:r w:rsidRPr="0074321A">
        <w:rPr>
          <w:rFonts w:ascii="Times New Roman" w:hAnsi="Times New Roman" w:cs="Times New Roman"/>
          <w:bCs/>
        </w:rPr>
        <w:t>). Amino acid sequences of the pinniped Aβ region (</w:t>
      </w:r>
      <w:r w:rsidRPr="0074321A">
        <w:rPr>
          <w:rFonts w:ascii="Times New Roman" w:hAnsi="Times New Roman" w:cs="Times New Roman"/>
          <w:b/>
        </w:rPr>
        <w:t>b</w:t>
      </w:r>
      <w:r w:rsidRPr="0074321A">
        <w:rPr>
          <w:rFonts w:ascii="Times New Roman" w:hAnsi="Times New Roman" w:cs="Times New Roman"/>
          <w:bCs/>
        </w:rPr>
        <w:t>).</w:t>
      </w:r>
    </w:p>
    <w:p w14:paraId="63B4A767" w14:textId="1D56CDF3" w:rsidR="008A0BDF" w:rsidRDefault="008A0BDF"/>
    <w:p w14:paraId="2627B480" w14:textId="38E31D75" w:rsidR="008A0BDF" w:rsidRPr="008A0BDF" w:rsidRDefault="008A0BDF">
      <w:r>
        <w:rPr>
          <w:noProof/>
          <w:lang w:eastAsia="en-US"/>
        </w:rPr>
        <w:lastRenderedPageBreak/>
        <w:drawing>
          <wp:inline distT="0" distB="0" distL="0" distR="0" wp14:anchorId="4C5C06C1" wp14:editId="7A6968B7">
            <wp:extent cx="5397500" cy="474980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474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BB028" w14:textId="2BD931FC" w:rsidR="008A0BDF" w:rsidRPr="0074321A" w:rsidRDefault="008A0BDF" w:rsidP="008A0BDF">
      <w:pPr>
        <w:pStyle w:val="a8"/>
        <w:spacing w:line="480" w:lineRule="auto"/>
        <w:ind w:leftChars="0" w:left="0"/>
        <w:jc w:val="left"/>
        <w:rPr>
          <w:rFonts w:ascii="Times New Roman" w:hAnsi="Times New Roman" w:cs="Times New Roman"/>
          <w:bCs/>
        </w:rPr>
      </w:pPr>
      <w:r w:rsidRPr="0074321A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74321A">
        <w:rPr>
          <w:rFonts w:ascii="Times New Roman" w:hAnsi="Times New Roman" w:cs="Times New Roman"/>
          <w:b/>
        </w:rPr>
        <w:t xml:space="preserve"> </w:t>
      </w:r>
      <w:r w:rsidR="004A6C9D">
        <w:rPr>
          <w:rFonts w:ascii="Times New Roman" w:hAnsi="Times New Roman" w:cs="Times New Roman"/>
          <w:b/>
        </w:rPr>
        <w:t>S</w:t>
      </w:r>
      <w:r w:rsidRPr="0074321A">
        <w:rPr>
          <w:rFonts w:ascii="Times New Roman" w:hAnsi="Times New Roman" w:cs="Times New Roman"/>
          <w:b/>
        </w:rPr>
        <w:t>3.</w:t>
      </w:r>
      <w:r w:rsidRPr="0074321A">
        <w:rPr>
          <w:rFonts w:ascii="Times New Roman" w:hAnsi="Times New Roman" w:cs="Times New Roman"/>
          <w:bCs/>
        </w:rPr>
        <w:t xml:space="preserve"> RT-PCR analysis of tau isoforms expressed in pinniped brains. RT-PCR with primer pair 3, which covers exons 2-7, confirmed two types of pinniped </w:t>
      </w:r>
      <w:r w:rsidRPr="0074321A">
        <w:rPr>
          <w:rFonts w:ascii="Times New Roman" w:hAnsi="Times New Roman" w:cs="Times New Roman"/>
          <w:bCs/>
          <w:i/>
          <w:iCs/>
        </w:rPr>
        <w:t>MAPT</w:t>
      </w:r>
      <w:r w:rsidRPr="0074321A">
        <w:rPr>
          <w:rFonts w:ascii="Times New Roman" w:hAnsi="Times New Roman" w:cs="Times New Roman"/>
          <w:bCs/>
        </w:rPr>
        <w:t xml:space="preserve"> mRNA isoforms (</w:t>
      </w:r>
      <w:r w:rsidRPr="0074321A">
        <w:rPr>
          <w:rFonts w:ascii="Times New Roman" w:hAnsi="Times New Roman" w:cs="Times New Roman"/>
          <w:b/>
        </w:rPr>
        <w:t>a</w:t>
      </w:r>
      <w:r w:rsidRPr="0074321A">
        <w:rPr>
          <w:rFonts w:ascii="Times New Roman" w:hAnsi="Times New Roman" w:cs="Times New Roman"/>
          <w:bCs/>
        </w:rPr>
        <w:t>) composed of exons 2-5 and 7 (upper band) and exons 2, 4, 5, and 7 (lower band) (</w:t>
      </w:r>
      <w:r w:rsidRPr="0074321A">
        <w:rPr>
          <w:rFonts w:ascii="Times New Roman" w:hAnsi="Times New Roman" w:cs="Times New Roman"/>
          <w:b/>
        </w:rPr>
        <w:t>b</w:t>
      </w:r>
      <w:r w:rsidRPr="0074321A">
        <w:rPr>
          <w:rFonts w:ascii="Times New Roman" w:hAnsi="Times New Roman" w:cs="Times New Roman"/>
          <w:bCs/>
        </w:rPr>
        <w:t xml:space="preserve">). RT-PCR with primer pair 4, which covers exons 5-9, detected a distinct band of pinniped </w:t>
      </w:r>
      <w:r w:rsidRPr="0074321A">
        <w:rPr>
          <w:rFonts w:ascii="Times New Roman" w:hAnsi="Times New Roman" w:cs="Times New Roman"/>
          <w:bCs/>
          <w:i/>
          <w:iCs/>
        </w:rPr>
        <w:t>MAPT</w:t>
      </w:r>
      <w:r w:rsidRPr="0074321A">
        <w:rPr>
          <w:rFonts w:ascii="Times New Roman" w:hAnsi="Times New Roman" w:cs="Times New Roman"/>
          <w:bCs/>
        </w:rPr>
        <w:t xml:space="preserve"> mRNA (</w:t>
      </w:r>
      <w:r w:rsidRPr="0074321A">
        <w:rPr>
          <w:rFonts w:ascii="Times New Roman" w:hAnsi="Times New Roman" w:cs="Times New Roman"/>
          <w:b/>
        </w:rPr>
        <w:t>c</w:t>
      </w:r>
      <w:r w:rsidRPr="0074321A">
        <w:rPr>
          <w:rFonts w:ascii="Times New Roman" w:hAnsi="Times New Roman" w:cs="Times New Roman"/>
          <w:bCs/>
        </w:rPr>
        <w:t>) composed of exons 7 and 9 (</w:t>
      </w:r>
      <w:r w:rsidRPr="0074321A">
        <w:rPr>
          <w:rFonts w:ascii="Times New Roman" w:hAnsi="Times New Roman" w:cs="Times New Roman"/>
          <w:b/>
        </w:rPr>
        <w:t>d</w:t>
      </w:r>
      <w:r w:rsidRPr="0074321A">
        <w:rPr>
          <w:rFonts w:ascii="Times New Roman" w:hAnsi="Times New Roman" w:cs="Times New Roman"/>
          <w:bCs/>
        </w:rPr>
        <w:t xml:space="preserve">). RT-PCR with primer pair 6, which covers exons 11-13, detected a distinct band of pinniped </w:t>
      </w:r>
      <w:r w:rsidRPr="0074321A">
        <w:rPr>
          <w:rFonts w:ascii="Times New Roman" w:hAnsi="Times New Roman" w:cs="Times New Roman"/>
          <w:bCs/>
          <w:i/>
          <w:iCs/>
        </w:rPr>
        <w:t>MAPT</w:t>
      </w:r>
      <w:r w:rsidRPr="0074321A">
        <w:rPr>
          <w:rFonts w:ascii="Times New Roman" w:hAnsi="Times New Roman" w:cs="Times New Roman"/>
          <w:bCs/>
        </w:rPr>
        <w:t xml:space="preserve"> mRNA (</w:t>
      </w:r>
      <w:r w:rsidRPr="0074321A">
        <w:rPr>
          <w:rFonts w:ascii="Times New Roman" w:hAnsi="Times New Roman" w:cs="Times New Roman"/>
          <w:b/>
        </w:rPr>
        <w:t>e</w:t>
      </w:r>
      <w:r w:rsidRPr="0074321A">
        <w:rPr>
          <w:rFonts w:ascii="Times New Roman" w:hAnsi="Times New Roman" w:cs="Times New Roman"/>
          <w:bCs/>
        </w:rPr>
        <w:t>) composed of exons 11-13 (</w:t>
      </w:r>
      <w:r w:rsidRPr="0074321A">
        <w:rPr>
          <w:rFonts w:ascii="Times New Roman" w:hAnsi="Times New Roman" w:cs="Times New Roman"/>
          <w:b/>
        </w:rPr>
        <w:t>f</w:t>
      </w:r>
      <w:r w:rsidRPr="0074321A">
        <w:rPr>
          <w:rFonts w:ascii="Times New Roman" w:hAnsi="Times New Roman" w:cs="Times New Roman"/>
          <w:bCs/>
        </w:rPr>
        <w:t>).</w:t>
      </w:r>
    </w:p>
    <w:p w14:paraId="044C9571" w14:textId="7A875076" w:rsidR="008A0BDF" w:rsidRDefault="008A0BDF">
      <w:r>
        <w:rPr>
          <w:rFonts w:hint="eastAsia"/>
          <w:noProof/>
          <w:lang w:eastAsia="en-US"/>
        </w:rPr>
        <w:lastRenderedPageBreak/>
        <w:drawing>
          <wp:inline distT="0" distB="0" distL="0" distR="0" wp14:anchorId="679D68D5" wp14:editId="09A2ED9B">
            <wp:extent cx="3600450" cy="227330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D782E" w14:textId="0C710E2D" w:rsidR="008A0BDF" w:rsidRPr="0074321A" w:rsidRDefault="008A0BDF" w:rsidP="008A0BDF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Cs/>
          <w:szCs w:val="21"/>
        </w:rPr>
      </w:pPr>
      <w:r w:rsidRPr="0074321A">
        <w:rPr>
          <w:rFonts w:ascii="Times New Roman" w:hAnsi="Times New Roman" w:cs="Times New Roman"/>
          <w:b/>
          <w:szCs w:val="21"/>
        </w:rPr>
        <w:t>Fig</w:t>
      </w:r>
      <w:r>
        <w:rPr>
          <w:rFonts w:ascii="Times New Roman" w:hAnsi="Times New Roman" w:cs="Times New Roman"/>
          <w:b/>
          <w:szCs w:val="21"/>
        </w:rPr>
        <w:t>.</w:t>
      </w:r>
      <w:r w:rsidRPr="0074321A">
        <w:rPr>
          <w:rFonts w:ascii="Times New Roman" w:hAnsi="Times New Roman" w:cs="Times New Roman"/>
          <w:b/>
          <w:szCs w:val="21"/>
        </w:rPr>
        <w:t xml:space="preserve"> </w:t>
      </w:r>
      <w:r w:rsidR="004A6C9D">
        <w:rPr>
          <w:rFonts w:ascii="Times New Roman" w:hAnsi="Times New Roman" w:cs="Times New Roman"/>
          <w:b/>
          <w:szCs w:val="21"/>
        </w:rPr>
        <w:t>S</w:t>
      </w:r>
      <w:r w:rsidRPr="0074321A">
        <w:rPr>
          <w:rFonts w:ascii="Times New Roman" w:hAnsi="Times New Roman" w:cs="Times New Roman"/>
          <w:b/>
          <w:szCs w:val="21"/>
        </w:rPr>
        <w:t>4.</w:t>
      </w:r>
      <w:r w:rsidRPr="0074321A">
        <w:rPr>
          <w:rFonts w:ascii="Times New Roman" w:hAnsi="Times New Roman" w:cs="Times New Roman"/>
          <w:bCs/>
          <w:szCs w:val="21"/>
        </w:rPr>
        <w:t xml:space="preserve"> A </w:t>
      </w:r>
      <w:r w:rsidRPr="0074321A">
        <w:rPr>
          <w:rFonts w:ascii="Times New Roman" w:hAnsi="Times New Roman" w:cs="Times New Roman"/>
          <w:kern w:val="0"/>
          <w:szCs w:val="21"/>
        </w:rPr>
        <w:t>Western blotting analysis of tau isoforms in pinniped brains (longer exposure time of Figure 5C). Western blotting of TBS-soluble fractions obtained from the forebrain of various ages and treated with alkaline phosphatase. The left lane shows the three isoforms of human tau (recombinantly produced): three 4-repeat tau isoforms (0N4R, 1N4R, 2N4R). In pinniped brains, all three 4-repeat tau isoforms were detected using anti-4-repeat tau antibodies (arrows).</w:t>
      </w:r>
    </w:p>
    <w:p w14:paraId="3426C5AA" w14:textId="77777777" w:rsidR="008A0BDF" w:rsidRPr="008A0BDF" w:rsidRDefault="008A0BDF"/>
    <w:sectPr w:rsidR="008A0BDF" w:rsidRPr="008A0B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51E5C2" w14:textId="77777777" w:rsidR="00501318" w:rsidRDefault="00501318" w:rsidP="008A0BDF">
      <w:r>
        <w:separator/>
      </w:r>
    </w:p>
  </w:endnote>
  <w:endnote w:type="continuationSeparator" w:id="0">
    <w:p w14:paraId="3982E08E" w14:textId="77777777" w:rsidR="00501318" w:rsidRDefault="00501318" w:rsidP="008A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6BC32" w14:textId="77777777" w:rsidR="00501318" w:rsidRDefault="00501318" w:rsidP="008A0BDF">
      <w:r>
        <w:separator/>
      </w:r>
    </w:p>
  </w:footnote>
  <w:footnote w:type="continuationSeparator" w:id="0">
    <w:p w14:paraId="630681A1" w14:textId="77777777" w:rsidR="00501318" w:rsidRDefault="00501318" w:rsidP="008A0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E79"/>
    <w:rsid w:val="000D6947"/>
    <w:rsid w:val="001343A3"/>
    <w:rsid w:val="004A6C9D"/>
    <w:rsid w:val="00501318"/>
    <w:rsid w:val="00543E79"/>
    <w:rsid w:val="006737C3"/>
    <w:rsid w:val="008A0BDF"/>
    <w:rsid w:val="008C639D"/>
    <w:rsid w:val="00A50E64"/>
    <w:rsid w:val="00A62150"/>
    <w:rsid w:val="00D87068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018EE4"/>
  <w15:chartTrackingRefBased/>
  <w15:docId w15:val="{63295471-1460-4C34-90D5-8322F9DB2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B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0BDF"/>
  </w:style>
  <w:style w:type="paragraph" w:styleId="a5">
    <w:name w:val="footer"/>
    <w:basedOn w:val="a"/>
    <w:link w:val="a6"/>
    <w:uiPriority w:val="99"/>
    <w:unhideWhenUsed/>
    <w:rsid w:val="008A0B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0BDF"/>
  </w:style>
  <w:style w:type="table" w:styleId="a7">
    <w:name w:val="Table Grid"/>
    <w:basedOn w:val="a1"/>
    <w:uiPriority w:val="39"/>
    <w:rsid w:val="008A0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A0B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8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u-ta</dc:creator>
  <cp:keywords/>
  <dc:description/>
  <cp:lastModifiedBy>u-ta</cp:lastModifiedBy>
  <cp:revision>2</cp:revision>
  <dcterms:created xsi:type="dcterms:W3CDTF">2020-12-28T01:36:00Z</dcterms:created>
  <dcterms:modified xsi:type="dcterms:W3CDTF">2020-12-28T01:36:00Z</dcterms:modified>
</cp:coreProperties>
</file>