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9C" w:rsidRPr="007B52FA" w:rsidRDefault="00AF079C" w:rsidP="00AF079C">
      <w:pPr>
        <w:rPr>
          <w:b/>
        </w:rPr>
      </w:pPr>
      <w:r w:rsidRPr="007B52FA">
        <w:rPr>
          <w:b/>
        </w:rPr>
        <w:t>a</w:t>
      </w:r>
      <w:r w:rsidRPr="007B52FA">
        <w:rPr>
          <w:b/>
        </w:rPr>
        <w:tab/>
      </w:r>
    </w:p>
    <w:p w:rsidR="00AF079C" w:rsidRPr="007B52FA" w:rsidRDefault="00AF079C" w:rsidP="00AF079C">
      <w:pPr>
        <w:tabs>
          <w:tab w:val="left" w:pos="4680"/>
        </w:tabs>
        <w:autoSpaceDE w:val="0"/>
        <w:autoSpaceDN w:val="0"/>
        <w:adjustRightInd w:val="0"/>
        <w:jc w:val="center"/>
        <w:rPr>
          <w:b/>
          <w:noProof/>
        </w:rPr>
      </w:pPr>
      <w:r w:rsidRPr="007B52FA">
        <w:rPr>
          <w:b/>
          <w:noProof/>
          <w:lang w:eastAsia="en-US"/>
        </w:rPr>
        <w:drawing>
          <wp:inline distT="0" distB="0" distL="0" distR="0" wp14:anchorId="3CC4D848" wp14:editId="66AA0849">
            <wp:extent cx="3973286" cy="1766660"/>
            <wp:effectExtent l="0" t="0" r="190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2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535" cy="177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9C" w:rsidRDefault="00AF079C" w:rsidP="00AF079C">
      <w:pPr>
        <w:tabs>
          <w:tab w:val="left" w:pos="5280"/>
        </w:tabs>
        <w:autoSpaceDE w:val="0"/>
        <w:autoSpaceDN w:val="0"/>
        <w:adjustRightInd w:val="0"/>
        <w:ind w:leftChars="118" w:left="283"/>
        <w:jc w:val="center"/>
        <w:rPr>
          <w:b/>
          <w:noProof/>
          <w:lang w:eastAsia="en-US"/>
        </w:rPr>
      </w:pPr>
    </w:p>
    <w:p w:rsidR="00AF079C" w:rsidRPr="007B52FA" w:rsidRDefault="00AF079C" w:rsidP="00AF079C">
      <w:pPr>
        <w:tabs>
          <w:tab w:val="left" w:pos="5280"/>
        </w:tabs>
        <w:autoSpaceDE w:val="0"/>
        <w:autoSpaceDN w:val="0"/>
        <w:adjustRightInd w:val="0"/>
        <w:ind w:leftChars="118" w:left="283"/>
        <w:jc w:val="center"/>
        <w:rPr>
          <w:b/>
          <w:noProof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08AAAF29" wp14:editId="170E5CE9">
            <wp:simplePos x="0" y="0"/>
            <wp:positionH relativeFrom="column">
              <wp:posOffset>542925</wp:posOffset>
            </wp:positionH>
            <wp:positionV relativeFrom="paragraph">
              <wp:posOffset>1558290</wp:posOffset>
            </wp:positionV>
            <wp:extent cx="3924300" cy="478282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ippo-24m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2FA">
        <w:rPr>
          <w:b/>
          <w:noProof/>
          <w:lang w:eastAsia="en-US"/>
        </w:rPr>
        <w:drawing>
          <wp:inline distT="0" distB="0" distL="0" distR="0" wp14:anchorId="7D05B29C" wp14:editId="5EA2051A">
            <wp:extent cx="4515729" cy="1566702"/>
            <wp:effectExtent l="0" t="0" r="571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2a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249" cy="157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9C" w:rsidRPr="007B52FA" w:rsidRDefault="00AF079C" w:rsidP="00AF079C">
      <w:pPr>
        <w:rPr>
          <w:b/>
        </w:rPr>
      </w:pPr>
      <w:r w:rsidRPr="007B52FA">
        <w:rPr>
          <w:b/>
        </w:rPr>
        <w:t>b</w:t>
      </w:r>
    </w:p>
    <w:p w:rsidR="00AF079C" w:rsidRPr="007B52FA" w:rsidRDefault="00AF079C" w:rsidP="00AF079C">
      <w:pPr>
        <w:tabs>
          <w:tab w:val="left" w:pos="5280"/>
        </w:tabs>
        <w:autoSpaceDE w:val="0"/>
        <w:autoSpaceDN w:val="0"/>
        <w:adjustRightInd w:val="0"/>
        <w:jc w:val="center"/>
        <w:rPr>
          <w:b/>
          <w:noProof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</w:rPr>
      </w:pPr>
    </w:p>
    <w:p w:rsidR="00AF079C" w:rsidRPr="007B52FA" w:rsidRDefault="00AF079C" w:rsidP="00AF079C">
      <w:pPr>
        <w:spacing w:line="360" w:lineRule="auto"/>
        <w:jc w:val="both"/>
        <w:rPr>
          <w:b/>
          <w:sz w:val="28"/>
        </w:rPr>
      </w:pPr>
    </w:p>
    <w:p w:rsidR="00AF079C" w:rsidRPr="007B52FA" w:rsidRDefault="00AF079C" w:rsidP="00AF079C">
      <w:pPr>
        <w:spacing w:line="360" w:lineRule="auto"/>
        <w:ind w:left="1"/>
        <w:jc w:val="center"/>
        <w:rPr>
          <w:b/>
          <w:bCs/>
        </w:rPr>
      </w:pPr>
    </w:p>
    <w:p w:rsidR="00AF079C" w:rsidRPr="007B52FA" w:rsidRDefault="00AF079C" w:rsidP="00AF079C">
      <w:pPr>
        <w:tabs>
          <w:tab w:val="left" w:pos="5280"/>
        </w:tabs>
        <w:autoSpaceDE w:val="0"/>
        <w:autoSpaceDN w:val="0"/>
        <w:adjustRightInd w:val="0"/>
        <w:jc w:val="center"/>
        <w:rPr>
          <w:b/>
          <w:noProof/>
        </w:rPr>
      </w:pPr>
    </w:p>
    <w:p w:rsidR="00AF079C" w:rsidRPr="00AF079C" w:rsidRDefault="00AF079C" w:rsidP="00AF079C">
      <w:pPr>
        <w:tabs>
          <w:tab w:val="left" w:pos="5280"/>
        </w:tabs>
        <w:autoSpaceDE w:val="0"/>
        <w:autoSpaceDN w:val="0"/>
        <w:adjustRightInd w:val="0"/>
        <w:jc w:val="center"/>
        <w:rPr>
          <w:rFonts w:ascii="Berlin Sans FB" w:hAnsi="Berlin Sans FB"/>
          <w:b/>
          <w:noProof/>
        </w:rPr>
      </w:pPr>
    </w:p>
    <w:p w:rsidR="00AF079C" w:rsidRPr="007B52FA" w:rsidRDefault="00AF079C" w:rsidP="00AF079C">
      <w:pPr>
        <w:rPr>
          <w:b/>
        </w:rPr>
      </w:pPr>
      <w:r w:rsidRPr="007B52FA">
        <w:rPr>
          <w:b/>
        </w:rPr>
        <w:lastRenderedPageBreak/>
        <w:t>c</w:t>
      </w:r>
    </w:p>
    <w:p w:rsidR="00AF079C" w:rsidRPr="007B52FA" w:rsidRDefault="00AF079C" w:rsidP="00AF079C">
      <w:pPr>
        <w:tabs>
          <w:tab w:val="left" w:pos="5280"/>
        </w:tabs>
        <w:autoSpaceDE w:val="0"/>
        <w:autoSpaceDN w:val="0"/>
        <w:adjustRightInd w:val="0"/>
        <w:jc w:val="center"/>
        <w:rPr>
          <w:b/>
          <w:noProof/>
        </w:rPr>
      </w:pPr>
      <w:r w:rsidRPr="007B52FA">
        <w:rPr>
          <w:b/>
          <w:noProof/>
          <w:lang w:eastAsia="en-US"/>
        </w:rPr>
        <w:drawing>
          <wp:inline distT="0" distB="0" distL="0" distR="0" wp14:anchorId="36089B15" wp14:editId="03324D6C">
            <wp:extent cx="3254829" cy="1708819"/>
            <wp:effectExtent l="0" t="0" r="0" b="571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2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5" cy="17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9C" w:rsidRPr="007B52FA" w:rsidRDefault="00AF079C" w:rsidP="00AF079C">
      <w:pPr>
        <w:tabs>
          <w:tab w:val="left" w:pos="5280"/>
        </w:tabs>
        <w:autoSpaceDE w:val="0"/>
        <w:autoSpaceDN w:val="0"/>
        <w:adjustRightInd w:val="0"/>
        <w:jc w:val="center"/>
        <w:rPr>
          <w:b/>
          <w:noProof/>
        </w:rPr>
      </w:pPr>
    </w:p>
    <w:p w:rsidR="00AF079C" w:rsidRPr="007B52FA" w:rsidRDefault="00AF079C" w:rsidP="00AF079C">
      <w:pPr>
        <w:tabs>
          <w:tab w:val="left" w:pos="5280"/>
        </w:tabs>
        <w:autoSpaceDE w:val="0"/>
        <w:autoSpaceDN w:val="0"/>
        <w:adjustRightInd w:val="0"/>
        <w:jc w:val="center"/>
        <w:rPr>
          <w:b/>
          <w:noProof/>
        </w:rPr>
      </w:pPr>
    </w:p>
    <w:p w:rsidR="00AF079C" w:rsidRPr="007B52FA" w:rsidRDefault="00AF079C" w:rsidP="00AF079C">
      <w:pPr>
        <w:tabs>
          <w:tab w:val="left" w:pos="284"/>
        </w:tabs>
        <w:jc w:val="both"/>
        <w:rPr>
          <w:b/>
        </w:rPr>
      </w:pPr>
      <w:r w:rsidRPr="007B52FA">
        <w:rPr>
          <w:b/>
        </w:rPr>
        <w:t xml:space="preserve">Figure </w:t>
      </w:r>
      <w:r w:rsidR="008B3E0C">
        <w:rPr>
          <w:b/>
        </w:rPr>
        <w:t>S</w:t>
      </w:r>
      <w:bookmarkStart w:id="0" w:name="_GoBack"/>
      <w:bookmarkEnd w:id="0"/>
      <w:r w:rsidRPr="007B52FA">
        <w:rPr>
          <w:b/>
        </w:rPr>
        <w:t xml:space="preserve">2. Cognition analysis of N390D/+ male mice. </w:t>
      </w:r>
    </w:p>
    <w:p w:rsidR="00AF079C" w:rsidRPr="007B52FA" w:rsidRDefault="00AF079C" w:rsidP="00AF079C">
      <w:pPr>
        <w:tabs>
          <w:tab w:val="left" w:pos="284"/>
        </w:tabs>
        <w:jc w:val="both"/>
        <w:rPr>
          <w:bCs/>
        </w:rPr>
      </w:pPr>
      <w:r w:rsidRPr="007B52FA">
        <w:rPr>
          <w:b/>
        </w:rPr>
        <w:t>(a)</w:t>
      </w:r>
      <w:r w:rsidRPr="007B52FA">
        <w:t xml:space="preserve"> Flow chart of T-maze test. The mice learned and memorized the position of food during day1 to day3 (blue line). The position of food was changed on day 4 to observe the reversal learning ability of the mice (red line). The marks O and X were used for strengthening the spatial memory of hippocampus. The standby site of the young mice was 30-35 cm from the intersection. The site of 24-month old mice was closer (10 cm) from the intersection because of their dyskinesia. For more details, see Methods. T-maze test results are presented in the lower two panels. Note the similar cognitive function of the N390D/+ male mice as the +/+ male mice at both the ages of 3 months and 24 months (mean ± SEM). N=9 (&gt;3 each from lines #108 and #361) per group. (</w:t>
      </w:r>
      <w:r w:rsidRPr="007B52FA">
        <w:rPr>
          <w:b/>
          <w:bCs/>
        </w:rPr>
        <w:t>b</w:t>
      </w:r>
      <w:r w:rsidRPr="007B52FA">
        <w:rPr>
          <w:b/>
        </w:rPr>
        <w:t>)</w:t>
      </w:r>
      <w:r w:rsidRPr="007B52FA">
        <w:t xml:space="preserve"> Immunofluorescence co-staining analysis of the hippocampus of </w:t>
      </w:r>
      <w:r w:rsidRPr="007B52FA">
        <w:rPr>
          <w:rFonts w:eastAsia="WarnockPro-Regular"/>
        </w:rPr>
        <w:t xml:space="preserve">24-month old mice </w:t>
      </w:r>
      <w:r w:rsidRPr="007B52FA">
        <w:t xml:space="preserve">using anti-NeuN (green, a neuron marker), anti- pTDP-43 (gray) and anti-ubiquitin (Ub, red). </w:t>
      </w:r>
      <w:r w:rsidRPr="007B52FA">
        <w:rPr>
          <w:bCs/>
        </w:rPr>
        <w:t>DAPI (blue) indicates the locations of the nuclei.</w:t>
      </w:r>
      <w:r w:rsidRPr="007B52FA">
        <w:t xml:space="preserve"> </w:t>
      </w:r>
      <w:r w:rsidRPr="007B52FA">
        <w:rPr>
          <w:bCs/>
        </w:rPr>
        <w:t>The scale bar is 200 μm.</w:t>
      </w:r>
      <w:r w:rsidRPr="007B52FA">
        <w:rPr>
          <w:rFonts w:hint="eastAsia"/>
        </w:rPr>
        <w:t xml:space="preserve"> </w:t>
      </w:r>
      <w:r w:rsidRPr="007B52FA">
        <w:t>(</w:t>
      </w:r>
      <w:r w:rsidRPr="007B52FA">
        <w:rPr>
          <w:b/>
          <w:bCs/>
        </w:rPr>
        <w:t>c</w:t>
      </w:r>
      <w:r w:rsidRPr="007B52FA">
        <w:rPr>
          <w:b/>
        </w:rPr>
        <w:t>)</w:t>
      </w:r>
      <w:r w:rsidRPr="007B52FA">
        <w:t xml:space="preserve"> Statistical comparison of the average numbers of the neurons per brain section in the hippocampal dentate gyrus (DG), CA1, and CA3 regions of N390D/+ and +/+ male mice (mean ± SEM), respectively. At least </w:t>
      </w:r>
      <w:r w:rsidRPr="007B52FA">
        <w:rPr>
          <w:bCs/>
        </w:rPr>
        <w:t>2 discontinuous forebrain sections were counted for each mouse. N=3 (randomly chosen from lines #108 and/or #361</w:t>
      </w:r>
      <w:r w:rsidRPr="007B52FA">
        <w:t xml:space="preserve">) per group. </w:t>
      </w:r>
    </w:p>
    <w:p w:rsidR="00866F28" w:rsidRDefault="00866F28"/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Warnock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F079C"/>
    <w:rsid w:val="0011634E"/>
    <w:rsid w:val="0014555C"/>
    <w:rsid w:val="001D181C"/>
    <w:rsid w:val="003315B0"/>
    <w:rsid w:val="00652A7C"/>
    <w:rsid w:val="00866F28"/>
    <w:rsid w:val="008B3E0C"/>
    <w:rsid w:val="00955285"/>
    <w:rsid w:val="00A60763"/>
    <w:rsid w:val="00AE661B"/>
    <w:rsid w:val="00AF079C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79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79C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79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79C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1184</Characters>
  <Application>Microsoft Office Word</Application>
  <DocSecurity>0</DocSecurity>
  <Lines>43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2</cp:revision>
  <dcterms:created xsi:type="dcterms:W3CDTF">2020-01-08T10:26:00Z</dcterms:created>
  <dcterms:modified xsi:type="dcterms:W3CDTF">2020-01-11T02:32:00Z</dcterms:modified>
</cp:coreProperties>
</file>