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F3405" w14:textId="77777777" w:rsidR="00C878A7" w:rsidRPr="005938AA" w:rsidRDefault="00C878A7" w:rsidP="00C878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938AA">
        <w:rPr>
          <w:rFonts w:ascii="Arial" w:hAnsi="Arial" w:cs="Arial"/>
          <w:b/>
          <w:sz w:val="24"/>
          <w:szCs w:val="24"/>
        </w:rPr>
        <w:t>Hsp90 co-chaperones, FKBP52 and Aha1, promote tau pathogenesis in aged wild-type mice</w:t>
      </w:r>
    </w:p>
    <w:p w14:paraId="4F1B7DCE" w14:textId="77777777" w:rsidR="00C878A7" w:rsidRPr="005938AA" w:rsidRDefault="00C878A7" w:rsidP="00C878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CB62771" w14:textId="77777777" w:rsidR="00C878A7" w:rsidRPr="005938AA" w:rsidRDefault="00C878A7" w:rsidP="00C878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Hlk34216225"/>
      <w:r>
        <w:rPr>
          <w:rFonts w:ascii="Arial" w:hAnsi="Arial" w:cs="Arial"/>
          <w:b/>
          <w:sz w:val="24"/>
          <w:szCs w:val="24"/>
        </w:rPr>
        <w:t>Marangelie Criado-Marrero</w:t>
      </w:r>
      <w:r w:rsidRPr="005938AA">
        <w:rPr>
          <w:rFonts w:ascii="Arial" w:hAnsi="Arial" w:cs="Arial"/>
          <w:sz w:val="24"/>
          <w:szCs w:val="24"/>
          <w:vertAlign w:val="superscript"/>
        </w:rPr>
        <w:t>1,2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Pr="005938AA">
        <w:rPr>
          <w:rFonts w:ascii="Arial" w:hAnsi="Arial" w:cs="Arial"/>
          <w:b/>
          <w:sz w:val="24"/>
          <w:szCs w:val="24"/>
        </w:rPr>
        <w:t>Niat T. Gebru</w:t>
      </w:r>
      <w:r w:rsidRPr="005938AA">
        <w:rPr>
          <w:rFonts w:ascii="Arial" w:hAnsi="Arial" w:cs="Arial"/>
          <w:sz w:val="24"/>
          <w:szCs w:val="24"/>
          <w:vertAlign w:val="superscript"/>
        </w:rPr>
        <w:t>1,2</w:t>
      </w:r>
      <w:r w:rsidRPr="005938AA">
        <w:rPr>
          <w:rFonts w:ascii="Arial" w:hAnsi="Arial" w:cs="Arial"/>
          <w:b/>
          <w:sz w:val="24"/>
          <w:szCs w:val="24"/>
        </w:rPr>
        <w:t>, Danielle M. Blazier</w:t>
      </w:r>
      <w:r w:rsidRPr="005938AA">
        <w:rPr>
          <w:rFonts w:ascii="Arial" w:hAnsi="Arial" w:cs="Arial"/>
          <w:sz w:val="24"/>
          <w:szCs w:val="24"/>
          <w:vertAlign w:val="superscript"/>
        </w:rPr>
        <w:t>1,2</w:t>
      </w:r>
      <w:r w:rsidRPr="005938AA">
        <w:rPr>
          <w:rFonts w:ascii="Arial" w:hAnsi="Arial" w:cs="Arial"/>
          <w:b/>
          <w:sz w:val="24"/>
          <w:szCs w:val="24"/>
        </w:rPr>
        <w:t>, Lauren A. Gould</w:t>
      </w:r>
      <w:r w:rsidRPr="005938AA">
        <w:rPr>
          <w:rFonts w:ascii="Arial" w:hAnsi="Arial" w:cs="Arial"/>
          <w:sz w:val="24"/>
          <w:szCs w:val="24"/>
          <w:vertAlign w:val="superscript"/>
        </w:rPr>
        <w:t>1,2</w:t>
      </w:r>
      <w:r w:rsidRPr="005938AA">
        <w:rPr>
          <w:rFonts w:ascii="Arial" w:hAnsi="Arial" w:cs="Arial"/>
          <w:b/>
          <w:sz w:val="24"/>
          <w:szCs w:val="24"/>
        </w:rPr>
        <w:t>, Jeremy D. Baker</w:t>
      </w:r>
      <w:r w:rsidRPr="005938AA">
        <w:rPr>
          <w:rFonts w:ascii="Arial" w:hAnsi="Arial" w:cs="Arial"/>
          <w:sz w:val="24"/>
          <w:szCs w:val="24"/>
          <w:vertAlign w:val="superscript"/>
        </w:rPr>
        <w:t>1,2</w:t>
      </w:r>
      <w:r w:rsidRPr="005938AA">
        <w:rPr>
          <w:rFonts w:ascii="Arial" w:hAnsi="Arial" w:cs="Arial"/>
          <w:b/>
          <w:sz w:val="24"/>
          <w:szCs w:val="24"/>
        </w:rPr>
        <w:t>, David Beaulieu-Abdelahad</w:t>
      </w:r>
      <w:r w:rsidRPr="005938AA">
        <w:rPr>
          <w:rFonts w:ascii="Arial" w:hAnsi="Arial" w:cs="Arial"/>
          <w:sz w:val="24"/>
          <w:szCs w:val="24"/>
          <w:vertAlign w:val="superscript"/>
        </w:rPr>
        <w:t>1,2</w:t>
      </w:r>
      <w:r w:rsidRPr="005938AA">
        <w:rPr>
          <w:rFonts w:ascii="Arial" w:hAnsi="Arial" w:cs="Arial"/>
          <w:b/>
          <w:sz w:val="24"/>
          <w:szCs w:val="24"/>
        </w:rPr>
        <w:t>, Laura J. Blair</w:t>
      </w:r>
      <w:r w:rsidRPr="005938AA">
        <w:rPr>
          <w:rFonts w:ascii="Arial" w:hAnsi="Arial" w:cs="Arial"/>
          <w:sz w:val="24"/>
          <w:szCs w:val="24"/>
          <w:vertAlign w:val="superscript"/>
        </w:rPr>
        <w:t>1,2,3</w:t>
      </w:r>
    </w:p>
    <w:bookmarkEnd w:id="0"/>
    <w:p w14:paraId="23141190" w14:textId="77777777" w:rsidR="00C878A7" w:rsidRPr="005938AA" w:rsidRDefault="00C878A7" w:rsidP="00C878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3F2905C" w14:textId="77777777" w:rsidR="00C878A7" w:rsidRPr="005938AA" w:rsidRDefault="00C878A7" w:rsidP="00C878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B990B77" w14:textId="77777777" w:rsidR="00C878A7" w:rsidRPr="005938AA" w:rsidRDefault="00C878A7" w:rsidP="00C878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38AA">
        <w:rPr>
          <w:rFonts w:ascii="Arial" w:hAnsi="Arial" w:cs="Arial"/>
          <w:sz w:val="24"/>
          <w:szCs w:val="24"/>
          <w:vertAlign w:val="superscript"/>
        </w:rPr>
        <w:t>1</w:t>
      </w:r>
      <w:r w:rsidRPr="005938AA">
        <w:rPr>
          <w:rFonts w:ascii="Arial" w:hAnsi="Arial" w:cs="Arial"/>
          <w:sz w:val="24"/>
          <w:szCs w:val="24"/>
        </w:rPr>
        <w:t xml:space="preserve">USF Health Byrd Alzheimer’s Institute, University of South Florida, Tampa, FL 33613, USA </w:t>
      </w:r>
    </w:p>
    <w:p w14:paraId="5959993D" w14:textId="77777777" w:rsidR="00C878A7" w:rsidRPr="005938AA" w:rsidRDefault="00C878A7" w:rsidP="00C878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D589E29" w14:textId="77777777" w:rsidR="00C878A7" w:rsidRPr="005938AA" w:rsidRDefault="00C878A7" w:rsidP="00C878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38AA">
        <w:rPr>
          <w:rFonts w:ascii="Arial" w:hAnsi="Arial" w:cs="Arial"/>
          <w:sz w:val="24"/>
          <w:szCs w:val="24"/>
          <w:vertAlign w:val="superscript"/>
        </w:rPr>
        <w:t>2</w:t>
      </w:r>
      <w:r w:rsidRPr="005938AA">
        <w:rPr>
          <w:rFonts w:ascii="Arial" w:hAnsi="Arial" w:cs="Arial"/>
          <w:sz w:val="24"/>
          <w:szCs w:val="24"/>
        </w:rPr>
        <w:t xml:space="preserve">Department of Molecular Medicine, Morsani College of Medicine, University of South Florida, Tampa, FL 33620, USA </w:t>
      </w:r>
    </w:p>
    <w:p w14:paraId="2BB88567" w14:textId="77777777" w:rsidR="00C878A7" w:rsidRPr="005938AA" w:rsidRDefault="00C878A7" w:rsidP="00C878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0E29995" w14:textId="77777777" w:rsidR="00C878A7" w:rsidRPr="005938AA" w:rsidRDefault="00C878A7" w:rsidP="00C878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38AA">
        <w:rPr>
          <w:rFonts w:ascii="Arial" w:hAnsi="Arial" w:cs="Arial"/>
          <w:sz w:val="24"/>
          <w:szCs w:val="24"/>
          <w:vertAlign w:val="superscript"/>
        </w:rPr>
        <w:t>3</w:t>
      </w:r>
      <w:r w:rsidRPr="005938AA">
        <w:rPr>
          <w:rFonts w:ascii="Arial" w:hAnsi="Arial" w:cs="Arial"/>
          <w:sz w:val="24"/>
          <w:szCs w:val="24"/>
        </w:rPr>
        <w:t>Research Service, James A Haley Veterans Hospital, 13000 Bruce B Downs Blvd, Tampa, FL 33612, USA</w:t>
      </w:r>
    </w:p>
    <w:p w14:paraId="702AC8CF" w14:textId="77777777" w:rsidR="00C878A7" w:rsidRPr="005938AA" w:rsidRDefault="00C878A7" w:rsidP="00C878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466ABAE" w14:textId="77777777" w:rsidR="00C878A7" w:rsidRDefault="00C878A7" w:rsidP="00C878A7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156A4">
        <w:rPr>
          <w:rFonts w:ascii="Arial" w:hAnsi="Arial" w:cs="Arial"/>
          <w:sz w:val="24"/>
          <w:szCs w:val="24"/>
        </w:rPr>
        <w:t>Marangelie Criado-Marrero</w:t>
      </w:r>
      <w:r>
        <w:rPr>
          <w:rFonts w:ascii="Arial" w:hAnsi="Arial" w:cs="Arial"/>
          <w:sz w:val="24"/>
          <w:szCs w:val="24"/>
        </w:rPr>
        <w:t xml:space="preserve"> and</w:t>
      </w:r>
      <w:r w:rsidRPr="004156A4">
        <w:rPr>
          <w:rFonts w:ascii="Arial" w:hAnsi="Arial" w:cs="Arial"/>
          <w:sz w:val="24"/>
          <w:szCs w:val="24"/>
        </w:rPr>
        <w:t xml:space="preserve"> Niat T. Gebru </w:t>
      </w:r>
      <w:r>
        <w:rPr>
          <w:rFonts w:ascii="Arial" w:hAnsi="Arial" w:cs="Arial"/>
          <w:sz w:val="24"/>
          <w:szCs w:val="24"/>
        </w:rPr>
        <w:t>have contributed equally to this work.</w:t>
      </w:r>
    </w:p>
    <w:p w14:paraId="61D4FD10" w14:textId="77777777" w:rsidR="00C878A7" w:rsidRDefault="00C878A7" w:rsidP="00C878A7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42FD3A43" w14:textId="77777777" w:rsidR="00C878A7" w:rsidRPr="005938AA" w:rsidRDefault="00C878A7" w:rsidP="00C878A7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938AA">
        <w:rPr>
          <w:rFonts w:ascii="Arial" w:hAnsi="Arial" w:cs="Arial"/>
          <w:sz w:val="24"/>
          <w:szCs w:val="24"/>
        </w:rPr>
        <w:t>Corresponding author</w:t>
      </w:r>
    </w:p>
    <w:p w14:paraId="07B0E1F4" w14:textId="77777777" w:rsidR="00C878A7" w:rsidRPr="005938AA" w:rsidRDefault="00C878A7" w:rsidP="00C878A7">
      <w:pPr>
        <w:spacing w:line="240" w:lineRule="auto"/>
        <w:rPr>
          <w:rFonts w:ascii="Arial" w:hAnsi="Arial" w:cs="Arial"/>
          <w:bCs/>
          <w:sz w:val="24"/>
          <w:szCs w:val="24"/>
        </w:rPr>
      </w:pPr>
      <w:r w:rsidRPr="005938AA">
        <w:rPr>
          <w:rFonts w:ascii="Arial" w:hAnsi="Arial" w:cs="Arial"/>
          <w:bCs/>
          <w:sz w:val="24"/>
          <w:szCs w:val="24"/>
        </w:rPr>
        <w:t xml:space="preserve">Laura J. Blair, PhD </w:t>
      </w:r>
    </w:p>
    <w:p w14:paraId="27D8F74D" w14:textId="77777777" w:rsidR="00C878A7" w:rsidRPr="005938AA" w:rsidRDefault="00C878A7" w:rsidP="00C878A7">
      <w:pPr>
        <w:spacing w:line="240" w:lineRule="auto"/>
        <w:rPr>
          <w:rFonts w:ascii="Arial" w:hAnsi="Arial" w:cs="Arial"/>
          <w:bCs/>
          <w:sz w:val="24"/>
          <w:szCs w:val="24"/>
        </w:rPr>
      </w:pPr>
      <w:r w:rsidRPr="005938AA">
        <w:rPr>
          <w:rFonts w:ascii="Arial" w:hAnsi="Arial" w:cs="Arial"/>
          <w:bCs/>
          <w:sz w:val="24"/>
          <w:szCs w:val="24"/>
        </w:rPr>
        <w:t xml:space="preserve">(813) 396-0639 </w:t>
      </w:r>
    </w:p>
    <w:p w14:paraId="49941E83" w14:textId="77777777" w:rsidR="00C878A7" w:rsidRPr="005938AA" w:rsidRDefault="006653C4" w:rsidP="00C878A7">
      <w:pPr>
        <w:spacing w:line="240" w:lineRule="auto"/>
        <w:rPr>
          <w:rFonts w:ascii="Arial" w:hAnsi="Arial" w:cs="Arial"/>
          <w:bCs/>
          <w:sz w:val="24"/>
          <w:szCs w:val="24"/>
        </w:rPr>
      </w:pPr>
      <w:hyperlink r:id="rId4" w:history="1">
        <w:r w:rsidR="00C878A7" w:rsidRPr="005938AA">
          <w:rPr>
            <w:rStyle w:val="Hyperlink"/>
            <w:rFonts w:ascii="Arial" w:hAnsi="Arial" w:cs="Arial"/>
            <w:bCs/>
            <w:sz w:val="24"/>
            <w:szCs w:val="24"/>
          </w:rPr>
          <w:t>laurablair@usf.edu</w:t>
        </w:r>
      </w:hyperlink>
    </w:p>
    <w:p w14:paraId="526363C0" w14:textId="77777777" w:rsidR="00C878A7" w:rsidRPr="005938AA" w:rsidRDefault="00C878A7" w:rsidP="00C878A7">
      <w:pPr>
        <w:spacing w:line="240" w:lineRule="auto"/>
        <w:rPr>
          <w:rFonts w:ascii="Arial" w:hAnsi="Arial" w:cs="Arial"/>
          <w:bCs/>
          <w:sz w:val="24"/>
          <w:szCs w:val="24"/>
        </w:rPr>
      </w:pPr>
    </w:p>
    <w:p w14:paraId="49F6A6A0" w14:textId="77777777" w:rsidR="00C878A7" w:rsidRPr="005938AA" w:rsidRDefault="00C878A7" w:rsidP="00C878A7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5938AA">
        <w:rPr>
          <w:rFonts w:ascii="Arial" w:hAnsi="Arial" w:cs="Arial"/>
          <w:b/>
          <w:sz w:val="24"/>
          <w:szCs w:val="24"/>
        </w:rPr>
        <w:br w:type="page"/>
      </w:r>
    </w:p>
    <w:p w14:paraId="61B074C9" w14:textId="28DB56EF" w:rsidR="006A5238" w:rsidRDefault="00E82ED3">
      <w:r>
        <w:rPr>
          <w:rFonts w:ascii="Arial" w:eastAsia="Arial" w:hAnsi="Arial" w:cs="Arial"/>
          <w:noProof/>
          <w:sz w:val="24"/>
          <w:szCs w:val="24"/>
        </w:rPr>
        <w:lastRenderedPageBreak/>
        <w:drawing>
          <wp:inline distT="0" distB="0" distL="0" distR="0" wp14:anchorId="1373783B" wp14:editId="0E2E7F6E">
            <wp:extent cx="5648325" cy="82296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7872D" w14:textId="4F2164E8" w:rsidR="00C878A7" w:rsidRDefault="00E82ED3">
      <w:r>
        <w:rPr>
          <w:noProof/>
        </w:rPr>
        <w:lastRenderedPageBreak/>
        <w:drawing>
          <wp:inline distT="0" distB="0" distL="0" distR="0" wp14:anchorId="32C1014B" wp14:editId="0B5175D0">
            <wp:extent cx="5648325" cy="82296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F458B" w14:textId="49535200" w:rsidR="00C878A7" w:rsidRDefault="00E82ED3">
      <w:r>
        <w:rPr>
          <w:noProof/>
        </w:rPr>
        <w:lastRenderedPageBreak/>
        <w:drawing>
          <wp:inline distT="0" distB="0" distL="0" distR="0" wp14:anchorId="548F1320" wp14:editId="70C8257E">
            <wp:extent cx="5648325" cy="82296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3B11E" w14:textId="52E2BE0A" w:rsidR="00C878A7" w:rsidRPr="00395744" w:rsidRDefault="00C02C80" w:rsidP="00C878A7">
      <w:pPr>
        <w:spacing w:after="0" w:line="240" w:lineRule="auto"/>
        <w:jc w:val="both"/>
      </w:pPr>
      <w:r w:rsidRPr="00C02C80">
        <w:rPr>
          <w:rFonts w:ascii="Arial" w:eastAsia="Arial" w:hAnsi="Arial" w:cs="Arial"/>
          <w:b/>
          <w:bCs/>
          <w:sz w:val="24"/>
          <w:szCs w:val="24"/>
        </w:rPr>
        <w:lastRenderedPageBreak/>
        <w:t>Fig. S1</w:t>
      </w:r>
      <w:r w:rsidR="00C878A7" w:rsidRPr="01007CE9">
        <w:rPr>
          <w:rFonts w:ascii="Arial" w:eastAsia="Arial" w:hAnsi="Arial" w:cs="Arial"/>
          <w:b/>
          <w:bCs/>
          <w:sz w:val="24"/>
          <w:szCs w:val="24"/>
        </w:rPr>
        <w:t xml:space="preserve"> Overexpression of Aha1 </w:t>
      </w:r>
      <w:r w:rsidR="00D70143">
        <w:rPr>
          <w:rFonts w:ascii="Arial" w:eastAsia="Arial" w:hAnsi="Arial" w:cs="Arial"/>
          <w:b/>
          <w:bCs/>
          <w:sz w:val="24"/>
          <w:szCs w:val="24"/>
        </w:rPr>
        <w:t>or</w:t>
      </w:r>
      <w:r w:rsidR="00C878A7" w:rsidRPr="01007CE9">
        <w:rPr>
          <w:rFonts w:ascii="Arial" w:eastAsia="Arial" w:hAnsi="Arial" w:cs="Arial"/>
          <w:b/>
          <w:bCs/>
          <w:sz w:val="24"/>
          <w:szCs w:val="24"/>
        </w:rPr>
        <w:t xml:space="preserve"> FKBP52 increase</w:t>
      </w:r>
      <w:r w:rsidR="00D70143">
        <w:rPr>
          <w:rFonts w:ascii="Arial" w:eastAsia="Arial" w:hAnsi="Arial" w:cs="Arial"/>
          <w:b/>
          <w:bCs/>
          <w:sz w:val="24"/>
          <w:szCs w:val="24"/>
        </w:rPr>
        <w:t>s</w:t>
      </w:r>
      <w:r w:rsidR="00C878A7" w:rsidRPr="01007CE9">
        <w:rPr>
          <w:rFonts w:ascii="Arial" w:eastAsia="Arial" w:hAnsi="Arial" w:cs="Arial"/>
          <w:b/>
          <w:bCs/>
          <w:sz w:val="24"/>
          <w:szCs w:val="24"/>
        </w:rPr>
        <w:t xml:space="preserve"> discrete phospho-tau species in aged wild-type mice.</w:t>
      </w:r>
      <w:r w:rsidR="00C878A7" w:rsidRPr="01007CE9">
        <w:rPr>
          <w:rFonts w:ascii="Arial" w:eastAsia="Arial" w:hAnsi="Arial" w:cs="Arial"/>
          <w:sz w:val="24"/>
          <w:szCs w:val="24"/>
        </w:rPr>
        <w:t xml:space="preserve"> </w:t>
      </w:r>
      <w:r w:rsidR="008B694E">
        <w:rPr>
          <w:rFonts w:ascii="Arial" w:eastAsia="Arial" w:hAnsi="Arial" w:cs="Arial"/>
          <w:sz w:val="24"/>
          <w:szCs w:val="24"/>
        </w:rPr>
        <w:t>Additional</w:t>
      </w:r>
      <w:r w:rsidR="00C878A7" w:rsidRPr="01007CE9">
        <w:rPr>
          <w:rFonts w:ascii="Arial" w:eastAsia="Arial" w:hAnsi="Arial" w:cs="Arial"/>
          <w:sz w:val="24"/>
          <w:szCs w:val="24"/>
        </w:rPr>
        <w:t xml:space="preserve"> </w:t>
      </w:r>
      <w:r w:rsidR="00C878A7">
        <w:rPr>
          <w:rFonts w:ascii="Arial" w:eastAsia="Arial" w:hAnsi="Arial" w:cs="Arial"/>
          <w:sz w:val="24"/>
          <w:szCs w:val="24"/>
        </w:rPr>
        <w:t>insets</w:t>
      </w:r>
      <w:r w:rsidR="008B694E">
        <w:rPr>
          <w:rFonts w:ascii="Arial" w:eastAsia="Arial" w:hAnsi="Arial" w:cs="Arial"/>
          <w:sz w:val="24"/>
          <w:szCs w:val="24"/>
        </w:rPr>
        <w:t xml:space="preserve"> from Figure 3 showing the</w:t>
      </w:r>
      <w:r w:rsidR="00C878A7">
        <w:rPr>
          <w:rFonts w:ascii="Arial" w:eastAsia="Arial" w:hAnsi="Arial" w:cs="Arial"/>
          <w:sz w:val="24"/>
          <w:szCs w:val="24"/>
        </w:rPr>
        <w:t xml:space="preserve"> CA1, CA3</w:t>
      </w:r>
      <w:r w:rsidR="008B694E">
        <w:rPr>
          <w:rFonts w:ascii="Arial" w:eastAsia="Arial" w:hAnsi="Arial" w:cs="Arial"/>
          <w:sz w:val="24"/>
          <w:szCs w:val="24"/>
        </w:rPr>
        <w:t>,</w:t>
      </w:r>
      <w:r w:rsidR="00C878A7">
        <w:rPr>
          <w:rFonts w:ascii="Arial" w:eastAsia="Arial" w:hAnsi="Arial" w:cs="Arial"/>
          <w:sz w:val="24"/>
          <w:szCs w:val="24"/>
        </w:rPr>
        <w:t xml:space="preserve"> and dentate gyrus</w:t>
      </w:r>
      <w:r w:rsidR="00A44AC2">
        <w:rPr>
          <w:rFonts w:ascii="Arial" w:eastAsia="Arial" w:hAnsi="Arial" w:cs="Arial"/>
          <w:sz w:val="24"/>
          <w:szCs w:val="24"/>
        </w:rPr>
        <w:t xml:space="preserve"> (DG)</w:t>
      </w:r>
      <w:r w:rsidR="00C878A7">
        <w:rPr>
          <w:rFonts w:ascii="Arial" w:eastAsia="Arial" w:hAnsi="Arial" w:cs="Arial"/>
          <w:sz w:val="24"/>
          <w:szCs w:val="24"/>
        </w:rPr>
        <w:t xml:space="preserve"> </w:t>
      </w:r>
      <w:r w:rsidR="00C878A7" w:rsidRPr="01007CE9">
        <w:rPr>
          <w:rFonts w:ascii="Arial" w:eastAsia="Arial" w:hAnsi="Arial" w:cs="Arial"/>
          <w:sz w:val="24"/>
          <w:szCs w:val="24"/>
        </w:rPr>
        <w:t>from 16-months old wild-type mice expressing AAV9-mCherry, AAV9-Aha1, or AAV9-FKBP52 stained for (</w:t>
      </w:r>
      <w:r w:rsidR="00C878A7" w:rsidRPr="01007CE9">
        <w:rPr>
          <w:rFonts w:ascii="Arial" w:eastAsia="Arial" w:hAnsi="Arial" w:cs="Arial"/>
          <w:b/>
          <w:bCs/>
          <w:sz w:val="24"/>
          <w:szCs w:val="24"/>
        </w:rPr>
        <w:t>a</w:t>
      </w:r>
      <w:r w:rsidR="00C878A7" w:rsidRPr="01007CE9">
        <w:rPr>
          <w:rFonts w:ascii="Arial" w:eastAsia="Arial" w:hAnsi="Arial" w:cs="Arial"/>
          <w:sz w:val="24"/>
          <w:szCs w:val="24"/>
        </w:rPr>
        <w:t xml:space="preserve">) </w:t>
      </w:r>
      <w:r w:rsidR="006653C4">
        <w:rPr>
          <w:rFonts w:ascii="Arial" w:eastAsia="Arial" w:hAnsi="Arial" w:cs="Arial"/>
          <w:sz w:val="24"/>
          <w:szCs w:val="24"/>
        </w:rPr>
        <w:t xml:space="preserve">total </w:t>
      </w:r>
      <w:r w:rsidR="00C878A7" w:rsidRPr="01007CE9">
        <w:rPr>
          <w:rFonts w:ascii="Arial" w:eastAsia="Arial" w:hAnsi="Arial" w:cs="Arial"/>
          <w:sz w:val="24"/>
          <w:szCs w:val="24"/>
        </w:rPr>
        <w:t>tau (Dako)</w:t>
      </w:r>
      <w:r w:rsidR="008B694E">
        <w:rPr>
          <w:rFonts w:ascii="Arial" w:eastAsia="Arial" w:hAnsi="Arial" w:cs="Arial"/>
          <w:sz w:val="24"/>
          <w:szCs w:val="24"/>
        </w:rPr>
        <w:t>,</w:t>
      </w:r>
      <w:r w:rsidR="00C878A7" w:rsidRPr="01007CE9">
        <w:rPr>
          <w:rFonts w:ascii="Arial" w:eastAsia="Arial" w:hAnsi="Arial" w:cs="Arial"/>
          <w:sz w:val="24"/>
          <w:szCs w:val="24"/>
        </w:rPr>
        <w:t xml:space="preserve"> (</w:t>
      </w:r>
      <w:r w:rsidR="00C878A7">
        <w:rPr>
          <w:rFonts w:ascii="Arial" w:eastAsia="Arial" w:hAnsi="Arial" w:cs="Arial"/>
          <w:b/>
          <w:bCs/>
          <w:sz w:val="24"/>
          <w:szCs w:val="24"/>
        </w:rPr>
        <w:t>b</w:t>
      </w:r>
      <w:r w:rsidR="00C878A7" w:rsidRPr="01007CE9">
        <w:rPr>
          <w:rFonts w:ascii="Arial" w:eastAsia="Arial" w:hAnsi="Arial" w:cs="Arial"/>
          <w:sz w:val="24"/>
          <w:szCs w:val="24"/>
        </w:rPr>
        <w:t>) pT231</w:t>
      </w:r>
      <w:r w:rsidR="008B694E">
        <w:rPr>
          <w:rFonts w:ascii="Arial" w:eastAsia="Arial" w:hAnsi="Arial" w:cs="Arial"/>
          <w:sz w:val="24"/>
          <w:szCs w:val="24"/>
        </w:rPr>
        <w:t xml:space="preserve"> tau</w:t>
      </w:r>
      <w:r w:rsidR="00C878A7" w:rsidRPr="01007CE9">
        <w:rPr>
          <w:rFonts w:ascii="Arial" w:eastAsia="Arial" w:hAnsi="Arial" w:cs="Arial"/>
          <w:sz w:val="24"/>
          <w:szCs w:val="24"/>
        </w:rPr>
        <w:t>, (</w:t>
      </w:r>
      <w:r w:rsidR="00C878A7">
        <w:rPr>
          <w:rFonts w:ascii="Arial" w:eastAsia="Arial" w:hAnsi="Arial" w:cs="Arial"/>
          <w:b/>
          <w:bCs/>
          <w:sz w:val="24"/>
          <w:szCs w:val="24"/>
        </w:rPr>
        <w:t>c</w:t>
      </w:r>
      <w:r w:rsidR="00C878A7" w:rsidRPr="01007CE9">
        <w:rPr>
          <w:rFonts w:ascii="Arial" w:eastAsia="Arial" w:hAnsi="Arial" w:cs="Arial"/>
          <w:sz w:val="24"/>
          <w:szCs w:val="24"/>
        </w:rPr>
        <w:t>) AT8 (pS202/T205)</w:t>
      </w:r>
      <w:r w:rsidR="008B694E">
        <w:rPr>
          <w:rFonts w:ascii="Arial" w:eastAsia="Arial" w:hAnsi="Arial" w:cs="Arial"/>
          <w:sz w:val="24"/>
          <w:szCs w:val="24"/>
        </w:rPr>
        <w:t xml:space="preserve"> tau</w:t>
      </w:r>
      <w:r w:rsidR="00C878A7" w:rsidRPr="01007CE9">
        <w:rPr>
          <w:rFonts w:ascii="Arial" w:eastAsia="Arial" w:hAnsi="Arial" w:cs="Arial"/>
          <w:sz w:val="24"/>
          <w:szCs w:val="24"/>
        </w:rPr>
        <w:t>, and (</w:t>
      </w:r>
      <w:r w:rsidR="00C878A7">
        <w:rPr>
          <w:rFonts w:ascii="Arial" w:eastAsia="Arial" w:hAnsi="Arial" w:cs="Arial"/>
          <w:b/>
          <w:bCs/>
          <w:sz w:val="24"/>
          <w:szCs w:val="24"/>
        </w:rPr>
        <w:t>d</w:t>
      </w:r>
      <w:r w:rsidR="00C878A7" w:rsidRPr="01007CE9">
        <w:rPr>
          <w:rFonts w:ascii="Arial" w:eastAsia="Arial" w:hAnsi="Arial" w:cs="Arial"/>
          <w:sz w:val="24"/>
          <w:szCs w:val="24"/>
        </w:rPr>
        <w:t>) pS396 tau, as well as (</w:t>
      </w:r>
      <w:r w:rsidR="00C878A7">
        <w:rPr>
          <w:rFonts w:ascii="Arial" w:eastAsia="Arial" w:hAnsi="Arial" w:cs="Arial"/>
          <w:b/>
          <w:bCs/>
          <w:sz w:val="24"/>
          <w:szCs w:val="24"/>
        </w:rPr>
        <w:t>e</w:t>
      </w:r>
      <w:r w:rsidR="00C878A7" w:rsidRPr="01007CE9">
        <w:rPr>
          <w:rFonts w:ascii="Arial" w:eastAsia="Arial" w:hAnsi="Arial" w:cs="Arial"/>
          <w:sz w:val="24"/>
          <w:szCs w:val="24"/>
        </w:rPr>
        <w:t>) T22 oligomeric tau and (</w:t>
      </w:r>
      <w:r w:rsidR="00C878A7">
        <w:rPr>
          <w:rFonts w:ascii="Arial" w:eastAsia="Arial" w:hAnsi="Arial" w:cs="Arial"/>
          <w:b/>
          <w:bCs/>
          <w:sz w:val="24"/>
          <w:szCs w:val="24"/>
        </w:rPr>
        <w:t>f</w:t>
      </w:r>
      <w:r w:rsidR="00C878A7" w:rsidRPr="01007CE9">
        <w:rPr>
          <w:rFonts w:ascii="Arial" w:eastAsia="Arial" w:hAnsi="Arial" w:cs="Arial"/>
          <w:sz w:val="24"/>
          <w:szCs w:val="24"/>
        </w:rPr>
        <w:t>) Gallyas silver-positive tau. Scale bar represents 10 µm</w:t>
      </w:r>
      <w:r w:rsidR="00C878A7">
        <w:rPr>
          <w:rFonts w:ascii="Arial" w:eastAsia="Arial" w:hAnsi="Arial" w:cs="Arial"/>
          <w:sz w:val="24"/>
          <w:szCs w:val="24"/>
        </w:rPr>
        <w:t>.</w:t>
      </w:r>
    </w:p>
    <w:p w14:paraId="3B84AAA8" w14:textId="77777777" w:rsidR="00C878A7" w:rsidRDefault="00C878A7"/>
    <w:sectPr w:rsidR="00C878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8A7"/>
    <w:rsid w:val="002D5876"/>
    <w:rsid w:val="006653C4"/>
    <w:rsid w:val="006A5238"/>
    <w:rsid w:val="007141A0"/>
    <w:rsid w:val="008B694E"/>
    <w:rsid w:val="00A44AC2"/>
    <w:rsid w:val="00C02C80"/>
    <w:rsid w:val="00C878A7"/>
    <w:rsid w:val="00D70143"/>
    <w:rsid w:val="00E82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79543"/>
  <w15:chartTrackingRefBased/>
  <w15:docId w15:val="{57DE4285-ADB7-4E62-9378-201740117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8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878A7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878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78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78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78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78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hyperlink" Target="mailto:laurablair@usf.ed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Marangelie Criado-Marrero</dc:creator>
  <cp:keywords/>
  <dc:description/>
  <cp:lastModifiedBy>Blair, Laura J.</cp:lastModifiedBy>
  <cp:revision>6</cp:revision>
  <dcterms:created xsi:type="dcterms:W3CDTF">2021-03-12T19:57:00Z</dcterms:created>
  <dcterms:modified xsi:type="dcterms:W3CDTF">2021-03-23T14:22:00Z</dcterms:modified>
</cp:coreProperties>
</file>