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CDF4F" w14:textId="34852C66" w:rsidR="004A0D0F" w:rsidRPr="009B5A73" w:rsidRDefault="008115D0" w:rsidP="00D82006">
      <w:pPr>
        <w:pStyle w:val="Heading1"/>
        <w:jc w:val="center"/>
        <w:rPr>
          <w:rFonts w:eastAsia="Times New Roman"/>
          <w:lang w:val="en-US" w:eastAsia="en-GB"/>
        </w:rPr>
      </w:pPr>
      <w:r>
        <w:rPr>
          <w:rFonts w:eastAsia="Times New Roman"/>
          <w:lang w:val="en-US" w:eastAsia="en-GB"/>
        </w:rPr>
        <w:t>Additional file 2</w:t>
      </w:r>
    </w:p>
    <w:p w14:paraId="67DFC8AB" w14:textId="7E8CCF91" w:rsidR="00D82006" w:rsidRPr="009B5A73" w:rsidRDefault="00301FC3" w:rsidP="00EA4E53">
      <w:pPr>
        <w:jc w:val="center"/>
        <w:rPr>
          <w:lang w:val="en-US" w:eastAsia="en-GB"/>
        </w:rPr>
      </w:pPr>
      <w:r w:rsidRPr="009B5A73">
        <w:rPr>
          <w:noProof/>
          <w:lang w:val="en-IN" w:eastAsia="en-IN"/>
        </w:rPr>
        <w:drawing>
          <wp:inline distT="0" distB="0" distL="0" distR="0" wp14:anchorId="2CB3BBEF" wp14:editId="27B2C5B6">
            <wp:extent cx="5292969" cy="4352785"/>
            <wp:effectExtent l="0" t="0" r="317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5609"/>
                    <a:stretch/>
                  </pic:blipFill>
                  <pic:spPr bwMode="auto">
                    <a:xfrm>
                      <a:off x="0" y="0"/>
                      <a:ext cx="5302988" cy="4361024"/>
                    </a:xfrm>
                    <a:prstGeom prst="rect">
                      <a:avLst/>
                    </a:prstGeom>
                    <a:noFill/>
                    <a:ln>
                      <a:noFill/>
                    </a:ln>
                    <a:extLst>
                      <a:ext uri="{53640926-AAD7-44D8-BBD7-CCE9431645EC}">
                        <a14:shadowObscured xmlns:a14="http://schemas.microsoft.com/office/drawing/2010/main"/>
                      </a:ext>
                    </a:extLst>
                  </pic:spPr>
                </pic:pic>
              </a:graphicData>
            </a:graphic>
          </wp:inline>
        </w:drawing>
      </w:r>
    </w:p>
    <w:p w14:paraId="14826051" w14:textId="1929B24C" w:rsidR="00AB10CE" w:rsidRPr="009B5A73" w:rsidRDefault="00AB10CE" w:rsidP="00700351">
      <w:pPr>
        <w:spacing w:line="360" w:lineRule="auto"/>
        <w:jc w:val="both"/>
        <w:rPr>
          <w:sz w:val="24"/>
          <w:lang w:val="en-US" w:eastAsia="en-GB"/>
        </w:rPr>
      </w:pPr>
      <w:r w:rsidRPr="009B5A73">
        <w:rPr>
          <w:b/>
          <w:bCs/>
          <w:sz w:val="24"/>
          <w:lang w:val="en-US" w:eastAsia="en-GB"/>
        </w:rPr>
        <w:t xml:space="preserve">Fig. </w:t>
      </w:r>
      <w:r w:rsidR="008115D0">
        <w:rPr>
          <w:b/>
          <w:bCs/>
          <w:sz w:val="24"/>
          <w:lang w:val="en-US" w:eastAsia="en-GB"/>
        </w:rPr>
        <w:t>S</w:t>
      </w:r>
      <w:r w:rsidRPr="009B5A73">
        <w:rPr>
          <w:b/>
          <w:bCs/>
          <w:sz w:val="24"/>
          <w:lang w:val="en-US" w:eastAsia="en-GB"/>
        </w:rPr>
        <w:t xml:space="preserve">1: </w:t>
      </w:r>
      <w:r w:rsidRPr="009B5A73">
        <w:rPr>
          <w:b/>
          <w:bCs/>
          <w:i/>
          <w:iCs/>
          <w:sz w:val="24"/>
          <w:lang w:val="en-US" w:eastAsia="en-GB"/>
        </w:rPr>
        <w:t>CD276</w:t>
      </w:r>
      <w:r w:rsidRPr="009B5A73">
        <w:rPr>
          <w:b/>
          <w:bCs/>
          <w:sz w:val="24"/>
          <w:lang w:val="en-US" w:eastAsia="en-GB"/>
        </w:rPr>
        <w:t xml:space="preserve"> mRNA expression is an independent </w:t>
      </w:r>
      <w:r w:rsidR="00651D81">
        <w:rPr>
          <w:b/>
          <w:bCs/>
          <w:sz w:val="24"/>
          <w:lang w:val="en-US" w:eastAsia="en-GB"/>
        </w:rPr>
        <w:t>prognosis factor in GBM</w:t>
      </w:r>
      <w:r w:rsidRPr="009B5A73">
        <w:rPr>
          <w:b/>
          <w:bCs/>
          <w:sz w:val="24"/>
          <w:lang w:val="en-US" w:eastAsia="en-GB"/>
        </w:rPr>
        <w:t xml:space="preserve"> and all glioma patients. A. </w:t>
      </w:r>
      <w:r w:rsidRPr="009B5A73">
        <w:rPr>
          <w:sz w:val="24"/>
          <w:lang w:val="en-US" w:eastAsia="en-GB"/>
        </w:rPr>
        <w:t>Data from The Cancer Genome Atlas (TCGA) database in GBM patients expressing high (</w:t>
      </w:r>
      <w:r w:rsidRPr="009B5A73">
        <w:rPr>
          <w:i/>
          <w:iCs/>
          <w:sz w:val="24"/>
          <w:lang w:val="en-US" w:eastAsia="en-GB"/>
        </w:rPr>
        <w:t xml:space="preserve">N </w:t>
      </w:r>
      <w:r w:rsidRPr="009B5A73">
        <w:rPr>
          <w:sz w:val="24"/>
          <w:lang w:val="en-US" w:eastAsia="en-GB"/>
        </w:rPr>
        <w:t>= 76, red) or low (</w:t>
      </w:r>
      <w:r w:rsidRPr="009B5A73">
        <w:rPr>
          <w:i/>
          <w:iCs/>
          <w:sz w:val="24"/>
          <w:lang w:val="en-US" w:eastAsia="en-GB"/>
        </w:rPr>
        <w:t xml:space="preserve">N </w:t>
      </w:r>
      <w:r w:rsidRPr="009B5A73">
        <w:rPr>
          <w:sz w:val="24"/>
          <w:lang w:val="en-US" w:eastAsia="en-GB"/>
        </w:rPr>
        <w:t xml:space="preserve">= 76, blue) </w:t>
      </w:r>
      <w:r w:rsidRPr="009B5A73">
        <w:rPr>
          <w:i/>
          <w:iCs/>
          <w:sz w:val="24"/>
          <w:lang w:val="en-US" w:eastAsia="en-GB"/>
        </w:rPr>
        <w:t xml:space="preserve">CD276 </w:t>
      </w:r>
      <w:r w:rsidRPr="009B5A73">
        <w:rPr>
          <w:sz w:val="24"/>
          <w:lang w:val="en-US" w:eastAsia="en-GB"/>
        </w:rPr>
        <w:t xml:space="preserve">mRNA level </w:t>
      </w:r>
      <w:r w:rsidRPr="009B5A73">
        <w:rPr>
          <w:b/>
          <w:bCs/>
          <w:sz w:val="24"/>
          <w:lang w:val="en-US" w:eastAsia="en-GB"/>
        </w:rPr>
        <w:t xml:space="preserve">B. </w:t>
      </w:r>
      <w:r w:rsidRPr="009B5A73">
        <w:rPr>
          <w:sz w:val="24"/>
          <w:lang w:val="en-US" w:eastAsia="en-GB"/>
        </w:rPr>
        <w:t>Data from TCGA database in all glioma patients expressing high (</w:t>
      </w:r>
      <w:r w:rsidRPr="009B5A73">
        <w:rPr>
          <w:i/>
          <w:iCs/>
          <w:sz w:val="24"/>
          <w:lang w:val="en-US" w:eastAsia="en-GB"/>
        </w:rPr>
        <w:t xml:space="preserve">N </w:t>
      </w:r>
      <w:r w:rsidRPr="009B5A73">
        <w:rPr>
          <w:sz w:val="24"/>
          <w:lang w:val="en-US" w:eastAsia="en-GB"/>
        </w:rPr>
        <w:t>= 335, red) or low (</w:t>
      </w:r>
      <w:r w:rsidRPr="009B5A73">
        <w:rPr>
          <w:i/>
          <w:iCs/>
          <w:sz w:val="24"/>
          <w:lang w:val="en-US" w:eastAsia="en-GB"/>
        </w:rPr>
        <w:t xml:space="preserve">N </w:t>
      </w:r>
      <w:r w:rsidRPr="009B5A73">
        <w:rPr>
          <w:sz w:val="24"/>
          <w:lang w:val="en-US" w:eastAsia="en-GB"/>
        </w:rPr>
        <w:t xml:space="preserve">= 332, blue) </w:t>
      </w:r>
      <w:r w:rsidRPr="009B5A73">
        <w:rPr>
          <w:i/>
          <w:iCs/>
          <w:sz w:val="24"/>
          <w:lang w:val="en-US" w:eastAsia="en-GB"/>
        </w:rPr>
        <w:t>CD276</w:t>
      </w:r>
      <w:r w:rsidRPr="009B5A73">
        <w:rPr>
          <w:sz w:val="24"/>
          <w:lang w:val="en-US" w:eastAsia="en-GB"/>
        </w:rPr>
        <w:t xml:space="preserve"> mRNA level. </w:t>
      </w:r>
      <w:r w:rsidR="004B3645" w:rsidRPr="009B5A73">
        <w:rPr>
          <w:b/>
          <w:bCs/>
          <w:sz w:val="24"/>
          <w:lang w:val="en-US" w:eastAsia="en-GB"/>
        </w:rPr>
        <w:t xml:space="preserve">C. </w:t>
      </w:r>
      <w:r w:rsidR="004B3645" w:rsidRPr="009B5A73">
        <w:rPr>
          <w:sz w:val="24"/>
          <w:lang w:val="en-US" w:eastAsia="en-GB"/>
        </w:rPr>
        <w:t>Data from the Chinese Glioma Genome Atlas (CGGA) database in glioma patients expressing high (</w:t>
      </w:r>
      <w:r w:rsidR="004B3645" w:rsidRPr="009B5A73">
        <w:rPr>
          <w:i/>
          <w:iCs/>
          <w:sz w:val="24"/>
          <w:lang w:val="en-US" w:eastAsia="en-GB"/>
        </w:rPr>
        <w:t xml:space="preserve">N </w:t>
      </w:r>
      <w:r w:rsidR="004B3645" w:rsidRPr="009B5A73">
        <w:rPr>
          <w:sz w:val="24"/>
          <w:lang w:val="en-US" w:eastAsia="en-GB"/>
        </w:rPr>
        <w:t>= 492, red) or low (</w:t>
      </w:r>
      <w:r w:rsidR="004B3645" w:rsidRPr="009B5A73">
        <w:rPr>
          <w:i/>
          <w:iCs/>
          <w:sz w:val="24"/>
          <w:lang w:val="en-US" w:eastAsia="en-GB"/>
        </w:rPr>
        <w:t xml:space="preserve">N </w:t>
      </w:r>
      <w:r w:rsidR="004B3645" w:rsidRPr="009B5A73">
        <w:rPr>
          <w:sz w:val="24"/>
          <w:lang w:val="en-US" w:eastAsia="en-GB"/>
        </w:rPr>
        <w:t xml:space="preserve">= 491, blue) </w:t>
      </w:r>
      <w:r w:rsidR="004B3645" w:rsidRPr="009B5A73">
        <w:rPr>
          <w:i/>
          <w:iCs/>
          <w:sz w:val="24"/>
          <w:lang w:val="en-US" w:eastAsia="en-GB"/>
        </w:rPr>
        <w:t>CD276</w:t>
      </w:r>
      <w:r w:rsidR="004B3645" w:rsidRPr="009B5A73">
        <w:rPr>
          <w:sz w:val="24"/>
          <w:lang w:val="en-US" w:eastAsia="en-GB"/>
        </w:rPr>
        <w:t xml:space="preserve"> mRNA level. </w:t>
      </w:r>
      <w:r w:rsidR="004B3645" w:rsidRPr="009B5A73">
        <w:rPr>
          <w:b/>
          <w:bCs/>
          <w:sz w:val="24"/>
          <w:lang w:val="en-US" w:eastAsia="en-GB"/>
        </w:rPr>
        <w:t xml:space="preserve">D. </w:t>
      </w:r>
      <w:r w:rsidR="004B3645" w:rsidRPr="009B5A73">
        <w:rPr>
          <w:sz w:val="24"/>
          <w:lang w:val="en-US" w:eastAsia="en-GB"/>
        </w:rPr>
        <w:t>Data from REpository for Molecular BRAin Neoplasia DaTa (REMBRANDT) database in glioma patients expressing high (</w:t>
      </w:r>
      <w:r w:rsidR="004B3645" w:rsidRPr="009B5A73">
        <w:rPr>
          <w:i/>
          <w:iCs/>
          <w:sz w:val="24"/>
          <w:lang w:val="en-US" w:eastAsia="en-GB"/>
        </w:rPr>
        <w:t xml:space="preserve">N </w:t>
      </w:r>
      <w:r w:rsidR="004B3645" w:rsidRPr="009B5A73">
        <w:rPr>
          <w:sz w:val="24"/>
          <w:lang w:val="en-US" w:eastAsia="en-GB"/>
        </w:rPr>
        <w:t>= 202, red) or low (</w:t>
      </w:r>
      <w:r w:rsidR="004B3645" w:rsidRPr="009B5A73">
        <w:rPr>
          <w:i/>
          <w:iCs/>
          <w:sz w:val="24"/>
          <w:lang w:val="en-US" w:eastAsia="en-GB"/>
        </w:rPr>
        <w:t xml:space="preserve">N </w:t>
      </w:r>
      <w:r w:rsidR="004B3645" w:rsidRPr="009B5A73">
        <w:rPr>
          <w:sz w:val="24"/>
          <w:lang w:val="en-US" w:eastAsia="en-GB"/>
        </w:rPr>
        <w:t xml:space="preserve">= 195, blue) </w:t>
      </w:r>
      <w:r w:rsidR="004B3645" w:rsidRPr="009B5A73">
        <w:rPr>
          <w:i/>
          <w:iCs/>
          <w:sz w:val="24"/>
          <w:lang w:val="en-US" w:eastAsia="en-GB"/>
        </w:rPr>
        <w:t>CD276</w:t>
      </w:r>
      <w:r w:rsidR="004B3645" w:rsidRPr="009B5A73">
        <w:rPr>
          <w:sz w:val="24"/>
          <w:lang w:val="en-US" w:eastAsia="en-GB"/>
        </w:rPr>
        <w:t xml:space="preserve"> mRNA level. Data were </w:t>
      </w:r>
      <w:r w:rsidR="00700351" w:rsidRPr="009B5A73">
        <w:rPr>
          <w:sz w:val="24"/>
          <w:lang w:val="en-US" w:eastAsia="en-GB"/>
        </w:rPr>
        <w:t>analyzed</w:t>
      </w:r>
      <w:r w:rsidR="004B3645" w:rsidRPr="009B5A73">
        <w:rPr>
          <w:sz w:val="24"/>
          <w:lang w:val="en-US" w:eastAsia="en-GB"/>
        </w:rPr>
        <w:t xml:space="preserve"> using GlioVis, an online data visualization and analysis tool. Data represent the percentage of surviving patients over time (Months). </w:t>
      </w:r>
      <w:r w:rsidRPr="009B5A73">
        <w:rPr>
          <w:sz w:val="24"/>
          <w:lang w:val="en-US" w:eastAsia="en-GB"/>
        </w:rPr>
        <w:t>Hazard Ration (HR) represents the risk of death overtime and is associated with 95% confidence interval (95% CI). * p&lt;0.05, *** p&lt;0.001 (Log-rank test).</w:t>
      </w:r>
    </w:p>
    <w:p w14:paraId="04BA96BC" w14:textId="3D160355" w:rsidR="00EA4E53" w:rsidRPr="009B5A73" w:rsidRDefault="00EA4E53" w:rsidP="00EA4E53">
      <w:pPr>
        <w:rPr>
          <w:lang w:val="en-US" w:eastAsia="en-GB"/>
        </w:rPr>
      </w:pPr>
      <w:r w:rsidRPr="009B5A73">
        <w:rPr>
          <w:noProof/>
          <w:lang w:val="en-IN" w:eastAsia="en-IN"/>
        </w:rPr>
        <w:lastRenderedPageBreak/>
        <w:drawing>
          <wp:inline distT="0" distB="0" distL="0" distR="0" wp14:anchorId="2C2090C3" wp14:editId="62AE3423">
            <wp:extent cx="5742408" cy="3766232"/>
            <wp:effectExtent l="0" t="0" r="0" b="571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9"/>
                    <a:stretch>
                      <a:fillRect/>
                    </a:stretch>
                  </pic:blipFill>
                  <pic:spPr>
                    <a:xfrm>
                      <a:off x="0" y="0"/>
                      <a:ext cx="5742408" cy="3766232"/>
                    </a:xfrm>
                    <a:prstGeom prst="rect">
                      <a:avLst/>
                    </a:prstGeom>
                  </pic:spPr>
                </pic:pic>
              </a:graphicData>
            </a:graphic>
          </wp:inline>
        </w:drawing>
      </w:r>
    </w:p>
    <w:p w14:paraId="7F569FD6" w14:textId="21692E76" w:rsidR="00EA4E53" w:rsidRDefault="00EA4E53" w:rsidP="009B5A73">
      <w:pPr>
        <w:spacing w:line="360" w:lineRule="auto"/>
        <w:jc w:val="both"/>
        <w:rPr>
          <w:sz w:val="24"/>
          <w:lang w:val="en-US" w:eastAsia="en-GB"/>
        </w:rPr>
      </w:pPr>
      <w:r w:rsidRPr="009B5A73">
        <w:rPr>
          <w:b/>
          <w:bCs/>
          <w:sz w:val="24"/>
          <w:lang w:val="en-US" w:eastAsia="en-GB"/>
        </w:rPr>
        <w:t xml:space="preserve">Fig. </w:t>
      </w:r>
      <w:r w:rsidR="008115D0">
        <w:rPr>
          <w:b/>
          <w:bCs/>
          <w:sz w:val="24"/>
          <w:lang w:val="en-US" w:eastAsia="en-GB"/>
        </w:rPr>
        <w:t>S</w:t>
      </w:r>
      <w:r w:rsidRPr="009B5A73">
        <w:rPr>
          <w:b/>
          <w:bCs/>
          <w:sz w:val="24"/>
          <w:lang w:val="en-US" w:eastAsia="en-GB"/>
        </w:rPr>
        <w:t>2</w:t>
      </w:r>
      <w:bookmarkStart w:id="0" w:name="_GoBack"/>
      <w:bookmarkEnd w:id="0"/>
      <w:r w:rsidRPr="009B5A73">
        <w:rPr>
          <w:b/>
          <w:bCs/>
          <w:sz w:val="24"/>
          <w:lang w:val="en-US" w:eastAsia="en-GB"/>
        </w:rPr>
        <w:t>: Proportion of cell type expressing B</w:t>
      </w:r>
      <w:r w:rsidR="00651D81">
        <w:rPr>
          <w:b/>
          <w:bCs/>
          <w:sz w:val="24"/>
          <w:lang w:val="en-US" w:eastAsia="en-GB"/>
        </w:rPr>
        <w:t>7-H3 in human non-cancerous</w:t>
      </w:r>
      <w:r w:rsidRPr="009B5A73">
        <w:rPr>
          <w:b/>
          <w:bCs/>
          <w:sz w:val="24"/>
          <w:lang w:val="en-US" w:eastAsia="en-GB"/>
        </w:rPr>
        <w:t xml:space="preserve"> brain </w:t>
      </w:r>
      <w:r w:rsidRPr="009B5A73">
        <w:rPr>
          <w:b/>
          <w:bCs/>
          <w:i/>
          <w:iCs/>
          <w:sz w:val="24"/>
          <w:lang w:val="en-US" w:eastAsia="en-GB"/>
        </w:rPr>
        <w:t>vs</w:t>
      </w:r>
      <w:r w:rsidRPr="009B5A73">
        <w:rPr>
          <w:b/>
          <w:bCs/>
          <w:sz w:val="24"/>
          <w:lang w:val="en-US" w:eastAsia="en-GB"/>
        </w:rPr>
        <w:t xml:space="preserve"> </w:t>
      </w:r>
      <w:r w:rsidR="00651D81">
        <w:rPr>
          <w:b/>
          <w:bCs/>
          <w:sz w:val="24"/>
          <w:lang w:val="en-US" w:eastAsia="en-GB"/>
        </w:rPr>
        <w:t>GBM</w:t>
      </w:r>
      <w:r w:rsidRPr="009B5A73">
        <w:rPr>
          <w:b/>
          <w:bCs/>
          <w:sz w:val="24"/>
          <w:lang w:val="en-US" w:eastAsia="en-GB"/>
        </w:rPr>
        <w:t xml:space="preserve"> tissues. </w:t>
      </w:r>
      <w:r w:rsidRPr="009B5A73">
        <w:rPr>
          <w:sz w:val="24"/>
          <w:lang w:val="en-US" w:eastAsia="en-GB"/>
        </w:rPr>
        <w:t xml:space="preserve">Representative immunofluorescent staining in </w:t>
      </w:r>
      <w:r w:rsidR="00651D81">
        <w:rPr>
          <w:sz w:val="24"/>
          <w:lang w:val="en-US" w:eastAsia="en-GB"/>
        </w:rPr>
        <w:t>non-cancerous (</w:t>
      </w:r>
      <w:r w:rsidRPr="009B5A73">
        <w:rPr>
          <w:sz w:val="24"/>
          <w:lang w:val="en-US" w:eastAsia="en-GB"/>
        </w:rPr>
        <w:t>NC</w:t>
      </w:r>
      <w:r w:rsidR="00651D81">
        <w:rPr>
          <w:sz w:val="24"/>
          <w:lang w:val="en-US" w:eastAsia="en-GB"/>
        </w:rPr>
        <w:t>)</w:t>
      </w:r>
      <w:r w:rsidRPr="009B5A73">
        <w:rPr>
          <w:sz w:val="24"/>
          <w:lang w:val="en-US" w:eastAsia="en-GB"/>
        </w:rPr>
        <w:t xml:space="preserve"> brain (</w:t>
      </w:r>
      <w:r w:rsidRPr="009B5A73">
        <w:rPr>
          <w:i/>
          <w:iCs/>
          <w:sz w:val="24"/>
          <w:lang w:val="en-US" w:eastAsia="en-GB"/>
        </w:rPr>
        <w:t>N</w:t>
      </w:r>
      <w:r w:rsidR="00700351">
        <w:rPr>
          <w:i/>
          <w:iCs/>
          <w:sz w:val="24"/>
          <w:lang w:val="en-US" w:eastAsia="en-GB"/>
        </w:rPr>
        <w:t xml:space="preserve"> </w:t>
      </w:r>
      <w:r w:rsidRPr="009B5A73">
        <w:rPr>
          <w:sz w:val="24"/>
          <w:lang w:val="en-US" w:eastAsia="en-GB"/>
        </w:rPr>
        <w:t>=</w:t>
      </w:r>
      <w:r w:rsidR="00700351">
        <w:rPr>
          <w:sz w:val="24"/>
          <w:lang w:val="en-US" w:eastAsia="en-GB"/>
        </w:rPr>
        <w:t xml:space="preserve"> </w:t>
      </w:r>
      <w:r w:rsidRPr="009B5A73">
        <w:rPr>
          <w:sz w:val="24"/>
          <w:lang w:val="en-US" w:eastAsia="en-GB"/>
        </w:rPr>
        <w:t xml:space="preserve">5) </w:t>
      </w:r>
      <w:r w:rsidRPr="009B5A73">
        <w:rPr>
          <w:i/>
          <w:iCs/>
          <w:sz w:val="24"/>
          <w:lang w:val="en-US" w:eastAsia="en-GB"/>
        </w:rPr>
        <w:t xml:space="preserve">vs </w:t>
      </w:r>
      <w:r w:rsidRPr="009B5A73">
        <w:rPr>
          <w:sz w:val="24"/>
          <w:lang w:val="en-US" w:eastAsia="en-GB"/>
        </w:rPr>
        <w:t>GBM (</w:t>
      </w:r>
      <w:r w:rsidRPr="009B5A73">
        <w:rPr>
          <w:i/>
          <w:iCs/>
          <w:sz w:val="24"/>
          <w:lang w:val="en-US" w:eastAsia="en-GB"/>
        </w:rPr>
        <w:t>N</w:t>
      </w:r>
      <w:r w:rsidR="00700351">
        <w:rPr>
          <w:i/>
          <w:iCs/>
          <w:sz w:val="24"/>
          <w:lang w:val="en-US" w:eastAsia="en-GB"/>
        </w:rPr>
        <w:t xml:space="preserve"> </w:t>
      </w:r>
      <w:r w:rsidRPr="009B5A73">
        <w:rPr>
          <w:sz w:val="24"/>
          <w:lang w:val="en-US" w:eastAsia="en-GB"/>
        </w:rPr>
        <w:t>=</w:t>
      </w:r>
      <w:r w:rsidR="00700351">
        <w:rPr>
          <w:sz w:val="24"/>
          <w:lang w:val="en-US" w:eastAsia="en-GB"/>
        </w:rPr>
        <w:t xml:space="preserve"> </w:t>
      </w:r>
      <w:r w:rsidRPr="009B5A73">
        <w:rPr>
          <w:sz w:val="24"/>
          <w:lang w:val="en-US" w:eastAsia="en-GB"/>
        </w:rPr>
        <w:t xml:space="preserve">6) tissues expressing B7-H3 (red) and: </w:t>
      </w:r>
      <w:r w:rsidRPr="009B5A73">
        <w:rPr>
          <w:b/>
          <w:bCs/>
          <w:sz w:val="24"/>
          <w:lang w:val="en-US" w:eastAsia="en-GB"/>
        </w:rPr>
        <w:t>A.</w:t>
      </w:r>
      <w:r w:rsidRPr="009B5A73">
        <w:rPr>
          <w:sz w:val="24"/>
          <w:lang w:val="en-US" w:eastAsia="en-GB"/>
        </w:rPr>
        <w:t xml:space="preserve"> CD31 and </w:t>
      </w:r>
      <w:r w:rsidRPr="009B5A73">
        <w:rPr>
          <w:b/>
          <w:bCs/>
          <w:sz w:val="24"/>
          <w:lang w:val="en-US" w:eastAsia="en-GB"/>
        </w:rPr>
        <w:t>C.</w:t>
      </w:r>
      <w:r w:rsidRPr="009B5A73">
        <w:rPr>
          <w:sz w:val="24"/>
          <w:lang w:val="en-US" w:eastAsia="en-GB"/>
        </w:rPr>
        <w:t xml:space="preserve"> TMEM119 in green and counterstained with DAPI (blue). Major scale bar = 50 µm and scale bar for enlarged images = 10 µm. </w:t>
      </w:r>
      <w:r w:rsidRPr="009B5A73">
        <w:rPr>
          <w:b/>
          <w:bCs/>
          <w:sz w:val="24"/>
          <w:lang w:val="en-US" w:eastAsia="en-GB"/>
        </w:rPr>
        <w:t xml:space="preserve"> B. </w:t>
      </w:r>
      <w:r w:rsidRPr="009B5A73">
        <w:rPr>
          <w:sz w:val="24"/>
          <w:lang w:val="en-US" w:eastAsia="en-GB"/>
        </w:rPr>
        <w:t>and</w:t>
      </w:r>
      <w:r w:rsidRPr="009B5A73">
        <w:rPr>
          <w:b/>
          <w:bCs/>
          <w:sz w:val="24"/>
          <w:lang w:val="en-US" w:eastAsia="en-GB"/>
        </w:rPr>
        <w:t xml:space="preserve"> D. </w:t>
      </w:r>
      <w:r w:rsidRPr="009B5A73">
        <w:rPr>
          <w:sz w:val="24"/>
          <w:lang w:val="en-US" w:eastAsia="en-GB"/>
        </w:rPr>
        <w:t>Percentage of each cell type; CD31 and TMEM119 respectively in B7-H3 positive cells in NC brain (</w:t>
      </w:r>
      <w:r w:rsidRPr="009B5A73">
        <w:rPr>
          <w:i/>
          <w:iCs/>
          <w:sz w:val="24"/>
          <w:lang w:val="en-US" w:eastAsia="en-GB"/>
        </w:rPr>
        <w:t>N</w:t>
      </w:r>
      <w:r w:rsidR="00700351">
        <w:rPr>
          <w:i/>
          <w:iCs/>
          <w:sz w:val="24"/>
          <w:lang w:val="en-US" w:eastAsia="en-GB"/>
        </w:rPr>
        <w:t xml:space="preserve"> </w:t>
      </w:r>
      <w:r w:rsidRPr="009B5A73">
        <w:rPr>
          <w:sz w:val="24"/>
          <w:lang w:val="en-US" w:eastAsia="en-GB"/>
        </w:rPr>
        <w:t>=</w:t>
      </w:r>
      <w:r w:rsidR="00700351">
        <w:rPr>
          <w:sz w:val="24"/>
          <w:lang w:val="en-US" w:eastAsia="en-GB"/>
        </w:rPr>
        <w:t xml:space="preserve"> </w:t>
      </w:r>
      <w:r w:rsidRPr="009B5A73">
        <w:rPr>
          <w:sz w:val="24"/>
          <w:lang w:val="en-US" w:eastAsia="en-GB"/>
        </w:rPr>
        <w:t xml:space="preserve">5) </w:t>
      </w:r>
      <w:r w:rsidRPr="009B5A73">
        <w:rPr>
          <w:i/>
          <w:iCs/>
          <w:sz w:val="24"/>
          <w:lang w:val="en-US" w:eastAsia="en-GB"/>
        </w:rPr>
        <w:t xml:space="preserve">vs </w:t>
      </w:r>
      <w:r w:rsidRPr="009B5A73">
        <w:rPr>
          <w:sz w:val="24"/>
          <w:lang w:val="en-US" w:eastAsia="en-GB"/>
        </w:rPr>
        <w:t>GBM (</w:t>
      </w:r>
      <w:r w:rsidRPr="009B5A73">
        <w:rPr>
          <w:i/>
          <w:iCs/>
          <w:sz w:val="24"/>
          <w:lang w:val="en-US" w:eastAsia="en-GB"/>
        </w:rPr>
        <w:t>N</w:t>
      </w:r>
      <w:r w:rsidR="00700351">
        <w:rPr>
          <w:i/>
          <w:iCs/>
          <w:sz w:val="24"/>
          <w:lang w:val="en-US" w:eastAsia="en-GB"/>
        </w:rPr>
        <w:t xml:space="preserve"> </w:t>
      </w:r>
      <w:r w:rsidRPr="009B5A73">
        <w:rPr>
          <w:sz w:val="24"/>
          <w:lang w:val="en-US" w:eastAsia="en-GB"/>
        </w:rPr>
        <w:t>=</w:t>
      </w:r>
      <w:r w:rsidR="00700351">
        <w:rPr>
          <w:sz w:val="24"/>
          <w:lang w:val="en-US" w:eastAsia="en-GB"/>
        </w:rPr>
        <w:t xml:space="preserve"> </w:t>
      </w:r>
      <w:r w:rsidRPr="009B5A73">
        <w:rPr>
          <w:sz w:val="24"/>
          <w:lang w:val="en-US" w:eastAsia="en-GB"/>
        </w:rPr>
        <w:t xml:space="preserve">6) tissues. Three photos of each specimen were taken for quantification. Graphs are mean ± SD with NS = not significant and ***&lt;0.001 (t-test). </w:t>
      </w:r>
    </w:p>
    <w:p w14:paraId="3EA8FAEF" w14:textId="4C11F2E0" w:rsidR="00D8724D" w:rsidRDefault="001D33FB" w:rsidP="00D8724D">
      <w:pPr>
        <w:spacing w:line="360" w:lineRule="auto"/>
        <w:jc w:val="center"/>
        <w:rPr>
          <w:sz w:val="24"/>
          <w:lang w:val="en-US" w:eastAsia="en-GB"/>
        </w:rPr>
      </w:pPr>
      <w:r w:rsidRPr="008115D0">
        <w:rPr>
          <w:noProof/>
          <w:sz w:val="24"/>
          <w:lang w:val="en-IN" w:eastAsia="en-IN"/>
        </w:rPr>
        <w:lastRenderedPageBreak/>
        <w:drawing>
          <wp:inline distT="0" distB="0" distL="0" distR="0" wp14:anchorId="679F536A" wp14:editId="664FF3C1">
            <wp:extent cx="3192780" cy="518239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9909" r="24621"/>
                    <a:stretch/>
                  </pic:blipFill>
                  <pic:spPr bwMode="auto">
                    <a:xfrm>
                      <a:off x="0" y="0"/>
                      <a:ext cx="3193176" cy="5183038"/>
                    </a:xfrm>
                    <a:prstGeom prst="rect">
                      <a:avLst/>
                    </a:prstGeom>
                    <a:noFill/>
                    <a:ln>
                      <a:noFill/>
                    </a:ln>
                    <a:extLst>
                      <a:ext uri="{53640926-AAD7-44D8-BBD7-CCE9431645EC}">
                        <a14:shadowObscured xmlns:a14="http://schemas.microsoft.com/office/drawing/2010/main"/>
                      </a:ext>
                    </a:extLst>
                  </pic:spPr>
                </pic:pic>
              </a:graphicData>
            </a:graphic>
          </wp:inline>
        </w:drawing>
      </w:r>
    </w:p>
    <w:p w14:paraId="23DD4E7C" w14:textId="567D18AB" w:rsidR="001D33FB" w:rsidRPr="00D8724D" w:rsidRDefault="001D33FB" w:rsidP="001D33FB">
      <w:pPr>
        <w:spacing w:line="360" w:lineRule="auto"/>
        <w:jc w:val="both"/>
        <w:rPr>
          <w:b/>
          <w:bCs/>
          <w:sz w:val="24"/>
          <w:lang w:val="en-US" w:eastAsia="en-GB"/>
        </w:rPr>
      </w:pPr>
      <w:r>
        <w:rPr>
          <w:b/>
          <w:bCs/>
          <w:sz w:val="24"/>
          <w:lang w:val="en-US" w:eastAsia="en-GB"/>
        </w:rPr>
        <w:t xml:space="preserve">Fig. </w:t>
      </w:r>
      <w:r w:rsidR="008115D0">
        <w:rPr>
          <w:b/>
          <w:bCs/>
          <w:sz w:val="24"/>
          <w:lang w:val="en-US" w:eastAsia="en-GB"/>
        </w:rPr>
        <w:t>S</w:t>
      </w:r>
      <w:r>
        <w:rPr>
          <w:b/>
          <w:bCs/>
          <w:sz w:val="24"/>
          <w:lang w:val="en-US" w:eastAsia="en-GB"/>
        </w:rPr>
        <w:t>3</w:t>
      </w:r>
      <w:r w:rsidRPr="00D8724D">
        <w:rPr>
          <w:b/>
          <w:bCs/>
          <w:sz w:val="24"/>
          <w:lang w:val="en-US" w:eastAsia="en-GB"/>
        </w:rPr>
        <w:t>: Proportion of B7-H3 expression among various c</w:t>
      </w:r>
      <w:r>
        <w:rPr>
          <w:b/>
          <w:bCs/>
          <w:sz w:val="24"/>
          <w:lang w:val="en-US" w:eastAsia="en-GB"/>
        </w:rPr>
        <w:t xml:space="preserve">ell types in glioblastoma (GBM) </w:t>
      </w:r>
      <w:r w:rsidRPr="00D8724D">
        <w:rPr>
          <w:b/>
          <w:bCs/>
          <w:sz w:val="24"/>
          <w:lang w:val="en-US" w:eastAsia="en-GB"/>
        </w:rPr>
        <w:t xml:space="preserve">tissues. A - F. </w:t>
      </w:r>
      <w:r w:rsidRPr="00D8724D">
        <w:rPr>
          <w:bCs/>
          <w:sz w:val="24"/>
          <w:lang w:val="en-US" w:eastAsia="en-GB"/>
        </w:rPr>
        <w:t>Percentage of B7-H3 positive (blue) or negative (orange) cells in SOX2, Nestin,</w:t>
      </w:r>
      <w:r>
        <w:rPr>
          <w:b/>
          <w:bCs/>
          <w:sz w:val="24"/>
          <w:lang w:val="en-US" w:eastAsia="en-GB"/>
        </w:rPr>
        <w:t xml:space="preserve"> </w:t>
      </w:r>
      <w:r w:rsidRPr="00D8724D">
        <w:rPr>
          <w:bCs/>
          <w:sz w:val="24"/>
          <w:lang w:val="en-US" w:eastAsia="en-GB"/>
        </w:rPr>
        <w:t>CD31, PDGFRβ, Iba1 or TMEM119 positive cells, respectively.</w:t>
      </w:r>
      <w:r w:rsidRPr="00D8724D">
        <w:rPr>
          <w:b/>
          <w:bCs/>
          <w:sz w:val="24"/>
          <w:lang w:val="en-US" w:eastAsia="en-GB"/>
        </w:rPr>
        <w:t xml:space="preserve"> </w:t>
      </w:r>
    </w:p>
    <w:p w14:paraId="108AB5D0" w14:textId="0D390D61" w:rsidR="00EA4E53" w:rsidRPr="009B5A73" w:rsidRDefault="009C60C8" w:rsidP="00EA4E53">
      <w:pPr>
        <w:jc w:val="center"/>
        <w:rPr>
          <w:lang w:val="en-US" w:eastAsia="en-GB"/>
        </w:rPr>
      </w:pPr>
      <w:r w:rsidRPr="009B5A73">
        <w:rPr>
          <w:noProof/>
          <w:lang w:val="en-IN" w:eastAsia="en-IN"/>
        </w:rPr>
        <w:lastRenderedPageBreak/>
        <w:drawing>
          <wp:inline distT="0" distB="0" distL="0" distR="0" wp14:anchorId="4BBEFBB8" wp14:editId="3C4A284D">
            <wp:extent cx="3040380" cy="5382942"/>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730" cy="5429594"/>
                    </a:xfrm>
                    <a:prstGeom prst="rect">
                      <a:avLst/>
                    </a:prstGeom>
                    <a:noFill/>
                  </pic:spPr>
                </pic:pic>
              </a:graphicData>
            </a:graphic>
          </wp:inline>
        </w:drawing>
      </w:r>
    </w:p>
    <w:p w14:paraId="44FD32C4" w14:textId="2BF35384" w:rsidR="00EA4E53" w:rsidRDefault="00D8724D" w:rsidP="009B5A73">
      <w:pPr>
        <w:spacing w:line="360" w:lineRule="auto"/>
        <w:jc w:val="both"/>
        <w:rPr>
          <w:sz w:val="24"/>
          <w:lang w:val="en-US" w:eastAsia="en-GB"/>
        </w:rPr>
      </w:pPr>
      <w:r>
        <w:rPr>
          <w:b/>
          <w:bCs/>
          <w:sz w:val="24"/>
          <w:lang w:val="en-US" w:eastAsia="en-GB"/>
        </w:rPr>
        <w:t xml:space="preserve">Fig. </w:t>
      </w:r>
      <w:r w:rsidR="008115D0">
        <w:rPr>
          <w:b/>
          <w:bCs/>
          <w:sz w:val="24"/>
          <w:lang w:val="en-US" w:eastAsia="en-GB"/>
        </w:rPr>
        <w:t>S</w:t>
      </w:r>
      <w:r>
        <w:rPr>
          <w:b/>
          <w:bCs/>
          <w:sz w:val="24"/>
          <w:lang w:val="en-US" w:eastAsia="en-GB"/>
        </w:rPr>
        <w:t>4</w:t>
      </w:r>
      <w:r w:rsidR="00EA4E53" w:rsidRPr="009B5A73">
        <w:rPr>
          <w:b/>
          <w:bCs/>
          <w:sz w:val="24"/>
          <w:lang w:val="en-US" w:eastAsia="en-GB"/>
        </w:rPr>
        <w:t xml:space="preserve">: </w:t>
      </w:r>
      <w:r w:rsidR="00651D81">
        <w:rPr>
          <w:b/>
          <w:bCs/>
          <w:sz w:val="24"/>
          <w:lang w:val="en-US" w:eastAsia="en-GB"/>
        </w:rPr>
        <w:t>GBM</w:t>
      </w:r>
      <w:r w:rsidR="00EA4E53" w:rsidRPr="009B5A73">
        <w:rPr>
          <w:b/>
          <w:bCs/>
          <w:sz w:val="24"/>
          <w:lang w:val="en-US" w:eastAsia="en-GB"/>
        </w:rPr>
        <w:t xml:space="preserve"> cell model of B7-H3 decreased and/or increased expression. </w:t>
      </w:r>
      <w:r w:rsidR="00EA4E53" w:rsidRPr="009B5A73">
        <w:rPr>
          <w:sz w:val="24"/>
          <w:lang w:val="en-US" w:eastAsia="en-GB"/>
        </w:rPr>
        <w:t xml:space="preserve">Representative image of a western blot analysis of B7-H3 (4IgB7-H3: 110kDa; 2IgB7-H3: 57kDa) and Actin (42kDa) signals in proteins extracted from </w:t>
      </w:r>
      <w:r w:rsidR="00EA4E53" w:rsidRPr="009B5A73">
        <w:rPr>
          <w:b/>
          <w:bCs/>
          <w:sz w:val="24"/>
          <w:lang w:val="en-US" w:eastAsia="en-GB"/>
        </w:rPr>
        <w:t>A.</w:t>
      </w:r>
      <w:r w:rsidR="00EA4E53" w:rsidRPr="009B5A73">
        <w:rPr>
          <w:sz w:val="24"/>
          <w:lang w:val="en-US" w:eastAsia="en-GB"/>
        </w:rPr>
        <w:t xml:space="preserve"> U87MG and GB138 GBM cells (</w:t>
      </w:r>
      <w:r w:rsidR="00EA4E53" w:rsidRPr="009B5A73">
        <w:rPr>
          <w:i/>
          <w:iCs/>
          <w:sz w:val="24"/>
          <w:lang w:val="en-US" w:eastAsia="en-GB"/>
        </w:rPr>
        <w:t xml:space="preserve">N </w:t>
      </w:r>
      <w:r w:rsidR="00EA4E53" w:rsidRPr="009B5A73">
        <w:rPr>
          <w:sz w:val="24"/>
          <w:lang w:val="en-US" w:eastAsia="en-GB"/>
        </w:rPr>
        <w:t>= 3 for each cell type) transduced with short hairpin RNA (shRNA) against the expression of B7-H3 (each shRNA were named with number</w:t>
      </w:r>
      <w:r w:rsidR="00700351">
        <w:rPr>
          <w:sz w:val="24"/>
          <w:lang w:val="en-US" w:eastAsia="en-GB"/>
        </w:rPr>
        <w:t>s</w:t>
      </w:r>
      <w:r w:rsidR="00EA4E53" w:rsidRPr="009B5A73">
        <w:rPr>
          <w:sz w:val="24"/>
          <w:lang w:val="en-US" w:eastAsia="en-GB"/>
        </w:rPr>
        <w:t>) and compared to shRNA non</w:t>
      </w:r>
      <w:r w:rsidR="00700351">
        <w:rPr>
          <w:sz w:val="24"/>
          <w:lang w:val="en-US" w:eastAsia="en-GB"/>
        </w:rPr>
        <w:t>-</w:t>
      </w:r>
      <w:r w:rsidR="00EA4E53" w:rsidRPr="009B5A73">
        <w:rPr>
          <w:sz w:val="24"/>
          <w:lang w:val="en-US" w:eastAsia="en-GB"/>
        </w:rPr>
        <w:t xml:space="preserve">target (shNT). Black arrows indicate the shRNA designed to decrease B7-H3 expression in each cell type. </w:t>
      </w:r>
      <w:r w:rsidR="00EA4E53" w:rsidRPr="009B5A73">
        <w:rPr>
          <w:b/>
          <w:bCs/>
          <w:sz w:val="24"/>
          <w:lang w:val="en-US" w:eastAsia="en-GB"/>
        </w:rPr>
        <w:t xml:space="preserve">B. </w:t>
      </w:r>
      <w:r w:rsidR="00EA4E53" w:rsidRPr="009B5A73">
        <w:rPr>
          <w:sz w:val="24"/>
          <w:lang w:val="en-US" w:eastAsia="en-GB"/>
        </w:rPr>
        <w:t>U87MG and GB138 GBM cells (</w:t>
      </w:r>
      <w:r w:rsidR="00EA4E53" w:rsidRPr="009B5A73">
        <w:rPr>
          <w:i/>
          <w:iCs/>
          <w:sz w:val="24"/>
          <w:lang w:val="en-US" w:eastAsia="en-GB"/>
        </w:rPr>
        <w:t xml:space="preserve">N </w:t>
      </w:r>
      <w:r w:rsidR="00EA4E53" w:rsidRPr="009B5A73">
        <w:rPr>
          <w:sz w:val="24"/>
          <w:lang w:val="en-US" w:eastAsia="en-GB"/>
        </w:rPr>
        <w:t>= 3 for each cell type) transduced with shRNA against B7-H3 or shNT and vector over-exp</w:t>
      </w:r>
      <w:r w:rsidR="009C60C8" w:rsidRPr="009B5A73">
        <w:rPr>
          <w:sz w:val="24"/>
          <w:lang w:val="en-US" w:eastAsia="en-GB"/>
        </w:rPr>
        <w:t>ressing (OE) control (OEctrl),</w:t>
      </w:r>
      <w:r w:rsidR="00EA4E53" w:rsidRPr="009B5A73">
        <w:rPr>
          <w:sz w:val="24"/>
          <w:lang w:val="en-US" w:eastAsia="en-GB"/>
        </w:rPr>
        <w:t xml:space="preserve"> 2IgB7-H3 (OE2Ig)</w:t>
      </w:r>
      <w:r w:rsidR="009C60C8" w:rsidRPr="009B5A73">
        <w:rPr>
          <w:sz w:val="24"/>
          <w:lang w:val="en-US" w:eastAsia="en-GB"/>
        </w:rPr>
        <w:t xml:space="preserve"> </w:t>
      </w:r>
      <w:r w:rsidR="004B3645" w:rsidRPr="009B5A73">
        <w:rPr>
          <w:sz w:val="24"/>
          <w:lang w:val="en-US" w:eastAsia="en-GB"/>
        </w:rPr>
        <w:t xml:space="preserve">or 4IgB7-H3 (OE4Ig). </w:t>
      </w:r>
      <w:r w:rsidR="00EA4E53" w:rsidRPr="009B5A73">
        <w:rPr>
          <w:b/>
          <w:bCs/>
          <w:sz w:val="24"/>
          <w:lang w:val="en-US" w:eastAsia="en-GB"/>
        </w:rPr>
        <w:t>C.</w:t>
      </w:r>
      <w:r w:rsidR="00EA4E53" w:rsidRPr="009B5A73">
        <w:rPr>
          <w:sz w:val="24"/>
          <w:lang w:val="en-US" w:eastAsia="en-GB"/>
        </w:rPr>
        <w:t xml:space="preserve"> Representative immunofluorescent staining of B7-H3 expression (grey) in U87MG and GB138 GBM cells modified as described in B. Nuclei were counterstained with DAPI (blue). Scale bar = 50 µm. </w:t>
      </w:r>
    </w:p>
    <w:p w14:paraId="1F3F8812" w14:textId="2831DEC0" w:rsidR="00EA4E53" w:rsidRPr="009B5A73" w:rsidRDefault="00EA4E53" w:rsidP="00EA4E53">
      <w:pPr>
        <w:jc w:val="center"/>
        <w:rPr>
          <w:lang w:val="en-US" w:eastAsia="en-GB"/>
        </w:rPr>
      </w:pPr>
      <w:r w:rsidRPr="009B5A73">
        <w:rPr>
          <w:noProof/>
          <w:lang w:val="en-IN" w:eastAsia="en-IN"/>
        </w:rPr>
        <w:drawing>
          <wp:inline distT="0" distB="0" distL="0" distR="0" wp14:anchorId="2C418FED" wp14:editId="5DC9CFF8">
            <wp:extent cx="2920731" cy="41605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2"/>
                    <a:stretch>
                      <a:fillRect/>
                    </a:stretch>
                  </pic:blipFill>
                  <pic:spPr>
                    <a:xfrm>
                      <a:off x="0" y="0"/>
                      <a:ext cx="2952061" cy="4205149"/>
                    </a:xfrm>
                    <a:prstGeom prst="rect">
                      <a:avLst/>
                    </a:prstGeom>
                  </pic:spPr>
                </pic:pic>
              </a:graphicData>
            </a:graphic>
          </wp:inline>
        </w:drawing>
      </w:r>
    </w:p>
    <w:p w14:paraId="22B523A8" w14:textId="78590EA1" w:rsidR="00EC5F5D" w:rsidRDefault="00D8724D" w:rsidP="009B5A73">
      <w:pPr>
        <w:spacing w:line="360" w:lineRule="auto"/>
        <w:jc w:val="both"/>
        <w:rPr>
          <w:sz w:val="24"/>
          <w:lang w:val="en-US" w:eastAsia="en-GB"/>
        </w:rPr>
      </w:pPr>
      <w:r>
        <w:rPr>
          <w:b/>
          <w:bCs/>
          <w:sz w:val="24"/>
          <w:lang w:val="en-US" w:eastAsia="en-GB"/>
        </w:rPr>
        <w:t xml:space="preserve">Fig. </w:t>
      </w:r>
      <w:r w:rsidR="008115D0">
        <w:rPr>
          <w:b/>
          <w:bCs/>
          <w:sz w:val="24"/>
          <w:lang w:val="en-US" w:eastAsia="en-GB"/>
        </w:rPr>
        <w:t>S</w:t>
      </w:r>
      <w:r>
        <w:rPr>
          <w:b/>
          <w:bCs/>
          <w:sz w:val="24"/>
          <w:lang w:val="en-US" w:eastAsia="en-GB"/>
        </w:rPr>
        <w:t>5</w:t>
      </w:r>
      <w:r w:rsidR="00EA4E53" w:rsidRPr="009B5A73">
        <w:rPr>
          <w:b/>
          <w:bCs/>
          <w:sz w:val="24"/>
          <w:lang w:val="en-US" w:eastAsia="en-GB"/>
        </w:rPr>
        <w:t>: B7-H3 expression does not modif</w:t>
      </w:r>
      <w:r w:rsidR="00700351">
        <w:rPr>
          <w:b/>
          <w:bCs/>
          <w:sz w:val="24"/>
          <w:lang w:val="en-US" w:eastAsia="en-GB"/>
        </w:rPr>
        <w:t>y</w:t>
      </w:r>
      <w:r w:rsidR="00EA4E53" w:rsidRPr="009B5A73">
        <w:rPr>
          <w:b/>
          <w:bCs/>
          <w:sz w:val="24"/>
          <w:lang w:val="en-US" w:eastAsia="en-GB"/>
        </w:rPr>
        <w:t xml:space="preserve"> DNA replication before cell division nor viabil</w:t>
      </w:r>
      <w:r w:rsidR="00700351">
        <w:rPr>
          <w:b/>
          <w:bCs/>
          <w:sz w:val="24"/>
          <w:lang w:val="en-US" w:eastAsia="en-GB"/>
        </w:rPr>
        <w:t xml:space="preserve">ity of </w:t>
      </w:r>
      <w:r w:rsidR="00651D81">
        <w:rPr>
          <w:b/>
          <w:bCs/>
          <w:sz w:val="24"/>
          <w:lang w:val="en-US" w:eastAsia="en-GB"/>
        </w:rPr>
        <w:t>GBM</w:t>
      </w:r>
      <w:r w:rsidR="00700351">
        <w:rPr>
          <w:b/>
          <w:bCs/>
          <w:sz w:val="24"/>
          <w:lang w:val="en-US" w:eastAsia="en-GB"/>
        </w:rPr>
        <w:t xml:space="preserve"> cells</w:t>
      </w:r>
      <w:r w:rsidR="00EA4E53" w:rsidRPr="009B5A73">
        <w:rPr>
          <w:b/>
          <w:bCs/>
          <w:sz w:val="24"/>
          <w:lang w:val="en-US" w:eastAsia="en-GB"/>
        </w:rPr>
        <w:t xml:space="preserve">. A. </w:t>
      </w:r>
      <w:r w:rsidR="00EA4E53" w:rsidRPr="009B5A73">
        <w:rPr>
          <w:sz w:val="24"/>
          <w:lang w:val="en-US" w:eastAsia="en-GB"/>
        </w:rPr>
        <w:t xml:space="preserve">Representative images of EdU staining (Grey) in GB138 human GBM cells transduced with short hairpin RNA (shRNA) against B7-H3 (shB7-H3) or non-target (shNT) and vector over-expressing (OE) 2IgB7-H3 (OE2Ig) or control (OEctrl). Nuclei were counterstained with DAPI (blue). Scale bar = 100 µm. </w:t>
      </w:r>
      <w:r w:rsidR="00EA4E53" w:rsidRPr="009B5A73">
        <w:rPr>
          <w:b/>
          <w:bCs/>
          <w:sz w:val="24"/>
          <w:lang w:val="en-US" w:eastAsia="en-GB"/>
        </w:rPr>
        <w:t xml:space="preserve">B. </w:t>
      </w:r>
      <w:r w:rsidR="00EA4E53" w:rsidRPr="009B5A73">
        <w:rPr>
          <w:sz w:val="24"/>
          <w:lang w:val="en-US" w:eastAsia="en-GB"/>
        </w:rPr>
        <w:t xml:space="preserve">and </w:t>
      </w:r>
      <w:r w:rsidR="00EA4E53" w:rsidRPr="009B5A73">
        <w:rPr>
          <w:b/>
          <w:bCs/>
          <w:sz w:val="24"/>
          <w:lang w:val="en-US" w:eastAsia="en-GB"/>
        </w:rPr>
        <w:t>C.</w:t>
      </w:r>
      <w:r w:rsidR="00EA4E53" w:rsidRPr="009B5A73">
        <w:rPr>
          <w:sz w:val="24"/>
          <w:lang w:val="en-US" w:eastAsia="en-GB"/>
        </w:rPr>
        <w:t xml:space="preserve"> Graphs quantifying the number of EdU-positive U87MG and GB138 cells transduced with shRNA and over-expressing vector as described in </w:t>
      </w:r>
      <w:r w:rsidR="00EA4E53" w:rsidRPr="009B5A73">
        <w:rPr>
          <w:b/>
          <w:bCs/>
          <w:sz w:val="24"/>
          <w:lang w:val="en-US" w:eastAsia="en-GB"/>
        </w:rPr>
        <w:t>A.</w:t>
      </w:r>
      <w:r w:rsidR="00EA4E53" w:rsidRPr="009B5A73">
        <w:rPr>
          <w:sz w:val="24"/>
          <w:lang w:val="en-US" w:eastAsia="en-GB"/>
        </w:rPr>
        <w:t xml:space="preserve"> Each EdU assay was performed in four technical replicate with an image took in each replicate and repeated three times. Numbers of EdU incorporating nuclei of different groups were normalized with the value from the shNT OEctrl group, expressed as a percentage and was shown as mean values ± SD (</w:t>
      </w:r>
      <w:r w:rsidR="00EA4E53" w:rsidRPr="009B5A73">
        <w:rPr>
          <w:i/>
          <w:iCs/>
          <w:sz w:val="24"/>
          <w:lang w:val="en-US" w:eastAsia="en-GB"/>
        </w:rPr>
        <w:t xml:space="preserve">N </w:t>
      </w:r>
      <w:r w:rsidR="00EA4E53" w:rsidRPr="009B5A73">
        <w:rPr>
          <w:sz w:val="24"/>
          <w:lang w:val="en-US" w:eastAsia="en-GB"/>
        </w:rPr>
        <w:t xml:space="preserve">= 3 for each cell type). </w:t>
      </w:r>
      <w:r w:rsidR="00EA4E53" w:rsidRPr="009B5A73">
        <w:rPr>
          <w:b/>
          <w:bCs/>
          <w:sz w:val="24"/>
          <w:lang w:val="en-US" w:eastAsia="en-GB"/>
        </w:rPr>
        <w:t xml:space="preserve">D. </w:t>
      </w:r>
      <w:r w:rsidR="00EA4E53" w:rsidRPr="009B5A73">
        <w:rPr>
          <w:sz w:val="24"/>
          <w:lang w:val="en-US" w:eastAsia="en-GB"/>
        </w:rPr>
        <w:t xml:space="preserve">and </w:t>
      </w:r>
      <w:r w:rsidR="00EA4E53" w:rsidRPr="009B5A73">
        <w:rPr>
          <w:b/>
          <w:bCs/>
          <w:sz w:val="24"/>
          <w:lang w:val="en-US" w:eastAsia="en-GB"/>
        </w:rPr>
        <w:t xml:space="preserve">E. </w:t>
      </w:r>
      <w:r w:rsidR="00EA4E53" w:rsidRPr="009B5A73">
        <w:rPr>
          <w:sz w:val="24"/>
          <w:lang w:val="en-US" w:eastAsia="en-GB"/>
        </w:rPr>
        <w:t xml:space="preserve">Graphs quantifying the cell viability by MTT assay in U87MG and GB138 GBM cells treated as described in </w:t>
      </w:r>
      <w:r w:rsidR="00EA4E53" w:rsidRPr="009B5A73">
        <w:rPr>
          <w:b/>
          <w:bCs/>
          <w:sz w:val="24"/>
          <w:lang w:val="en-US" w:eastAsia="en-GB"/>
        </w:rPr>
        <w:t>A.</w:t>
      </w:r>
      <w:r w:rsidR="00EA4E53" w:rsidRPr="009B5A73">
        <w:rPr>
          <w:sz w:val="24"/>
          <w:lang w:val="en-US" w:eastAsia="en-GB"/>
        </w:rPr>
        <w:t xml:space="preserve"> Each cell viability assay was performed in triplicate and repeated three times. The cell viability of different groups were normalized with the value from the shNT OEctrl group, expressed as a percentage and was shown as mean values ± SD (</w:t>
      </w:r>
      <w:r w:rsidR="00EA4E53" w:rsidRPr="009B5A73">
        <w:rPr>
          <w:i/>
          <w:iCs/>
          <w:sz w:val="24"/>
          <w:lang w:val="en-US" w:eastAsia="en-GB"/>
        </w:rPr>
        <w:t xml:space="preserve">N </w:t>
      </w:r>
      <w:r w:rsidR="00EA4E53" w:rsidRPr="009B5A73">
        <w:rPr>
          <w:sz w:val="24"/>
          <w:lang w:val="en-US" w:eastAsia="en-GB"/>
        </w:rPr>
        <w:t>= 3 for each cell type).</w:t>
      </w:r>
    </w:p>
    <w:p w14:paraId="275190A5" w14:textId="77777777" w:rsidR="00EC5F5D" w:rsidRDefault="00EC5F5D">
      <w:pPr>
        <w:rPr>
          <w:sz w:val="24"/>
          <w:lang w:val="en-US" w:eastAsia="en-GB"/>
        </w:rPr>
      </w:pPr>
      <w:r>
        <w:rPr>
          <w:sz w:val="24"/>
          <w:lang w:val="en-US" w:eastAsia="en-GB"/>
        </w:rPr>
        <w:br w:type="page"/>
      </w:r>
    </w:p>
    <w:p w14:paraId="64851DC7" w14:textId="7A3F26B1" w:rsidR="00EA4E53" w:rsidRDefault="00EC5F5D" w:rsidP="009B5A73">
      <w:pPr>
        <w:spacing w:line="360" w:lineRule="auto"/>
        <w:jc w:val="both"/>
        <w:rPr>
          <w:sz w:val="24"/>
          <w:lang w:val="en-US" w:eastAsia="en-GB"/>
        </w:rPr>
      </w:pPr>
      <w:r w:rsidRPr="00EC5F5D">
        <w:rPr>
          <w:noProof/>
          <w:sz w:val="24"/>
          <w:lang w:val="en-IN" w:eastAsia="en-IN"/>
        </w:rPr>
        <w:drawing>
          <wp:inline distT="0" distB="0" distL="0" distR="0" wp14:anchorId="1DF9CAFE" wp14:editId="088BDEFB">
            <wp:extent cx="5759450" cy="1688465"/>
            <wp:effectExtent l="0" t="0" r="0" b="6985"/>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3"/>
                    <a:stretch>
                      <a:fillRect/>
                    </a:stretch>
                  </pic:blipFill>
                  <pic:spPr>
                    <a:xfrm>
                      <a:off x="0" y="0"/>
                      <a:ext cx="5759450" cy="1688465"/>
                    </a:xfrm>
                    <a:prstGeom prst="rect">
                      <a:avLst/>
                    </a:prstGeom>
                    <a:solidFill>
                      <a:schemeClr val="bg1"/>
                    </a:solidFill>
                  </pic:spPr>
                </pic:pic>
              </a:graphicData>
            </a:graphic>
          </wp:inline>
        </w:drawing>
      </w:r>
    </w:p>
    <w:p w14:paraId="63BC4A76" w14:textId="2804BEAC" w:rsidR="00EC5F5D" w:rsidRPr="00EC5F5D" w:rsidRDefault="00D8724D" w:rsidP="009B5A73">
      <w:pPr>
        <w:spacing w:line="360" w:lineRule="auto"/>
        <w:jc w:val="both"/>
        <w:rPr>
          <w:sz w:val="28"/>
          <w:lang w:val="en-US" w:eastAsia="en-GB"/>
        </w:rPr>
      </w:pPr>
      <w:r>
        <w:rPr>
          <w:b/>
          <w:bCs/>
          <w:sz w:val="24"/>
          <w:lang w:val="en-US" w:eastAsia="en-GB"/>
        </w:rPr>
        <w:t xml:space="preserve">Fig. </w:t>
      </w:r>
      <w:r w:rsidR="008115D0">
        <w:rPr>
          <w:b/>
          <w:bCs/>
          <w:sz w:val="24"/>
          <w:lang w:val="en-US" w:eastAsia="en-GB"/>
        </w:rPr>
        <w:t>S</w:t>
      </w:r>
      <w:r>
        <w:rPr>
          <w:b/>
          <w:bCs/>
          <w:sz w:val="24"/>
          <w:lang w:val="en-US" w:eastAsia="en-GB"/>
        </w:rPr>
        <w:t>6</w:t>
      </w:r>
      <w:r w:rsidR="00EC5F5D" w:rsidRPr="009B5A73">
        <w:rPr>
          <w:b/>
          <w:bCs/>
          <w:sz w:val="24"/>
          <w:lang w:val="en-US" w:eastAsia="en-GB"/>
        </w:rPr>
        <w:t>:</w:t>
      </w:r>
      <w:r w:rsidR="00EC5F5D">
        <w:rPr>
          <w:b/>
          <w:bCs/>
          <w:sz w:val="24"/>
          <w:lang w:val="en-US" w:eastAsia="en-GB"/>
        </w:rPr>
        <w:t xml:space="preserve"> </w:t>
      </w:r>
      <w:r w:rsidR="00EC5F5D" w:rsidRPr="00EC5F5D">
        <w:rPr>
          <w:b/>
          <w:bCs/>
          <w:sz w:val="24"/>
          <w:lang w:val="en-US" w:eastAsia="en-GB"/>
        </w:rPr>
        <w:t>Vector maps for: A.</w:t>
      </w:r>
      <w:r w:rsidR="00EC5F5D">
        <w:rPr>
          <w:lang w:val="en-US"/>
        </w:rPr>
        <w:t xml:space="preserve"> </w:t>
      </w:r>
      <w:r w:rsidR="00EC5F5D" w:rsidRPr="00EC5F5D">
        <w:rPr>
          <w:sz w:val="24"/>
          <w:lang w:val="en-US"/>
        </w:rPr>
        <w:t xml:space="preserve">shRNA, </w:t>
      </w:r>
      <w:r w:rsidR="00EC5F5D" w:rsidRPr="00EC5F5D">
        <w:rPr>
          <w:b/>
          <w:sz w:val="24"/>
          <w:lang w:val="en-US"/>
        </w:rPr>
        <w:t>B.</w:t>
      </w:r>
      <w:r w:rsidR="00EC5F5D" w:rsidRPr="00EC5F5D">
        <w:rPr>
          <w:sz w:val="24"/>
          <w:lang w:val="en-US"/>
        </w:rPr>
        <w:t xml:space="preserve"> OE2IgB7-H3 and </w:t>
      </w:r>
      <w:r w:rsidR="00EC5F5D" w:rsidRPr="00EC5F5D">
        <w:rPr>
          <w:b/>
          <w:sz w:val="24"/>
          <w:lang w:val="en-US"/>
        </w:rPr>
        <w:t>C.</w:t>
      </w:r>
      <w:r w:rsidR="00EC5F5D" w:rsidRPr="00EC5F5D">
        <w:rPr>
          <w:sz w:val="24"/>
          <w:lang w:val="en-US"/>
        </w:rPr>
        <w:t xml:space="preserve"> OE4IgB7-H3.</w:t>
      </w:r>
    </w:p>
    <w:sectPr w:rsidR="00EC5F5D" w:rsidRPr="00EC5F5D" w:rsidSect="0086491D">
      <w:pgSz w:w="11906" w:h="16838" w:code="9"/>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20897C" w16cid:durableId="231DB53F"/>
  <w16cid:commentId w16cid:paraId="383A599C" w16cid:durableId="231DB706"/>
  <w16cid:commentId w16cid:paraId="4B170554" w16cid:durableId="231DC588"/>
  <w16cid:commentId w16cid:paraId="149FC8BB" w16cid:durableId="231DC5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8B8BE" w14:textId="77777777" w:rsidR="00F420F0" w:rsidRDefault="00F420F0" w:rsidP="00700351">
      <w:pPr>
        <w:spacing w:after="0" w:line="240" w:lineRule="auto"/>
      </w:pPr>
      <w:r>
        <w:separator/>
      </w:r>
    </w:p>
  </w:endnote>
  <w:endnote w:type="continuationSeparator" w:id="0">
    <w:p w14:paraId="0AF1B8A1" w14:textId="77777777" w:rsidR="00F420F0" w:rsidRDefault="00F420F0" w:rsidP="0070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EE925" w14:textId="77777777" w:rsidR="00F420F0" w:rsidRDefault="00F420F0" w:rsidP="00700351">
      <w:pPr>
        <w:spacing w:after="0" w:line="240" w:lineRule="auto"/>
      </w:pPr>
      <w:r>
        <w:separator/>
      </w:r>
    </w:p>
  </w:footnote>
  <w:footnote w:type="continuationSeparator" w:id="0">
    <w:p w14:paraId="76BBE07C" w14:textId="77777777" w:rsidR="00F420F0" w:rsidRDefault="00F420F0" w:rsidP="007003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1F6690"/>
    <w:multiLevelType w:val="multilevel"/>
    <w:tmpl w:val="3378E986"/>
    <w:lvl w:ilvl="0">
      <w:start w:val="4"/>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F23"/>
    <w:rsid w:val="00000161"/>
    <w:rsid w:val="0002342E"/>
    <w:rsid w:val="0005226C"/>
    <w:rsid w:val="0005496C"/>
    <w:rsid w:val="00070826"/>
    <w:rsid w:val="000817E8"/>
    <w:rsid w:val="00084C2F"/>
    <w:rsid w:val="000926B8"/>
    <w:rsid w:val="000D77A2"/>
    <w:rsid w:val="000F5ACA"/>
    <w:rsid w:val="000F656B"/>
    <w:rsid w:val="001111BC"/>
    <w:rsid w:val="001131E2"/>
    <w:rsid w:val="00132AD3"/>
    <w:rsid w:val="00137414"/>
    <w:rsid w:val="00172638"/>
    <w:rsid w:val="00190A8C"/>
    <w:rsid w:val="001A78DD"/>
    <w:rsid w:val="001C27EB"/>
    <w:rsid w:val="001D33FB"/>
    <w:rsid w:val="002000CF"/>
    <w:rsid w:val="00210F72"/>
    <w:rsid w:val="00231D43"/>
    <w:rsid w:val="00234FA6"/>
    <w:rsid w:val="00243105"/>
    <w:rsid w:val="0024510B"/>
    <w:rsid w:val="00264645"/>
    <w:rsid w:val="00272379"/>
    <w:rsid w:val="002801A2"/>
    <w:rsid w:val="00291B07"/>
    <w:rsid w:val="002935AA"/>
    <w:rsid w:val="002C6BC7"/>
    <w:rsid w:val="002F0B96"/>
    <w:rsid w:val="0030196C"/>
    <w:rsid w:val="00301FC3"/>
    <w:rsid w:val="003215FD"/>
    <w:rsid w:val="0033290C"/>
    <w:rsid w:val="0033526F"/>
    <w:rsid w:val="00340AF7"/>
    <w:rsid w:val="00354713"/>
    <w:rsid w:val="00373AE6"/>
    <w:rsid w:val="003A0C34"/>
    <w:rsid w:val="003B0174"/>
    <w:rsid w:val="003D7139"/>
    <w:rsid w:val="003E6879"/>
    <w:rsid w:val="00403F9D"/>
    <w:rsid w:val="00430FB3"/>
    <w:rsid w:val="00457E58"/>
    <w:rsid w:val="00463489"/>
    <w:rsid w:val="004A0D0F"/>
    <w:rsid w:val="004A1F3B"/>
    <w:rsid w:val="004A271F"/>
    <w:rsid w:val="004B3645"/>
    <w:rsid w:val="004E1E5B"/>
    <w:rsid w:val="005110CA"/>
    <w:rsid w:val="005156B5"/>
    <w:rsid w:val="00517CE8"/>
    <w:rsid w:val="00531102"/>
    <w:rsid w:val="00534C09"/>
    <w:rsid w:val="00556AD7"/>
    <w:rsid w:val="00567266"/>
    <w:rsid w:val="00573F2E"/>
    <w:rsid w:val="005C440A"/>
    <w:rsid w:val="005D3965"/>
    <w:rsid w:val="006056DF"/>
    <w:rsid w:val="00610500"/>
    <w:rsid w:val="00621B2C"/>
    <w:rsid w:val="00624F09"/>
    <w:rsid w:val="00630DA9"/>
    <w:rsid w:val="006366D2"/>
    <w:rsid w:val="00651D81"/>
    <w:rsid w:val="00663F86"/>
    <w:rsid w:val="006672FF"/>
    <w:rsid w:val="006805F4"/>
    <w:rsid w:val="006B1DCF"/>
    <w:rsid w:val="006D00DA"/>
    <w:rsid w:val="006D5BF2"/>
    <w:rsid w:val="006F2C28"/>
    <w:rsid w:val="00700351"/>
    <w:rsid w:val="0070109C"/>
    <w:rsid w:val="0070742D"/>
    <w:rsid w:val="00725ED7"/>
    <w:rsid w:val="0073431F"/>
    <w:rsid w:val="00743DDD"/>
    <w:rsid w:val="0076219F"/>
    <w:rsid w:val="00774EFA"/>
    <w:rsid w:val="00782B66"/>
    <w:rsid w:val="00786E68"/>
    <w:rsid w:val="007B10C8"/>
    <w:rsid w:val="0080269F"/>
    <w:rsid w:val="008115D0"/>
    <w:rsid w:val="00821F23"/>
    <w:rsid w:val="00832DBC"/>
    <w:rsid w:val="0086491D"/>
    <w:rsid w:val="008951CC"/>
    <w:rsid w:val="0091086F"/>
    <w:rsid w:val="00937876"/>
    <w:rsid w:val="00996771"/>
    <w:rsid w:val="009B5A73"/>
    <w:rsid w:val="009C34D5"/>
    <w:rsid w:val="009C60C8"/>
    <w:rsid w:val="00A16196"/>
    <w:rsid w:val="00A27A0C"/>
    <w:rsid w:val="00A31D92"/>
    <w:rsid w:val="00A43E95"/>
    <w:rsid w:val="00A67C01"/>
    <w:rsid w:val="00AB10CE"/>
    <w:rsid w:val="00AD2BFE"/>
    <w:rsid w:val="00AF406A"/>
    <w:rsid w:val="00AF619C"/>
    <w:rsid w:val="00AF77DE"/>
    <w:rsid w:val="00BA5D6B"/>
    <w:rsid w:val="00BB54E1"/>
    <w:rsid w:val="00BD2B51"/>
    <w:rsid w:val="00BE4041"/>
    <w:rsid w:val="00BE67D3"/>
    <w:rsid w:val="00C3223C"/>
    <w:rsid w:val="00C3349F"/>
    <w:rsid w:val="00C56309"/>
    <w:rsid w:val="00C63992"/>
    <w:rsid w:val="00C81633"/>
    <w:rsid w:val="00CA2447"/>
    <w:rsid w:val="00CB2F24"/>
    <w:rsid w:val="00CD6F31"/>
    <w:rsid w:val="00D23598"/>
    <w:rsid w:val="00D506BF"/>
    <w:rsid w:val="00D554D4"/>
    <w:rsid w:val="00D62A5E"/>
    <w:rsid w:val="00D64FB4"/>
    <w:rsid w:val="00D82006"/>
    <w:rsid w:val="00D8724D"/>
    <w:rsid w:val="00D93CFF"/>
    <w:rsid w:val="00DC4F4A"/>
    <w:rsid w:val="00E05D23"/>
    <w:rsid w:val="00E1257C"/>
    <w:rsid w:val="00E161FC"/>
    <w:rsid w:val="00E3217E"/>
    <w:rsid w:val="00E63359"/>
    <w:rsid w:val="00E66B3B"/>
    <w:rsid w:val="00E73915"/>
    <w:rsid w:val="00E86B3E"/>
    <w:rsid w:val="00EA4E53"/>
    <w:rsid w:val="00EA5E12"/>
    <w:rsid w:val="00EC5F5D"/>
    <w:rsid w:val="00ED3C3D"/>
    <w:rsid w:val="00EF6B0B"/>
    <w:rsid w:val="00F420F0"/>
    <w:rsid w:val="00F61D0F"/>
    <w:rsid w:val="00F62AC2"/>
    <w:rsid w:val="00FF0FCF"/>
    <w:rsid w:val="00FF158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D4BA8"/>
  <w15:chartTrackingRefBased/>
  <w15:docId w15:val="{9DFAC5A6-A7C4-4511-B7B9-813065C0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F23"/>
  </w:style>
  <w:style w:type="paragraph" w:styleId="Heading1">
    <w:name w:val="heading 1"/>
    <w:basedOn w:val="Normal"/>
    <w:next w:val="Normal"/>
    <w:link w:val="Heading1Char"/>
    <w:uiPriority w:val="9"/>
    <w:qFormat/>
    <w:rsid w:val="006F2C28"/>
    <w:pPr>
      <w:keepNext/>
      <w:keepLines/>
      <w:spacing w:before="240" w:after="0" w:line="480" w:lineRule="auto"/>
      <w:outlineLvl w:val="0"/>
    </w:pPr>
    <w:rPr>
      <w:rFonts w:asciiTheme="majorHAnsi" w:eastAsiaTheme="majorEastAsia" w:hAnsiTheme="majorHAnsi" w:cstheme="majorBidi"/>
      <w:b/>
      <w:sz w:val="40"/>
      <w:szCs w:val="32"/>
    </w:rPr>
  </w:style>
  <w:style w:type="paragraph" w:styleId="Heading2">
    <w:name w:val="heading 2"/>
    <w:basedOn w:val="Normal"/>
    <w:next w:val="Normal"/>
    <w:link w:val="Heading2Char"/>
    <w:uiPriority w:val="9"/>
    <w:unhideWhenUsed/>
    <w:qFormat/>
    <w:rsid w:val="00F61D0F"/>
    <w:pPr>
      <w:keepNext/>
      <w:keepLines/>
      <w:spacing w:before="280" w:after="24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DC4F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257C"/>
    <w:pPr>
      <w:keepNext/>
      <w:keepLines/>
      <w:spacing w:before="240" w:after="0" w:line="720" w:lineRule="auto"/>
      <w:outlineLvl w:val="3"/>
    </w:pPr>
    <w:rPr>
      <w:rFonts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1257C"/>
    <w:rPr>
      <w:rFonts w:eastAsiaTheme="majorEastAsia" w:cstheme="majorBidi"/>
      <w:b/>
      <w:iCs/>
      <w:sz w:val="24"/>
    </w:rPr>
  </w:style>
  <w:style w:type="character" w:customStyle="1" w:styleId="Heading3Char">
    <w:name w:val="Heading 3 Char"/>
    <w:basedOn w:val="DefaultParagraphFont"/>
    <w:link w:val="Heading3"/>
    <w:uiPriority w:val="9"/>
    <w:semiHidden/>
    <w:rsid w:val="00DC4F4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DC4F4A"/>
    <w:rPr>
      <w:color w:val="0563C1" w:themeColor="hyperlink"/>
      <w:u w:val="single"/>
    </w:rPr>
  </w:style>
  <w:style w:type="paragraph" w:styleId="Caption">
    <w:name w:val="caption"/>
    <w:basedOn w:val="Normal"/>
    <w:next w:val="Normal"/>
    <w:uiPriority w:val="35"/>
    <w:unhideWhenUsed/>
    <w:qFormat/>
    <w:rsid w:val="006F2C2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F2C28"/>
    <w:rPr>
      <w:rFonts w:asciiTheme="majorHAnsi" w:eastAsiaTheme="majorEastAsia" w:hAnsiTheme="majorHAnsi" w:cstheme="majorBidi"/>
      <w:b/>
      <w:sz w:val="40"/>
      <w:szCs w:val="32"/>
    </w:rPr>
  </w:style>
  <w:style w:type="character" w:styleId="CommentReference">
    <w:name w:val="annotation reference"/>
    <w:basedOn w:val="DefaultParagraphFont"/>
    <w:unhideWhenUsed/>
    <w:rsid w:val="006F2C28"/>
    <w:rPr>
      <w:sz w:val="16"/>
      <w:szCs w:val="16"/>
    </w:rPr>
  </w:style>
  <w:style w:type="paragraph" w:styleId="CommentText">
    <w:name w:val="annotation text"/>
    <w:basedOn w:val="Normal"/>
    <w:link w:val="CommentTextChar"/>
    <w:unhideWhenUsed/>
    <w:rsid w:val="006F2C28"/>
    <w:pPr>
      <w:spacing w:line="240" w:lineRule="auto"/>
    </w:pPr>
    <w:rPr>
      <w:sz w:val="20"/>
      <w:szCs w:val="20"/>
    </w:rPr>
  </w:style>
  <w:style w:type="character" w:customStyle="1" w:styleId="CommentTextChar">
    <w:name w:val="Comment Text Char"/>
    <w:basedOn w:val="DefaultParagraphFont"/>
    <w:link w:val="CommentText"/>
    <w:rsid w:val="006F2C28"/>
    <w:rPr>
      <w:sz w:val="20"/>
      <w:szCs w:val="20"/>
    </w:rPr>
  </w:style>
  <w:style w:type="table" w:styleId="TableGrid">
    <w:name w:val="Table Grid"/>
    <w:basedOn w:val="TableNormal"/>
    <w:uiPriority w:val="39"/>
    <w:rsid w:val="006F2C28"/>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F2C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C28"/>
    <w:rPr>
      <w:rFonts w:ascii="Segoe UI" w:hAnsi="Segoe UI" w:cs="Segoe UI"/>
      <w:sz w:val="18"/>
      <w:szCs w:val="18"/>
    </w:rPr>
  </w:style>
  <w:style w:type="character" w:customStyle="1" w:styleId="Heading2Char">
    <w:name w:val="Heading 2 Char"/>
    <w:basedOn w:val="DefaultParagraphFont"/>
    <w:link w:val="Heading2"/>
    <w:uiPriority w:val="9"/>
    <w:rsid w:val="00F61D0F"/>
    <w:rPr>
      <w:rFonts w:eastAsiaTheme="majorEastAsia" w:cstheme="majorBidi"/>
      <w:b/>
      <w:sz w:val="26"/>
      <w:szCs w:val="26"/>
    </w:rPr>
  </w:style>
  <w:style w:type="paragraph" w:styleId="CommentSubject">
    <w:name w:val="annotation subject"/>
    <w:basedOn w:val="CommentText"/>
    <w:next w:val="CommentText"/>
    <w:link w:val="CommentSubjectChar"/>
    <w:uiPriority w:val="99"/>
    <w:semiHidden/>
    <w:unhideWhenUsed/>
    <w:rsid w:val="0076219F"/>
    <w:rPr>
      <w:b/>
      <w:bCs/>
    </w:rPr>
  </w:style>
  <w:style w:type="character" w:customStyle="1" w:styleId="CommentSubjectChar">
    <w:name w:val="Comment Subject Char"/>
    <w:basedOn w:val="CommentTextChar"/>
    <w:link w:val="CommentSubject"/>
    <w:uiPriority w:val="99"/>
    <w:semiHidden/>
    <w:rsid w:val="0076219F"/>
    <w:rPr>
      <w:b/>
      <w:bCs/>
      <w:sz w:val="20"/>
      <w:szCs w:val="20"/>
    </w:rPr>
  </w:style>
  <w:style w:type="paragraph" w:styleId="Header">
    <w:name w:val="header"/>
    <w:basedOn w:val="Normal"/>
    <w:link w:val="HeaderChar"/>
    <w:uiPriority w:val="99"/>
    <w:unhideWhenUsed/>
    <w:rsid w:val="007003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0351"/>
  </w:style>
  <w:style w:type="paragraph" w:styleId="Footer">
    <w:name w:val="footer"/>
    <w:basedOn w:val="Normal"/>
    <w:link w:val="FooterChar"/>
    <w:uiPriority w:val="99"/>
    <w:unhideWhenUsed/>
    <w:rsid w:val="007003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0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90814">
      <w:bodyDiv w:val="1"/>
      <w:marLeft w:val="0"/>
      <w:marRight w:val="0"/>
      <w:marTop w:val="0"/>
      <w:marBottom w:val="0"/>
      <w:divBdr>
        <w:top w:val="none" w:sz="0" w:space="0" w:color="auto"/>
        <w:left w:val="none" w:sz="0" w:space="0" w:color="auto"/>
        <w:bottom w:val="none" w:sz="0" w:space="0" w:color="auto"/>
        <w:right w:val="none" w:sz="0" w:space="0" w:color="auto"/>
      </w:divBdr>
    </w:div>
    <w:div w:id="209611395">
      <w:bodyDiv w:val="1"/>
      <w:marLeft w:val="0"/>
      <w:marRight w:val="0"/>
      <w:marTop w:val="0"/>
      <w:marBottom w:val="0"/>
      <w:divBdr>
        <w:top w:val="none" w:sz="0" w:space="0" w:color="auto"/>
        <w:left w:val="none" w:sz="0" w:space="0" w:color="auto"/>
        <w:bottom w:val="none" w:sz="0" w:space="0" w:color="auto"/>
        <w:right w:val="none" w:sz="0" w:space="0" w:color="auto"/>
      </w:divBdr>
    </w:div>
    <w:div w:id="487212617">
      <w:bodyDiv w:val="1"/>
      <w:marLeft w:val="0"/>
      <w:marRight w:val="0"/>
      <w:marTop w:val="0"/>
      <w:marBottom w:val="0"/>
      <w:divBdr>
        <w:top w:val="none" w:sz="0" w:space="0" w:color="auto"/>
        <w:left w:val="none" w:sz="0" w:space="0" w:color="auto"/>
        <w:bottom w:val="none" w:sz="0" w:space="0" w:color="auto"/>
        <w:right w:val="none" w:sz="0" w:space="0" w:color="auto"/>
      </w:divBdr>
    </w:div>
    <w:div w:id="596913217">
      <w:bodyDiv w:val="1"/>
      <w:marLeft w:val="0"/>
      <w:marRight w:val="0"/>
      <w:marTop w:val="0"/>
      <w:marBottom w:val="0"/>
      <w:divBdr>
        <w:top w:val="none" w:sz="0" w:space="0" w:color="auto"/>
        <w:left w:val="none" w:sz="0" w:space="0" w:color="auto"/>
        <w:bottom w:val="none" w:sz="0" w:space="0" w:color="auto"/>
        <w:right w:val="none" w:sz="0" w:space="0" w:color="auto"/>
      </w:divBdr>
    </w:div>
    <w:div w:id="740061279">
      <w:bodyDiv w:val="1"/>
      <w:marLeft w:val="0"/>
      <w:marRight w:val="0"/>
      <w:marTop w:val="0"/>
      <w:marBottom w:val="0"/>
      <w:divBdr>
        <w:top w:val="none" w:sz="0" w:space="0" w:color="auto"/>
        <w:left w:val="none" w:sz="0" w:space="0" w:color="auto"/>
        <w:bottom w:val="none" w:sz="0" w:space="0" w:color="auto"/>
        <w:right w:val="none" w:sz="0" w:space="0" w:color="auto"/>
      </w:divBdr>
    </w:div>
    <w:div w:id="768738739">
      <w:bodyDiv w:val="1"/>
      <w:marLeft w:val="0"/>
      <w:marRight w:val="0"/>
      <w:marTop w:val="0"/>
      <w:marBottom w:val="0"/>
      <w:divBdr>
        <w:top w:val="none" w:sz="0" w:space="0" w:color="auto"/>
        <w:left w:val="none" w:sz="0" w:space="0" w:color="auto"/>
        <w:bottom w:val="none" w:sz="0" w:space="0" w:color="auto"/>
        <w:right w:val="none" w:sz="0" w:space="0" w:color="auto"/>
      </w:divBdr>
    </w:div>
    <w:div w:id="823352245">
      <w:bodyDiv w:val="1"/>
      <w:marLeft w:val="0"/>
      <w:marRight w:val="0"/>
      <w:marTop w:val="0"/>
      <w:marBottom w:val="0"/>
      <w:divBdr>
        <w:top w:val="none" w:sz="0" w:space="0" w:color="auto"/>
        <w:left w:val="none" w:sz="0" w:space="0" w:color="auto"/>
        <w:bottom w:val="none" w:sz="0" w:space="0" w:color="auto"/>
        <w:right w:val="none" w:sz="0" w:space="0" w:color="auto"/>
      </w:divBdr>
    </w:div>
    <w:div w:id="1138524041">
      <w:bodyDiv w:val="1"/>
      <w:marLeft w:val="0"/>
      <w:marRight w:val="0"/>
      <w:marTop w:val="0"/>
      <w:marBottom w:val="0"/>
      <w:divBdr>
        <w:top w:val="none" w:sz="0" w:space="0" w:color="auto"/>
        <w:left w:val="none" w:sz="0" w:space="0" w:color="auto"/>
        <w:bottom w:val="none" w:sz="0" w:space="0" w:color="auto"/>
        <w:right w:val="none" w:sz="0" w:space="0" w:color="auto"/>
      </w:divBdr>
    </w:div>
    <w:div w:id="1786264274">
      <w:bodyDiv w:val="1"/>
      <w:marLeft w:val="0"/>
      <w:marRight w:val="0"/>
      <w:marTop w:val="0"/>
      <w:marBottom w:val="0"/>
      <w:divBdr>
        <w:top w:val="none" w:sz="0" w:space="0" w:color="auto"/>
        <w:left w:val="none" w:sz="0" w:space="0" w:color="auto"/>
        <w:bottom w:val="none" w:sz="0" w:space="0" w:color="auto"/>
        <w:right w:val="none" w:sz="0" w:space="0" w:color="auto"/>
      </w:divBdr>
    </w:div>
    <w:div w:id="1855922352">
      <w:bodyDiv w:val="1"/>
      <w:marLeft w:val="0"/>
      <w:marRight w:val="0"/>
      <w:marTop w:val="0"/>
      <w:marBottom w:val="0"/>
      <w:divBdr>
        <w:top w:val="none" w:sz="0" w:space="0" w:color="auto"/>
        <w:left w:val="none" w:sz="0" w:space="0" w:color="auto"/>
        <w:bottom w:val="none" w:sz="0" w:space="0" w:color="auto"/>
        <w:right w:val="none" w:sz="0" w:space="0" w:color="auto"/>
      </w:divBdr>
    </w:div>
    <w:div w:id="2102601507">
      <w:bodyDiv w:val="1"/>
      <w:marLeft w:val="0"/>
      <w:marRight w:val="0"/>
      <w:marTop w:val="0"/>
      <w:marBottom w:val="0"/>
      <w:divBdr>
        <w:top w:val="none" w:sz="0" w:space="0" w:color="auto"/>
        <w:left w:val="none" w:sz="0" w:space="0" w:color="auto"/>
        <w:bottom w:val="none" w:sz="0" w:space="0" w:color="auto"/>
        <w:right w:val="none" w:sz="0" w:space="0" w:color="auto"/>
      </w:divBdr>
    </w:div>
    <w:div w:id="213536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022AD-397F-4957-8DFA-2CE78C6F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614</Words>
  <Characters>3502</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Bhuvaneswari A.</cp:lastModifiedBy>
  <cp:revision>6</cp:revision>
  <cp:lastPrinted>2020-09-14T18:42:00Z</cp:lastPrinted>
  <dcterms:created xsi:type="dcterms:W3CDTF">2021-02-26T13:33:00Z</dcterms:created>
  <dcterms:modified xsi:type="dcterms:W3CDTF">2021-03-23T04:47:00Z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http://www.zotero.org/styles/frontiers-in-oncology</vt:lpwstr>
  </property>
  <property fmtid="{D5CDD505-2E9C-101B-9397-08002B2CF9AE}" pid="11" name="Mendeley Recent Style Name 4_1">
    <vt:lpwstr>Frontiers in Oncology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http://www.zotero.org/styles/neuro-oncology</vt:lpwstr>
  </property>
  <property fmtid="{D5CDD505-2E9C-101B-9397-08002B2CF9AE}" pid="21" name="Mendeley Recent Style Name 9_1">
    <vt:lpwstr>Neuro-Oncology</vt:lpwstr>
  </property>
  <property fmtid="{D5CDD505-2E9C-101B-9397-08002B2CF9AE}" pid="22" name="Mendeley Document_1">
    <vt:lpwstr>True</vt:lpwstr>
  </property>
  <property fmtid="{D5CDD505-2E9C-101B-9397-08002B2CF9AE}" pid="23" name="Mendeley Unique User Id_1">
    <vt:lpwstr>204605b6-043d-3b78-96a3-5df3d5378ede</vt:lpwstr>
  </property>
  <property fmtid="{D5CDD505-2E9C-101B-9397-08002B2CF9AE}" pid="24" name="Mendeley Citation Style_1">
    <vt:lpwstr>http://www.zotero.org/styles/neuro-oncology</vt:lpwstr>
  </property>
</Properties>
</file>